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3500" w:type="dxa"/>
            <w:vAlign w:val="bottom"/>
          </w:tcPr>
          <w:p>
            <w:pPr>
              <w:spacing w:after="0"/>
              <w:rPr>
                <w:sz w:val="18"/>
                <w:szCs w:val="18"/>
                <w:color w:val="auto"/>
              </w:rPr>
            </w:pPr>
          </w:p>
        </w:tc>
        <w:tc>
          <w:tcPr>
            <w:tcW w:w="4380" w:type="dxa"/>
            <w:vAlign w:val="bottom"/>
          </w:tcPr>
          <w:p>
            <w:pPr>
              <w:jc w:val="center"/>
              <w:ind w:right="2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62"/>
        </w:trPr>
        <w:tc>
          <w:tcPr>
            <w:tcW w:w="3500" w:type="dxa"/>
            <w:vAlign w:val="bottom"/>
          </w:tcPr>
          <w:p>
            <w:pPr>
              <w:spacing w:after="0"/>
              <w:rPr>
                <w:sz w:val="14"/>
                <w:szCs w:val="14"/>
                <w:color w:val="auto"/>
              </w:rPr>
            </w:pPr>
          </w:p>
        </w:tc>
        <w:tc>
          <w:tcPr>
            <w:tcW w:w="4380" w:type="dxa"/>
            <w:vAlign w:val="bottom"/>
          </w:tcPr>
          <w:p>
            <w:pPr>
              <w:jc w:val="center"/>
              <w:ind w:right="2281"/>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r>
      <w:tr>
        <w:trPr>
          <w:trHeight w:val="190"/>
        </w:trPr>
        <w:tc>
          <w:tcPr>
            <w:tcW w:w="3500" w:type="dxa"/>
            <w:vAlign w:val="bottom"/>
          </w:tcPr>
          <w:p>
            <w:pPr>
              <w:spacing w:after="0"/>
              <w:rPr>
                <w:sz w:val="16"/>
                <w:szCs w:val="16"/>
                <w:color w:val="auto"/>
              </w:rPr>
            </w:pPr>
          </w:p>
        </w:tc>
        <w:tc>
          <w:tcPr>
            <w:tcW w:w="4380" w:type="dxa"/>
            <w:vAlign w:val="bottom"/>
          </w:tcPr>
          <w:p>
            <w:pPr>
              <w:jc w:val="center"/>
              <w:ind w:right="2281"/>
              <w:spacing w:after="0"/>
              <w:rPr>
                <w:sz w:val="20"/>
                <w:szCs w:val="20"/>
                <w:color w:val="auto"/>
              </w:rPr>
            </w:pPr>
            <w:r>
              <w:rPr>
                <w:rFonts w:ascii="Times New Roman" w:cs="Times New Roman" w:eastAsia="Times New Roman" w:hAnsi="Times New Roman"/>
                <w:sz w:val="14"/>
                <w:szCs w:val="14"/>
                <w:b w:val="1"/>
                <w:bCs w:val="1"/>
                <w:color w:val="auto"/>
              </w:rPr>
              <w:t>of Incorporation)</w:t>
            </w:r>
          </w:p>
        </w:tc>
      </w:tr>
      <w:tr>
        <w:trPr>
          <w:trHeight w:val="509"/>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4380" w:type="dxa"/>
            <w:vAlign w:val="bottom"/>
          </w:tcPr>
          <w:p>
            <w:pPr>
              <w:jc w:val="center"/>
              <w:ind w:left="320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4380" w:type="dxa"/>
            <w:vAlign w:val="bottom"/>
          </w:tcPr>
          <w:p>
            <w:pPr>
              <w:jc w:val="center"/>
              <w:ind w:left="32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380" w:type="dxa"/>
            <w:vAlign w:val="bottom"/>
          </w:tcPr>
          <w:p>
            <w:pPr>
              <w:jc w:val="center"/>
              <w:ind w:left="31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300 Kimball Drive, Parsippany, New Jersey</w:t>
            </w:r>
          </w:p>
        </w:tc>
        <w:tc>
          <w:tcPr>
            <w:tcW w:w="4380" w:type="dxa"/>
            <w:vAlign w:val="bottom"/>
          </w:tcPr>
          <w:p>
            <w:pPr>
              <w:jc w:val="center"/>
              <w:ind w:left="32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380" w:type="dxa"/>
            <w:vAlign w:val="bottom"/>
          </w:tcPr>
          <w:p>
            <w:pPr>
              <w:jc w:val="center"/>
              <w:ind w:left="32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847-6880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4"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August 15, 2022, Embecta Corp. (the “Company” or "embecta") issued a press release (the “Earnings Release”) regarding its results for the quarter ended June 30, 2022. The Earnings Release is included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August 15, 2022.</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15, 2022</w:t>
      </w:r>
    </w:p>
    <w:p>
      <w:pPr>
        <w:sectPr>
          <w:pgSz w:w="11900" w:h="16838" w:orient="portrait"/>
          <w:cols w:equalWidth="0" w:num="1">
            <w:col w:w="11240"/>
          </w:cols>
          <w:pgMar w:left="320" w:top="93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Third Quarter Fiscal 2022 Financial Results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Aug 15, 2022 (GLOBE NEWSWIRE) – Embecta Corp. (“embecta”) (Nasdaq: EMBC), one of the largest pure-play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in the world following its April 1, 2022, spin off from Becton, Dickinson and Company (“BD”), today reported financial results for the three and nine month periods ended June 30, 2022.</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fiscal third quarter 2022 results reinforce our core strength and further position embecta towards creating a company that allows for a life unlimited by diabetes,” said Devdatt “Dev” Kurdikar, Chief Executive Officer of embecta. “Despite a challenging macro-economic environment, we delivered resilient commercial performance during our first quarter as an independent company. While we continue to navigate through supply chain and inflationary pressures, as well as certain COVID-19 restrictions, given the strength of our third quarter results, coupled with our outlook for the remainder of the fiscal year, we are reiterating our second half of 2022 fiscal year financial guidance for as-reported revenue growth, and raising our second half of 2022 fiscal year financial guidance for constant currency revenue growth, adjusted gross margin and adjusted EBITDA margin.”</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embecta was spun-off from BD on April 1, 2022. Financial results during the pre-spin period were presented on the carve-out basis of accounting and do not purport to reflect what embecta’s financial results would have been had embecta operated as a standalone public company. Therefore, financial results for the three and nine month periods ended June 30, 2021 and June 30, 2022 are not meaningfully comparable.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Fiscal Year 2022 Financial Highlights</w:t>
      </w:r>
      <w:r>
        <w:rPr>
          <w:rFonts w:ascii="Arial" w:cs="Arial" w:eastAsia="Arial" w:hAnsi="Arial"/>
          <w:sz w:val="17"/>
          <w:szCs w:val="17"/>
          <w:b w:val="1"/>
          <w:bCs w:val="1"/>
          <w:color w:val="auto"/>
        </w:rPr>
        <w:t>:</w:t>
      </w:r>
    </w:p>
    <w:p>
      <w:pPr>
        <w:spacing w:after="0" w:line="11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$291.1 million, down 1.3% on a reported basis; up 2.0% on a constant currency basis</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increased 4.1% on both a reported and constant currency basis</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decreased 7.1% on a reported basis, and decreased 0.3% on a constant currency basis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$202.9 million and 69.7%, compared to $202.6 million and 68.7% in the prior year period</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$203.1 million and 69.8%, compared to $206.4 million and 70.0% in the prior year period</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of $62.4 million, compared to $104.7 million in the prior year period</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$117.9 million and 40.5%, compared to $143.6 million and 48.7% in the prior year period</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Nine Months Ended June 30 Fiscal Year 2022 Financial Highlights</w:t>
      </w:r>
      <w:r>
        <w:rPr>
          <w:rFonts w:ascii="Arial" w:cs="Arial" w:eastAsia="Arial" w:hAnsi="Arial"/>
          <w:sz w:val="17"/>
          <w:szCs w:val="17"/>
          <w:b w:val="1"/>
          <w:bCs w:val="1"/>
          <w:color w:val="auto"/>
        </w:rPr>
        <w:t>:</w:t>
      </w:r>
    </w:p>
    <w:p>
      <w:pPr>
        <w:spacing w:after="0" w:line="12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of $854.9 million, down 1.1% on a reported basis; up 0.8% on a constant currency basis</w:t>
      </w:r>
    </w:p>
    <w:p>
      <w:pPr>
        <w:spacing w:after="0" w:line="101"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increased 0.1% on both a reported and constant currency basis</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decreased 2.4% on a reported basis, and increased 1.6% on a constant currency basis</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$598.0 million and 69.9%, compared to $590.2 million and 68.3% in the prior year period</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gross profit and margin of $598.2 million and 70.0%, compared to $604.0 million and 69.9% in the prior year period</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income of $240.8 million, compared to $317.9 million in the prior year period</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EBITDA and margin of $372.7 million and 43.6%, compared to $433.4 million and 50.1%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Executing on transition service agreements with BD, while beginning to build up embecta’s internal organization, systems and processes</w:t>
      </w:r>
    </w:p>
    <w:p>
      <w:pPr>
        <w:spacing w:after="0" w:line="182"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Advanced the development of a type 2 closed loop insulin delivery system utilizing embecta’s proprietary patch pump, which carries Breakthrough Device Designation from the U.S. Food &amp; Drug Administration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Fiscal Year 2022 Results:</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Revenues by geographic region are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Three months ended June 30,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Increase/(decrease)</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ind w:left="460"/>
              <w:spacing w:after="0"/>
              <w:rPr>
                <w:sz w:val="20"/>
                <w:szCs w:val="20"/>
                <w:color w:val="auto"/>
              </w:rPr>
            </w:pPr>
            <w:r>
              <w:rPr>
                <w:rFonts w:ascii="Arial" w:cs="Arial" w:eastAsia="Arial" w:hAnsi="Arial"/>
                <w:sz w:val="16"/>
                <w:szCs w:val="16"/>
                <w:b w:val="1"/>
                <w:bCs w:val="1"/>
                <w:color w:val="auto"/>
              </w:rPr>
              <w:t>As Reported</w:t>
            </w:r>
          </w:p>
        </w:tc>
        <w:tc>
          <w:tcPr>
            <w:tcW w:w="1920" w:type="dxa"/>
            <w:vAlign w:val="bottom"/>
          </w:tcPr>
          <w:p>
            <w:pPr>
              <w:jc w:val="right"/>
              <w:ind w:right="139"/>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9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92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
        </w:trPr>
        <w:tc>
          <w:tcPr>
            <w:tcW w:w="1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Our revenues decreased by $3.9 million, or 1.3%, to $291.1 million in the third quarter of 2022 as compared to revenues of $295.0 million in the third quarter of 2021. Changes in our revenues are driven by the volume of goods that we sell, the prices we negotiate with customers and changes in foreign exchange rates. The decrease in revenues was primarily attributable to $9.7 million of unfavorable foreign currency impact due to the strengthening of the U.S. dollar, partially offset by favorable volume and price, to some extent, for customers in the U.S. and Central and Southeast Asia.</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Nine Months Fiscal Year 2022 Results: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Revenues by geographic region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9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Nine months ended June 30,</w:t>
            </w: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Increase/(decrease)</w:t>
            </w: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ind w:left="440"/>
              <w:spacing w:after="0"/>
              <w:rPr>
                <w:sz w:val="20"/>
                <w:szCs w:val="20"/>
                <w:color w:val="auto"/>
              </w:rPr>
            </w:pPr>
            <w:r>
              <w:rPr>
                <w:rFonts w:ascii="Arial" w:cs="Arial" w:eastAsia="Arial" w:hAnsi="Arial"/>
                <w:sz w:val="16"/>
                <w:szCs w:val="16"/>
                <w:b w:val="1"/>
                <w:bCs w:val="1"/>
                <w:color w:val="auto"/>
              </w:rPr>
              <w:t>As Reported</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6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8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9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w w:val="97"/>
              </w:rPr>
              <w:t>0.1 %</w:t>
            </w:r>
          </w:p>
        </w:tc>
        <w:tc>
          <w:tcPr>
            <w:tcW w:w="0" w:type="dxa"/>
            <w:vAlign w:val="bottom"/>
          </w:tcPr>
          <w:p>
            <w:pPr>
              <w:spacing w:after="0"/>
              <w:rPr>
                <w:sz w:val="1"/>
                <w:szCs w:val="1"/>
                <w:color w:val="auto"/>
              </w:rPr>
            </w:pPr>
          </w:p>
        </w:tc>
      </w:tr>
      <w:tr>
        <w:trPr>
          <w:trHeight w:val="215"/>
        </w:trPr>
        <w:tc>
          <w:tcPr>
            <w:tcW w:w="190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404.5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center"/>
              <w:ind w:left="7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880" w:type="dxa"/>
            <w:vAlign w:val="bottom"/>
          </w:tcPr>
          <w:p>
            <w:pPr>
              <w:ind w:left="14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
        </w:trPr>
        <w:tc>
          <w:tcPr>
            <w:tcW w:w="1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w w:val="97"/>
              </w:rPr>
              <w:t>0.8 %</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Our revenues decreased by $9.6 million, or 1.1%, to $854.9 million for the nine months ended June 30, 2022 as compared to revenues of $864.5 million for the nine months ended June 30, 2021. The decrease in revenues was primarily driven by unfavorable foreign currency impact of $16.6 million due to the strengthening of the U.S. dollar, partially offset by favorable volume and price, to some extent, in the U.S., Canada and Mainland China, and countries within Eastern Europe, the Middle East, Africa and Central and Southeast Asia.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23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Second-Half Fiscal Year 2022 Updated Financial Guidance: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For the last six months of fiscal year 2022, the Company now expects: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w:t>
            </w:r>
          </w:p>
        </w:tc>
        <w:tc>
          <w:tcPr>
            <w:tcW w:w="2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Current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Previous</w:t>
            </w:r>
          </w:p>
        </w:tc>
      </w:tr>
      <w:tr>
        <w:trPr>
          <w:trHeight w:val="209"/>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As Reported (%)</w:t>
            </w: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~(7.0%)</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~(7.0%)</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Constant Currency (%)</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~(3.0%)</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~(3.5%)</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Contract Manufacturing*</w:t>
            </w: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~$10</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~$15</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Gross Margin (%)</w:t>
            </w:r>
          </w:p>
        </w:tc>
        <w:tc>
          <w:tcPr>
            <w:tcW w:w="2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Mid 60%s</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Low 60%s</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EBITDA Margin (%)</w:t>
            </w:r>
          </w:p>
        </w:tc>
        <w:tc>
          <w:tcPr>
            <w:tcW w:w="2160" w:type="dxa"/>
            <w:vAlign w:val="bottom"/>
            <w:gridSpan w:val="2"/>
          </w:tcPr>
          <w:p>
            <w:pPr>
              <w:jc w:val="right"/>
              <w:ind w:right="180"/>
              <w:spacing w:after="0"/>
              <w:rPr>
                <w:sz w:val="20"/>
                <w:szCs w:val="20"/>
                <w:color w:val="auto"/>
              </w:rPr>
            </w:pPr>
            <w:r>
              <w:rPr>
                <w:rFonts w:ascii="Arial" w:cs="Arial" w:eastAsia="Arial" w:hAnsi="Arial"/>
                <w:sz w:val="16"/>
                <w:szCs w:val="16"/>
                <w:color w:val="auto"/>
              </w:rPr>
              <w:t>Mid 30%s</w:t>
            </w:r>
          </w:p>
        </w:tc>
        <w:tc>
          <w:tcPr>
            <w:tcW w:w="2000" w:type="dxa"/>
            <w:vAlign w:val="bottom"/>
          </w:tcPr>
          <w:p>
            <w:pPr>
              <w:jc w:val="right"/>
              <w:spacing w:after="0"/>
              <w:rPr>
                <w:sz w:val="20"/>
                <w:szCs w:val="20"/>
                <w:color w:val="auto"/>
              </w:rPr>
            </w:pPr>
            <w:r>
              <w:rPr>
                <w:rFonts w:ascii="Arial" w:cs="Arial" w:eastAsia="Arial" w:hAnsi="Arial"/>
                <w:sz w:val="16"/>
                <w:szCs w:val="16"/>
                <w:color w:val="auto"/>
              </w:rPr>
              <w:t>Low 30%s</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TSA Expense</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bl>
    <w:p>
      <w:pPr>
        <w:spacing w:after="0" w:line="11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*Current guidance includes contract manufacturing revenues of approximately $10 million during the last six months of fiscal year 2022, as compared to the previous guidance which included approximately $15 million during the last six months of fiscal year 2022. There were no contract manufacturing revenues during the last six months of fiscal 2021.</w:t>
      </w: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EBITDA and our expected adjusted EBITDA margin as we are unable to predict with reasonable certainty and without unreasonable effort the impact and timing of certain one-time items. The financial impact of these one-time items is uncertain and is dependent on various factors, including timing, and could be material to our Condensed Consolidated Statements of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June 30, 2022, the Company had approximately $292.3 million in cash and cash equivalents and $1.648 billion of debt principal outstanding, and no amount drawn on the $500 million Revolving Credit Facility.</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September 14, 2022 to stockholders of record at the close of business on August 26, 2022.</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of Fiscal Year 2022 Earnings Conference Call:</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Management will host a conference call at 8:00 a.m. Eastern Time (ET) on Aug 15, 2022 to discuss the results of the quarter, provide an update on its business, including financial guidance for fiscal year 2022,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xml:space="preserve">, or access the teleconference </w:t>
      </w:r>
      <w:r>
        <w:rPr>
          <w:rFonts w:ascii="Arial" w:cs="Arial" w:eastAsia="Arial" w:hAnsi="Arial"/>
          <w:sz w:val="17"/>
          <w:szCs w:val="17"/>
          <w:color w:val="0000FF"/>
        </w:rPr>
        <w:t>here</w:t>
      </w:r>
      <w:r>
        <w:rPr>
          <w:rFonts w:ascii="Arial" w:cs="Arial" w:eastAsia="Arial" w:hAnsi="Arial"/>
          <w:sz w:val="17"/>
          <w:szCs w:val="17"/>
          <w:color w:val="auto"/>
        </w:rPr>
        <w:t>. The live webcast can also be accessed via the Company’s website at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0000FF"/>
        </w:rPr>
        <w:t>investors.embecta.com</w:t>
      </w:r>
      <w:r>
        <w:rPr>
          <w:rFonts w:ascii="Times New Roman" w:cs="Times New Roman" w:eastAsia="Times New Roman" w:hAnsi="Times New Roman"/>
          <w:sz w:val="21"/>
          <w:szCs w:val="21"/>
          <w:color w:val="000000"/>
        </w:rPr>
        <w:t>.</w:t>
      </w:r>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webcast replay of the call will be available beginning at 11:00 a.m. ET on August 15, 2022,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238" w:right="339" w:bottom="1440" w:gutter="0" w:footer="0" w:header="0"/>
        </w:sectPr>
      </w:pPr>
    </w:p>
    <w:bookmarkStart w:id="6" w:name="page7"/>
    <w:bookmarkEnd w:id="6"/>
    <w:p>
      <w:pPr>
        <w:ind w:left="3167"/>
        <w:spacing w:after="0"/>
        <w:rPr>
          <w:sz w:val="20"/>
          <w:szCs w:val="20"/>
          <w:color w:val="auto"/>
        </w:rPr>
      </w:pPr>
      <w:r>
        <w:rPr>
          <w:rFonts w:ascii="Arial" w:cs="Arial" w:eastAsia="Arial" w:hAnsi="Arial"/>
          <w:sz w:val="18"/>
          <w:szCs w:val="18"/>
          <w:b w:val="1"/>
          <w:bCs w:val="1"/>
          <w:color w:val="auto"/>
        </w:rPr>
        <w:t>Condensed Consolidated Statements of Income</w:t>
      </w:r>
    </w:p>
    <w:p>
      <w:pPr>
        <w:ind w:left="4567"/>
        <w:spacing w:after="0" w:line="203" w:lineRule="auto"/>
        <w:rPr>
          <w:sz w:val="20"/>
          <w:szCs w:val="20"/>
          <w:color w:val="auto"/>
        </w:rPr>
      </w:pPr>
      <w:r>
        <w:rPr>
          <w:rFonts w:ascii="Arial" w:cs="Arial" w:eastAsia="Arial" w:hAnsi="Arial"/>
          <w:sz w:val="18"/>
          <w:szCs w:val="18"/>
          <w:b w:val="1"/>
          <w:bCs w:val="1"/>
          <w:color w:val="auto"/>
        </w:rPr>
        <w:t>Embecta Corp.</w:t>
      </w:r>
    </w:p>
    <w:p>
      <w:pPr>
        <w:jc w:val="center"/>
        <w:ind w:right="393"/>
        <w:spacing w:after="0"/>
        <w:rPr>
          <w:sz w:val="20"/>
          <w:szCs w:val="20"/>
          <w:color w:val="auto"/>
        </w:rPr>
      </w:pPr>
      <w:r>
        <w:rPr>
          <w:rFonts w:ascii="Arial" w:cs="Arial" w:eastAsia="Arial" w:hAnsi="Arial"/>
          <w:sz w:val="18"/>
          <w:szCs w:val="18"/>
          <w:b w:val="1"/>
          <w:bCs w:val="1"/>
          <w:color w:val="auto"/>
        </w:rPr>
        <w:t>(Unaudited)</w:t>
      </w:r>
    </w:p>
    <w:tbl>
      <w:tblPr>
        <w:tblLayout w:type="fixed"/>
        <w:tblInd w:w="67"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2480" w:type="dxa"/>
            <w:vAlign w:val="bottom"/>
            <w:gridSpan w:val="4"/>
          </w:tcPr>
          <w:p>
            <w:pPr>
              <w:jc w:val="right"/>
              <w:ind w:right="99"/>
              <w:spacing w:after="0" w:line="172" w:lineRule="exact"/>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59"/>
              <w:spacing w:after="0" w:line="172" w:lineRule="exact"/>
              <w:rPr>
                <w:sz w:val="20"/>
                <w:szCs w:val="20"/>
                <w:color w:val="auto"/>
              </w:rPr>
            </w:pPr>
            <w:r>
              <w:rPr>
                <w:rFonts w:ascii="Arial" w:cs="Arial" w:eastAsia="Arial" w:hAnsi="Arial"/>
                <w:sz w:val="16"/>
                <w:szCs w:val="16"/>
                <w:b w:val="1"/>
                <w:bCs w:val="1"/>
                <w:color w:val="auto"/>
              </w:rPr>
              <w:t>Nine Months Ended</w:t>
            </w:r>
          </w:p>
        </w:tc>
      </w:tr>
      <w:tr>
        <w:trPr>
          <w:trHeight w:val="216"/>
        </w:trPr>
        <w:tc>
          <w:tcPr>
            <w:tcW w:w="4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0"/>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4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864.5</w:t>
            </w:r>
          </w:p>
        </w:tc>
      </w:tr>
      <w:tr>
        <w:trPr>
          <w:trHeight w:val="24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r>
              <w:rPr>
                <w:rFonts w:ascii="Arial" w:cs="Arial" w:eastAsia="Arial" w:hAnsi="Arial"/>
                <w:sz w:val="21"/>
                <w:szCs w:val="21"/>
                <w:color w:val="auto"/>
                <w:vertAlign w:val="superscript"/>
              </w:rPr>
              <w:t>(1)</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w:t>
            </w:r>
          </w:p>
        </w:tc>
      </w:tr>
      <w:tr>
        <w:trPr>
          <w:trHeight w:val="217"/>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590.2</w:t>
            </w: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
        </w:trPr>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8"/>
        </w:trPr>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8"/>
        </w:trPr>
        <w:tc>
          <w:tcPr>
            <w:tcW w:w="418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215.4</w:t>
            </w:r>
          </w:p>
        </w:tc>
      </w:tr>
      <w:tr>
        <w:trPr>
          <w:trHeight w:val="28"/>
        </w:trPr>
        <w:tc>
          <w:tcPr>
            <w:tcW w:w="4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374.8</w:t>
            </w: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8"/>
        </w:trPr>
        <w:tc>
          <w:tcPr>
            <w:tcW w:w="41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378.5</w:t>
            </w:r>
          </w:p>
        </w:tc>
      </w:tr>
      <w:tr>
        <w:trPr>
          <w:trHeight w:val="28"/>
        </w:trPr>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08"/>
        </w:trPr>
        <w:tc>
          <w:tcPr>
            <w:tcW w:w="4180" w:type="dxa"/>
            <w:vAlign w:val="bottom"/>
          </w:tcPr>
          <w:p>
            <w:pPr>
              <w:ind w:left="106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317.9</w:t>
            </w:r>
          </w:p>
        </w:tc>
      </w:tr>
      <w:tr>
        <w:trPr>
          <w:trHeight w:val="28"/>
        </w:trPr>
        <w:tc>
          <w:tcPr>
            <w:tcW w:w="4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4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
        </w:trPr>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5"/>
        </w:trPr>
        <w:tc>
          <w:tcPr>
            <w:tcW w:w="4180" w:type="dxa"/>
            <w:vAlign w:val="bottom"/>
          </w:tcPr>
          <w:p>
            <w:pPr>
              <w:ind w:left="1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5.50</w:t>
            </w:r>
          </w:p>
        </w:tc>
      </w:tr>
    </w:tbl>
    <w:p>
      <w:pPr>
        <w:spacing w:after="0" w:line="100" w:lineRule="exact"/>
        <w:rPr>
          <w:sz w:val="20"/>
          <w:szCs w:val="20"/>
          <w:color w:val="auto"/>
        </w:rPr>
      </w:pPr>
    </w:p>
    <w:p>
      <w:pPr>
        <w:jc w:val="both"/>
        <w:ind w:left="7" w:hanging="7"/>
        <w:spacing w:after="0" w:line="263" w:lineRule="auto"/>
        <w:tabs>
          <w:tab w:leader="none" w:pos="237"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periods prior to the separation from BD, this income statement line includes cost of products sold from related party inventory purchases. For the three month period ended June 30, 2021, cost of products sold from related party inventory purchases were $11.4 million. For the nine month periods ended June 30, 2022 and 2021, cost of products sold from related party inventory purchases were $22.1 million and $30.4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3"/>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27"/>
          </w:cols>
          <w:pgMar w:left="733" w:top="122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80" w:type="dxa"/>
            <w:vAlign w:val="bottom"/>
          </w:tcPr>
          <w:p>
            <w:pPr>
              <w:ind w:left="700"/>
              <w:spacing w:after="0"/>
              <w:rPr>
                <w:sz w:val="20"/>
                <w:szCs w:val="20"/>
                <w:color w:val="auto"/>
              </w:rPr>
            </w:pPr>
            <w:r>
              <w:rPr>
                <w:rFonts w:ascii="Arial" w:cs="Arial" w:eastAsia="Arial" w:hAnsi="Arial"/>
                <w:sz w:val="16"/>
                <w:szCs w:val="16"/>
                <w:color w:val="auto"/>
              </w:rPr>
              <w:t>Trade receivables, net (net of allowance for doubtful accounts of $1.2 million in 2022 and</w:t>
            </w:r>
          </w:p>
        </w:tc>
        <w:tc>
          <w:tcPr>
            <w:tcW w:w="26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22"/>
        </w:trPr>
        <w:tc>
          <w:tcPr>
            <w:tcW w:w="7380" w:type="dxa"/>
            <w:vAlign w:val="bottom"/>
          </w:tcPr>
          <w:p>
            <w:pPr>
              <w:ind w:left="880"/>
              <w:spacing w:after="0"/>
              <w:rPr>
                <w:sz w:val="20"/>
                <w:szCs w:val="20"/>
                <w:color w:val="auto"/>
              </w:rPr>
            </w:pPr>
            <w:r>
              <w:rPr>
                <w:rFonts w:ascii="Arial" w:cs="Arial" w:eastAsia="Arial" w:hAnsi="Arial"/>
                <w:sz w:val="16"/>
                <w:szCs w:val="16"/>
                <w:color w:val="auto"/>
              </w:rPr>
              <w:t>$2.8 million in 2021)</w:t>
            </w:r>
          </w:p>
        </w:tc>
        <w:tc>
          <w:tcPr>
            <w:tcW w:w="2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Materials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Work in process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Finished products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580.6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451.0</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Salaries, wages and related items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debt obligations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finance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5)</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Common stock, $0.01 par value</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CEEFF"/>
          </w:tcPr>
          <w:p>
            <w:pPr>
              <w:ind w:left="700"/>
              <w:spacing w:after="0" w:line="175" w:lineRule="exact"/>
              <w:rPr>
                <w:sz w:val="20"/>
                <w:szCs w:val="20"/>
                <w:color w:val="auto"/>
              </w:rPr>
            </w:pPr>
            <w:r>
              <w:rPr>
                <w:rFonts w:ascii="Arial" w:cs="Arial" w:eastAsia="Arial" w:hAnsi="Arial"/>
                <w:sz w:val="16"/>
                <w:szCs w:val="16"/>
                <w:color w:val="auto"/>
              </w:rPr>
              <w:t>Authorized - 250,000,000</w:t>
            </w: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Issued and outstanding - 57,806,040</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Net Investment from Becton, Dickinson and Company</w:t>
            </w:r>
          </w:p>
        </w:tc>
        <w:tc>
          <w:tcPr>
            <w:tcW w:w="2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864.8</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Equity</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(847.6)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594.3</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50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Nine Months Ended</w:t>
      </w:r>
    </w:p>
    <w:p>
      <w:pPr>
        <w:jc w:val="center"/>
        <w:ind w:left="72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10795</wp:posOffset>
            </wp:positionV>
            <wp:extent cx="1945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7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317.9</w:t>
            </w:r>
          </w:p>
        </w:tc>
        <w:tc>
          <w:tcPr>
            <w:tcW w:w="0" w:type="dxa"/>
            <w:vAlign w:val="bottom"/>
          </w:tcPr>
          <w:p>
            <w:pPr>
              <w:spacing w:after="0"/>
              <w:rPr>
                <w:sz w:val="1"/>
                <w:szCs w:val="1"/>
                <w:color w:val="auto"/>
              </w:rPr>
            </w:pPr>
          </w:p>
        </w:tc>
      </w:tr>
      <w:tr>
        <w:trPr>
          <w:trHeight w:val="215"/>
        </w:trPr>
        <w:tc>
          <w:tcPr>
            <w:tcW w:w="722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of property, plant and equipment</w:t>
            </w: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Pension expense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060"/>
              <w:spacing w:after="0"/>
              <w:rPr>
                <w:sz w:val="20"/>
                <w:szCs w:val="20"/>
                <w:color w:val="auto"/>
              </w:rPr>
            </w:pPr>
            <w:r>
              <w:rPr>
                <w:rFonts w:ascii="Arial" w:cs="Arial" w:eastAsia="Arial" w:hAnsi="Arial"/>
                <w:sz w:val="16"/>
                <w:szCs w:val="16"/>
                <w:color w:val="auto"/>
              </w:rPr>
              <w:t>Trade receivables,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5"/>
        </w:trPr>
        <w:tc>
          <w:tcPr>
            <w:tcW w:w="7220" w:type="dxa"/>
            <w:vAlign w:val="bottom"/>
          </w:tcPr>
          <w:p>
            <w:pPr>
              <w:ind w:left="1060"/>
              <w:spacing w:after="0"/>
              <w:rPr>
                <w:sz w:val="20"/>
                <w:szCs w:val="20"/>
                <w:color w:val="auto"/>
              </w:rPr>
            </w:pPr>
            <w:r>
              <w:rPr>
                <w:rFonts w:ascii="Arial" w:cs="Arial" w:eastAsia="Arial" w:hAnsi="Arial"/>
                <w:sz w:val="16"/>
                <w:szCs w:val="16"/>
                <w:color w:val="auto"/>
              </w:rPr>
              <w:t>Due from Becton, Dickinson and Company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Prepaid expenses and other</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7220" w:type="dxa"/>
            <w:vAlign w:val="bottom"/>
          </w:tcPr>
          <w:p>
            <w:pPr>
              <w:ind w:left="10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Accrued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5"/>
        </w:trPr>
        <w:tc>
          <w:tcPr>
            <w:tcW w:w="7220" w:type="dxa"/>
            <w:vAlign w:val="bottom"/>
          </w:tcPr>
          <w:p>
            <w:pPr>
              <w:ind w:left="1060"/>
              <w:spacing w:after="0"/>
              <w:rPr>
                <w:sz w:val="20"/>
                <w:szCs w:val="20"/>
                <w:color w:val="auto"/>
              </w:rPr>
            </w:pPr>
            <w:r>
              <w:rPr>
                <w:rFonts w:ascii="Arial" w:cs="Arial" w:eastAsia="Arial" w:hAnsi="Arial"/>
                <w:sz w:val="16"/>
                <w:szCs w:val="16"/>
                <w:color w:val="auto"/>
              </w:rPr>
              <w:t>Income and other net taxes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8"/>
        </w:trPr>
        <w:tc>
          <w:tcPr>
            <w:tcW w:w="7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Capital expenditures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Acquisition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
        </w:trPr>
        <w:tc>
          <w:tcPr>
            <w:tcW w:w="7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Proceeds from the issuance of long-term debt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Payments on long-term debt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 of long-term debt issuance costs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Payment of revolving credit facility fees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finance lease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220" w:type="dxa"/>
            <w:vAlign w:val="bottom"/>
          </w:tcPr>
          <w:p>
            <w:pPr>
              <w:ind w:left="700"/>
              <w:spacing w:after="0"/>
              <w:rPr>
                <w:sz w:val="20"/>
                <w:szCs w:val="20"/>
                <w:color w:val="auto"/>
              </w:rPr>
            </w:pPr>
            <w:r>
              <w:rPr>
                <w:rFonts w:ascii="Arial" w:cs="Arial" w:eastAsia="Arial" w:hAnsi="Arial"/>
                <w:sz w:val="16"/>
                <w:szCs w:val="16"/>
                <w:color w:val="auto"/>
              </w:rPr>
              <w:t>Net consideration paid to Becton, Dickinson and Company in connection with the</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(1,266.0)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7220" w:type="dxa"/>
            <w:vAlign w:val="bottom"/>
          </w:tcPr>
          <w:p>
            <w:pPr>
              <w:ind w:left="880"/>
              <w:spacing w:after="0"/>
              <w:rPr>
                <w:sz w:val="20"/>
                <w:szCs w:val="20"/>
                <w:color w:val="auto"/>
              </w:rPr>
            </w:pPr>
            <w:r>
              <w:rPr>
                <w:rFonts w:ascii="Arial" w:cs="Arial" w:eastAsia="Arial" w:hAnsi="Arial"/>
                <w:sz w:val="16"/>
                <w:szCs w:val="16"/>
                <w:color w:val="auto"/>
              </w:rPr>
              <w:t>Separation</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transfers to Becton, Dickinson and Company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r>
        <w:trPr>
          <w:trHeight w:val="208"/>
        </w:trPr>
        <w:tc>
          <w:tcPr>
            <w:tcW w:w="7220" w:type="dxa"/>
            <w:vAlign w:val="bottom"/>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r>
        <w:trPr>
          <w:trHeight w:val="28"/>
        </w:trPr>
        <w:tc>
          <w:tcPr>
            <w:tcW w:w="7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220" w:type="dxa"/>
            <w:vAlign w:val="bottom"/>
          </w:tcPr>
          <w:p>
            <w:pPr>
              <w:ind w:left="34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Opening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220" w:type="dxa"/>
            <w:vAlign w:val="bottom"/>
          </w:tcPr>
          <w:p>
            <w:pPr>
              <w:ind w:left="340"/>
              <w:spacing w:after="0"/>
              <w:rPr>
                <w:sz w:val="20"/>
                <w:szCs w:val="20"/>
                <w:color w:val="auto"/>
              </w:rPr>
            </w:pPr>
            <w:r>
              <w:rPr>
                <w:rFonts w:ascii="Arial" w:cs="Arial" w:eastAsia="Arial" w:hAnsi="Arial"/>
                <w:sz w:val="16"/>
                <w:szCs w:val="16"/>
                <w:color w:val="auto"/>
              </w:rPr>
              <w:t>Closing Cash and cash equivalents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80"/>
          </w:cols>
          <w:pgMar w:left="800" w:top="1255" w:right="8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Non-GAAP financial measures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as further defined below, (iii) adjusted gross profit and adjusted gross profit margin, and (vi) Constant Currency revenue growth.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shareholders and other readers of our consolidated financial statements in making comparisons to our historical operating results and analyzing the underlying performance of our results of operations. Additionally, EBITDA and Adjusted EBITDA are important metrics for debt investors who utilize debt-to-EBITDA ratios. These non-GAAP financial measures are not intended to be, and should not be, considered separately from, or as an alternative to, the most directly comparable GAAP financial measures.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EBITDA is an important valuation measurement for management and investors given the effect non-cash charges such as amortization related to acquired intangible assets and depreciation of capital equipment have on net income. Additionally, we regard EBITDA as a useful measure of operating performance and cash flow before the effect of interest, taxes, depreciation and amortization and as a complement to operating income, net income and other GAAP financial performance measures. We define adjusted EBITDA as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share-based compensation, (ii) impairment losses incurred, (iii) separation costs associated with our spin-off from BD, and (iv) other significant items management deems irregular or non-operating in nature. We use adjusted EBITDA when evaluating operating performance because we believe the exclusion of such adjustments is necessary to help provide an accurate measure of on-going core operating results and to evaluate comparative results period over period.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 periods ended June 30, 2022, the reconciliation of net income to EBITDA and adjusted EBITDA was as follows: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78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vMerge w:val="continue"/>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317.9</w:t>
            </w:r>
          </w:p>
        </w:tc>
        <w:tc>
          <w:tcPr>
            <w:tcW w:w="0" w:type="dxa"/>
            <w:vAlign w:val="bottom"/>
          </w:tcPr>
          <w:p>
            <w:pPr>
              <w:spacing w:after="0"/>
              <w:rPr>
                <w:sz w:val="1"/>
                <w:szCs w:val="1"/>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8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407.9</w:t>
            </w:r>
          </w:p>
        </w:tc>
        <w:tc>
          <w:tcPr>
            <w:tcW w:w="0" w:type="dxa"/>
            <w:vAlign w:val="bottom"/>
          </w:tcPr>
          <w:p>
            <w:pPr>
              <w:spacing w:after="0"/>
              <w:rPr>
                <w:sz w:val="1"/>
                <w:szCs w:val="1"/>
                <w:color w:val="auto"/>
              </w:rPr>
            </w:pPr>
          </w:p>
        </w:tc>
      </w:tr>
      <w:tr>
        <w:trPr>
          <w:trHeight w:val="208"/>
        </w:trPr>
        <w:tc>
          <w:tcPr>
            <w:tcW w:w="446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One-time costs </w:t>
            </w:r>
            <w:r>
              <w:rPr>
                <w:rFonts w:ascii="Arial" w:cs="Arial" w:eastAsia="Arial" w:hAnsi="Arial"/>
                <w:sz w:val="9"/>
                <w:szCs w:val="9"/>
                <w:b w:val="1"/>
                <w:bCs w:val="1"/>
                <w:color w:val="auto"/>
              </w:rPr>
              <w:t>(1) (2)</w:t>
            </w: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color w:val="auto"/>
              </w:rPr>
              <w:t xml:space="preserve">Impairment losses </w:t>
            </w:r>
            <w:r>
              <w:rPr>
                <w:rFonts w:ascii="Arial" w:cs="Arial" w:eastAsia="Arial" w:hAnsi="Arial"/>
                <w:sz w:val="9"/>
                <w:szCs w:val="9"/>
                <w:b w:val="1"/>
                <w:bCs w:val="1"/>
                <w:color w:val="auto"/>
              </w:rPr>
              <w:t>(3)</w:t>
            </w:r>
          </w:p>
        </w:tc>
        <w:tc>
          <w:tcPr>
            <w:tcW w:w="8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433.4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00" w:right="40" w:hanging="388"/>
        <w:spacing w:after="0" w:line="23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One-time costs incurred during the three months ended June 30, 2022 primarily include costs to stand up the Company. Approximately $7.7 million of the one-time costs are recorded in Other operating expenses, $1.7 million are recorded in Selling, general and administrative expenses, $0.3 million are recorded in Research and development expense, and $0.2 million are recorded in Cost of products sold. For the three months ended June 30, 2021, $2.1 million of the one-time costs are classified in Other operating expenses.</w:t>
      </w:r>
    </w:p>
    <w:p>
      <w:pPr>
        <w:spacing w:after="0" w:line="2" w:lineRule="exact"/>
        <w:rPr>
          <w:rFonts w:ascii="Arial" w:cs="Arial" w:eastAsia="Arial" w:hAnsi="Arial"/>
          <w:sz w:val="14"/>
          <w:szCs w:val="14"/>
          <w:color w:val="auto"/>
        </w:rPr>
      </w:pPr>
    </w:p>
    <w:p>
      <w:pPr>
        <w:ind w:left="500" w:right="20" w:hanging="388"/>
        <w:spacing w:after="0" w:line="23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One-time costs incurred during the nine months ended June 30, 2022 primarily include costs to stand up the Company. Approximately $23.5 million of the one-time costs are recorded in Other operating expenses, $1.7 million are recorded in Selling, general and administrative expenses, $0.3 million are recorded in Research and development expense, and $0.2 million are recorded in Cost of products sold. For the nine months ended June 30, 2021, $2.1 million of the one-time costs are classified in Other operating expenses.</w:t>
      </w:r>
    </w:p>
    <w:p>
      <w:pPr>
        <w:spacing w:after="0" w:line="26"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Relates to impairment charges incurred during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238" w:right="339" w:bottom="1440" w:gutter="0" w:footer="0" w:header="0"/>
        </w:sectPr>
      </w:pPr>
    </w:p>
    <w:bookmarkStart w:id="10" w:name="page11"/>
    <w:bookmarkEnd w:id="10"/>
    <w:p>
      <w:pPr>
        <w:ind w:right="20"/>
        <w:spacing w:after="0" w:line="267" w:lineRule="auto"/>
        <w:rPr>
          <w:sz w:val="20"/>
          <w:szCs w:val="20"/>
          <w:color w:val="auto"/>
        </w:rPr>
      </w:pPr>
      <w:r>
        <w:rPr>
          <w:rFonts w:ascii="Arial" w:cs="Arial" w:eastAsia="Arial" w:hAnsi="Arial"/>
          <w:sz w:val="17"/>
          <w:szCs w:val="17"/>
          <w:color w:val="auto"/>
        </w:rPr>
        <w:t>For the three and nine month periods ended June 30, 2022, the reconciliation of GAAP Gross Profit and Gross Margin to Non-GAAP Adjusted Gross Profit and Adjusted Gross Margin was as follows:</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78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0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vMerge w:val="continue"/>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7"/>
                <w:szCs w:val="17"/>
                <w:color w:val="auto"/>
              </w:rPr>
            </w:pPr>
          </w:p>
        </w:tc>
        <w:tc>
          <w:tcPr>
            <w:tcW w:w="11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99"/>
              </w:rPr>
              <w:t>291.1</w:t>
            </w:r>
          </w:p>
        </w:tc>
        <w:tc>
          <w:tcPr>
            <w:tcW w:w="10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9"/>
              </w:rPr>
              <w:t>295.0</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854.9</w:t>
            </w:r>
          </w:p>
        </w:tc>
        <w:tc>
          <w:tcPr>
            <w:tcW w:w="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864.5</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0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88.2</w:t>
            </w:r>
          </w:p>
        </w:tc>
        <w:tc>
          <w:tcPr>
            <w:tcW w:w="108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256.9</w:t>
            </w:r>
          </w:p>
        </w:tc>
        <w:tc>
          <w:tcPr>
            <w:tcW w:w="5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99"/>
              </w:rPr>
              <w:t>202.9</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202.6</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598.0</w:t>
            </w:r>
          </w:p>
        </w:tc>
        <w:tc>
          <w:tcPr>
            <w:tcW w:w="5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590.2</w:t>
            </w: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69.7 %</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68.7 %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69.9 %</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68.3 %</w:t>
            </w:r>
          </w:p>
        </w:tc>
        <w:tc>
          <w:tcPr>
            <w:tcW w:w="0" w:type="dxa"/>
            <w:vAlign w:val="bottom"/>
          </w:tcPr>
          <w:p>
            <w:pPr>
              <w:spacing w:after="0"/>
              <w:rPr>
                <w:sz w:val="1"/>
                <w:szCs w:val="1"/>
                <w:color w:val="auto"/>
              </w:rPr>
            </w:pPr>
          </w:p>
        </w:tc>
      </w:tr>
      <w:tr>
        <w:trPr>
          <w:trHeight w:val="29"/>
        </w:trPr>
        <w:tc>
          <w:tcPr>
            <w:tcW w:w="3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0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10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5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6"/>
                <w:szCs w:val="16"/>
                <w:color w:val="auto"/>
              </w:rPr>
              <w:t>Impairment losses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Adjusted Gross Profit </w:t>
            </w:r>
            <w:r>
              <w:rPr>
                <w:rFonts w:ascii="Arial" w:cs="Arial" w:eastAsia="Arial" w:hAnsi="Arial"/>
                <w:sz w:val="9"/>
                <w:szCs w:val="9"/>
                <w:b w:val="1"/>
                <w:bCs w:val="1"/>
                <w:color w:val="auto"/>
              </w:rPr>
              <w:t>(1)</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99"/>
              </w:rPr>
              <w:t>203.1</w:t>
            </w:r>
          </w:p>
        </w:tc>
        <w:tc>
          <w:tcPr>
            <w:tcW w:w="10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9"/>
              </w:rPr>
              <w:t>206.4</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598.2</w:t>
            </w:r>
          </w:p>
        </w:tc>
        <w:tc>
          <w:tcPr>
            <w:tcW w:w="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604.0</w:t>
            </w:r>
          </w:p>
        </w:tc>
        <w:tc>
          <w:tcPr>
            <w:tcW w:w="0" w:type="dxa"/>
            <w:vAlign w:val="bottom"/>
          </w:tcPr>
          <w:p>
            <w:pPr>
              <w:spacing w:after="0"/>
              <w:rPr>
                <w:sz w:val="1"/>
                <w:szCs w:val="1"/>
                <w:color w:val="auto"/>
              </w:rPr>
            </w:pPr>
          </w:p>
        </w:tc>
      </w:tr>
      <w:tr>
        <w:trPr>
          <w:trHeight w:val="222"/>
        </w:trPr>
        <w:tc>
          <w:tcPr>
            <w:tcW w:w="3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69.8 %</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70.0 %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70.0 %</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69.9 %</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60" w:right="260" w:hanging="4"/>
        <w:spacing w:after="0" w:line="285" w:lineRule="auto"/>
        <w:tabs>
          <w:tab w:leader="none" w:pos="876"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Gross Profit is calculated by excluding impairment losses and the portion of stock-based compensation expense allocated to Cost of sales associated with the modification of employee share awards on the Separation date.</w:t>
      </w:r>
    </w:p>
    <w:p>
      <w:pPr>
        <w:spacing w:after="0" w:line="104"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 the three and nine month periods ended June 30, 2022, the reconciliation of revenue growth to Constant Currency was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rPr>
              <w:t>Three months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0"/>
        </w:trPr>
        <w:tc>
          <w:tcPr>
            <w:tcW w:w="43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5"/>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rPr>
              <w:t>Nine months ended June 30,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0"/>
        </w:trPr>
        <w:tc>
          <w:tcPr>
            <w:tcW w:w="43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5"/>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238"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About embecta</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embecta, formerly part of BD (Becton, Dickinson and Company), is one of the largest pure-play diabetes care companies in the world, leveraging its nearly 100-year legacy in insulin delivery to empower people with diabetes to live their best life through innovative solutions, partnerships and the passion of more than 2,000 employees around the globe. For more information, visit embecta.com, the content of which is not a part of this press release.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or similar expressions, we are making forward-looking statements. For example, embecta is using forward-looking statements when it discusses its fiscal 2022 financial guidance and its capabilities as an independent company and strategic priorities, including its ability to optimize its product portfolio and achieve more efficient resource and capital allocation.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events that adversely affect the sale or profitability of embecta’s products or the revenues delivered from sales to its customers, (iii) any failure by BD to perform of its obligations under the various separation agreements entered into in connection with the separation and distribution; (iv)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 changes in reimbursement practices of governments or private payers or other cost containment measures; (vi) the adverse financial impact resulting from unfavorable changes in foreign currency exchange rates, as well as regional, national and foreign economic factors, including inflation, deflation, and fluctuations in interest rates; (vii) the impact of changes in U.S. federal laws and policy that could affect fiscal and tax policies, healthcare and international trade, including import and export regulation and international trade agreements; (viii) any impact of the COVID-19 pandemic, including disruptions in its operations and supply chains; (ix) new or changing laws and regulations, or changes in enforcement practices, including laws relating to healthcare, environmental protection, trade, monetary and fiscal policies, taxation and licensing and regulatory requirements for products; (x) the expected benefits of the separation from BD; (xi) risks associated with embecta’s indebtedness; (xii) the risk that embecta’s separation from BD will be more difficult or costly than expected; and (xiii) the other risks described in our periodic reports filed with the Securities and Exchange Commission (“SEC”), including under the caption “Risk Factors” in our Information Statement dated February 11, 2022, filed with the SEC on February 11, 2022 as Exhibit 99.1 to our Current Report on Form 8-K. Except as required by law, we undertake no obligation to update any forward-looking statements appearing in this release.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3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auto"/>
        </w:rPr>
        <w:t>Contact IR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line="232"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color w:val="auto"/>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2022-08-15T06:04:50Z</dcterms:created>
  <dcterms:modified xsi:type="dcterms:W3CDTF">2022-08-15T06:04:50Z</dcterms:modified>
</cp:coreProperties>
</file>