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184785</wp:posOffset>
            </wp:positionV>
            <wp:extent cx="64122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199390</wp:posOffset>
            </wp:positionV>
            <wp:extent cx="6412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191135</wp:posOffset>
            </wp:positionV>
            <wp:extent cx="64122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313055</wp:posOffset>
            </wp:positionV>
            <wp:extent cx="64122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34"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510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8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49"/>
        </w:trPr>
        <w:tc>
          <w:tcPr>
            <w:tcW w:w="5100" w:type="dxa"/>
            <w:vAlign w:val="bottom"/>
          </w:tcPr>
          <w:p>
            <w:pPr>
              <w:jc w:val="center"/>
              <w:ind w:right="167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880" w:type="dxa"/>
            <w:vAlign w:val="bottom"/>
          </w:tcPr>
          <w:p>
            <w:pPr>
              <w:jc w:val="center"/>
              <w:ind w:left="16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00" w:type="dxa"/>
            <w:vAlign w:val="bottom"/>
          </w:tcPr>
          <w:p>
            <w:pPr>
              <w:spacing w:after="0"/>
              <w:rPr>
                <w:sz w:val="16"/>
                <w:szCs w:val="16"/>
                <w:color w:val="auto"/>
              </w:rPr>
            </w:pP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510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9"/>
              </w:rPr>
              <w:t>300 Kimball Drive, Parsippany, New Jersey</w:t>
            </w:r>
          </w:p>
        </w:tc>
        <w:tc>
          <w:tcPr>
            <w:tcW w:w="28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190"/>
        </w:trPr>
        <w:tc>
          <w:tcPr>
            <w:tcW w:w="5100" w:type="dxa"/>
            <w:vAlign w:val="bottom"/>
          </w:tcPr>
          <w:p>
            <w:pPr>
              <w:jc w:val="center"/>
              <w:ind w:right="16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4"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220" w:type="dxa"/>
            <w:vAlign w:val="bottom"/>
          </w:tcPr>
          <w:p>
            <w:pPr>
              <w:spacing w:after="0"/>
              <w:rPr>
                <w:sz w:val="18"/>
                <w:szCs w:val="18"/>
                <w:color w:val="auto"/>
              </w:rPr>
            </w:pP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2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EMBC</w:t>
            </w:r>
          </w:p>
        </w:tc>
        <w:tc>
          <w:tcPr>
            <w:tcW w:w="22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 (Nasdaq Global Select Market)</w:t>
            </w:r>
          </w:p>
        </w:tc>
      </w:tr>
    </w:tbl>
    <w:p>
      <w:pPr>
        <w:spacing w:after="0" w:line="29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Embecta Corp. (“embecta”) held its Annual Meeting of Stockholders on February 7, 2024 (the “2024 Annual Meeting”). The final voting results for each of the matters submitted to a vote of stockholders at the 2024 Annual Meeting are as follows: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1</w:t>
      </w:r>
      <w:r>
        <w:rPr>
          <w:rFonts w:ascii="Times New Roman" w:cs="Times New Roman" w:eastAsia="Times New Roman" w:hAnsi="Times New Roman"/>
          <w:sz w:val="18"/>
          <w:szCs w:val="18"/>
          <w:color w:val="auto"/>
        </w:rPr>
        <w:t>: All of the Board of Directors’ Class II nominees for director were elected to serve for a term of two years (until the 2026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by the votes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7"/>
        </w:trPr>
        <w:tc>
          <w:tcPr>
            <w:tcW w:w="2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Dr. Milton M. Morris</w:t>
            </w:r>
          </w:p>
        </w:tc>
        <w:tc>
          <w:tcPr>
            <w:tcW w:w="2120" w:type="dxa"/>
            <w:vAlign w:val="bottom"/>
            <w:tcBorders>
              <w:bottom w:val="single" w:sz="8" w:color="CCEEFF"/>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46,537,216</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89,283</w:t>
            </w:r>
          </w:p>
        </w:tc>
        <w:tc>
          <w:tcPr>
            <w:tcW w:w="206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42,161</w:t>
            </w:r>
          </w:p>
        </w:tc>
        <w:tc>
          <w:tcPr>
            <w:tcW w:w="24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5,070,312</w:t>
            </w:r>
          </w:p>
        </w:tc>
      </w:tr>
      <w:tr>
        <w:trPr>
          <w:trHeight w:val="243"/>
        </w:trPr>
        <w:tc>
          <w:tcPr>
            <w:tcW w:w="24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Dr. Claire Pomeroy</w:t>
            </w:r>
          </w:p>
        </w:tc>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45,921,180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706,169</w:t>
            </w:r>
          </w:p>
        </w:tc>
        <w:tc>
          <w:tcPr>
            <w:tcW w:w="20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41,311</w:t>
            </w: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5,070,312</w:t>
            </w:r>
          </w:p>
        </w:tc>
      </w:tr>
      <w:tr>
        <w:trPr>
          <w:trHeight w:val="27"/>
        </w:trPr>
        <w:tc>
          <w:tcPr>
            <w:tcW w:w="2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43"/>
        </w:trPr>
        <w:tc>
          <w:tcPr>
            <w:tcW w:w="24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Karen N. Prange</w:t>
            </w:r>
          </w:p>
        </w:tc>
        <w:tc>
          <w:tcPr>
            <w:tcW w:w="212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46,385,304</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242,159</w:t>
            </w:r>
          </w:p>
        </w:tc>
        <w:tc>
          <w:tcPr>
            <w:tcW w:w="20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41,197</w:t>
            </w:r>
          </w:p>
        </w:tc>
        <w:tc>
          <w:tcPr>
            <w:tcW w:w="24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5,070,312</w:t>
            </w:r>
          </w:p>
        </w:tc>
      </w:tr>
      <w:tr>
        <w:trPr>
          <w:trHeight w:val="27"/>
        </w:trPr>
        <w:tc>
          <w:tcPr>
            <w:tcW w:w="24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appointment of Ernst &amp; Young LLP as embecta’s independent registered public accounting firm for fiscal year 2024 was ratified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by the votes set forth in the table below.</w:t>
      </w:r>
    </w:p>
    <w:p>
      <w:pPr>
        <w:sectPr>
          <w:pgSz w:w="11900" w:h="16838" w:orient="portrait"/>
          <w:cols w:equalWidth="0" w:num="1">
            <w:col w:w="11240"/>
          </w:cols>
          <w:pgMar w:left="320" w:top="819" w:right="339" w:bottom="1440" w:gutter="0" w:footer="0" w:header="0"/>
        </w:sectPr>
      </w:pP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51" w:lineRule="exact"/>
        <w:rPr>
          <w:sz w:val="20"/>
          <w:szCs w:val="20"/>
          <w:color w:val="auto"/>
        </w:rPr>
      </w:pPr>
    </w:p>
    <w:p>
      <w:pPr>
        <w:sectPr>
          <w:pgSz w:w="11900" w:h="16838" w:orient="portrait"/>
          <w:cols w:equalWidth="0" w:num="4">
            <w:col w:w="3200" w:space="720"/>
            <w:col w:w="2080" w:space="720"/>
            <w:col w:w="1700" w:space="720"/>
            <w:col w:w="2100"/>
          </w:cols>
          <w:pgMar w:left="320" w:top="819"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51,579,075</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Times New Roman" w:cs="Times New Roman" w:eastAsia="Times New Roman" w:hAnsi="Times New Roman"/>
          <w:sz w:val="17"/>
          <w:szCs w:val="17"/>
          <w:color w:val="auto"/>
        </w:rPr>
        <w:t>96,703</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Times New Roman" w:cs="Times New Roman" w:eastAsia="Times New Roman" w:hAnsi="Times New Roman"/>
          <w:sz w:val="18"/>
          <w:szCs w:val="18"/>
          <w:color w:val="auto"/>
        </w:rPr>
        <w:t>63,194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ectPr>
          <w:pgSz w:w="11900" w:h="16838" w:orient="portrait"/>
          <w:cols w:equalWidth="0" w:num="4">
            <w:col w:w="3260" w:space="720"/>
            <w:col w:w="2080" w:space="720"/>
            <w:col w:w="2180" w:space="720"/>
            <w:col w:w="1560"/>
          </w:cols>
          <w:pgMar w:left="320" w:top="819" w:right="339" w:bottom="1440" w:gutter="0" w:footer="0" w:header="0"/>
          <w:type w:val="continuous"/>
        </w:sectPr>
      </w:pPr>
    </w:p>
    <w:p>
      <w:pPr>
        <w:spacing w:after="0" w:line="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approved, on an advisory, non-binding basis, the compensation of embecta’s named executive officers by the votes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in the table below.</w:t>
      </w:r>
    </w:p>
    <w:p>
      <w:pPr>
        <w:sectPr>
          <w:pgSz w:w="11900" w:h="16838" w:orient="portrait"/>
          <w:cols w:equalWidth="0" w:num="1">
            <w:col w:w="11240"/>
          </w:cols>
          <w:pgMar w:left="320" w:top="819" w:right="339" w:bottom="1440" w:gutter="0" w:footer="0" w:header="0"/>
          <w:type w:val="continuous"/>
        </w:sectPr>
      </w:pP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78" w:lineRule="exact"/>
        <w:rPr>
          <w:sz w:val="20"/>
          <w:szCs w:val="20"/>
          <w:color w:val="auto"/>
        </w:rPr>
      </w:pPr>
    </w:p>
    <w:p>
      <w:pPr>
        <w:sectPr>
          <w:pgSz w:w="11900" w:h="16838" w:orient="portrait"/>
          <w:cols w:equalWidth="0" w:num="4">
            <w:col w:w="3200" w:space="720"/>
            <w:col w:w="2080" w:space="720"/>
            <w:col w:w="1700" w:space="720"/>
            <w:col w:w="2100"/>
          </w:cols>
          <w:pgMar w:left="320" w:top="819"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46,011,161</w:t>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Times New Roman" w:cs="Times New Roman" w:eastAsia="Times New Roman" w:hAnsi="Times New Roman"/>
          <w:sz w:val="18"/>
          <w:szCs w:val="18"/>
          <w:color w:val="auto"/>
        </w:rPr>
        <w:t>586,124</w:t>
      </w:r>
    </w:p>
    <w:p>
      <w:pPr>
        <w:spacing w:after="0" w:line="20" w:lineRule="exact"/>
        <w:rPr>
          <w:sz w:val="20"/>
          <w:szCs w:val="20"/>
          <w:color w:val="auto"/>
        </w:rPr>
      </w:pPr>
      <w:r>
        <w:rPr>
          <w:sz w:val="20"/>
          <w:szCs w:val="20"/>
          <w:color w:val="auto"/>
        </w:rPr>
        <w:br w:type="column"/>
      </w:r>
    </w:p>
    <w:p>
      <w:pPr>
        <w:jc w:val="center"/>
        <w:ind w:right="1480"/>
        <w:spacing w:after="0"/>
        <w:rPr>
          <w:sz w:val="20"/>
          <w:szCs w:val="20"/>
          <w:color w:val="auto"/>
        </w:rPr>
      </w:pPr>
      <w:r>
        <w:rPr>
          <w:rFonts w:ascii="Times New Roman" w:cs="Times New Roman" w:eastAsia="Times New Roman" w:hAnsi="Times New Roman"/>
          <w:sz w:val="18"/>
          <w:szCs w:val="18"/>
          <w:color w:val="auto"/>
        </w:rPr>
        <w:t>71,375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5,070,312</w:t>
      </w:r>
    </w:p>
    <w:p>
      <w:pPr>
        <w:spacing w:after="0" w:line="200" w:lineRule="exact"/>
        <w:rPr>
          <w:sz w:val="20"/>
          <w:szCs w:val="20"/>
          <w:color w:val="auto"/>
        </w:rPr>
      </w:pPr>
    </w:p>
    <w:p>
      <w:pPr>
        <w:sectPr>
          <w:pgSz w:w="11900" w:h="16838" w:orient="portrait"/>
          <w:cols w:equalWidth="0" w:num="4">
            <w:col w:w="3200" w:space="720"/>
            <w:col w:w="2140" w:space="720"/>
            <w:col w:w="1980" w:space="720"/>
            <w:col w:w="1760"/>
          </w:cols>
          <w:pgMar w:left="320" w:top="819" w:right="339" w:bottom="1440" w:gutter="0" w:footer="0" w:header="0"/>
          <w:type w:val="continuous"/>
        </w:sectPr>
      </w:pPr>
    </w:p>
    <w:p>
      <w:pPr>
        <w:spacing w:after="0" w:line="4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4</w:t>
      </w:r>
      <w:r>
        <w:rPr>
          <w:rFonts w:ascii="Times New Roman" w:cs="Times New Roman" w:eastAsia="Times New Roman" w:hAnsi="Times New Roman"/>
          <w:sz w:val="18"/>
          <w:szCs w:val="18"/>
          <w:color w:val="auto"/>
        </w:rPr>
        <w:t>: The stockholders approved an amendment to the Embecta Corp. 2022 Employee and Director Equity-Based Compensation Plan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set forth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0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0"/>
        </w:trPr>
        <w:tc>
          <w:tcPr>
            <w:tcW w:w="28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42,462,787</w:t>
            </w:r>
          </w:p>
        </w:tc>
        <w:tc>
          <w:tcPr>
            <w:tcW w:w="28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4,138,521</w:t>
            </w:r>
          </w:p>
        </w:tc>
        <w:tc>
          <w:tcPr>
            <w:tcW w:w="25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67,352</w:t>
            </w:r>
          </w:p>
        </w:tc>
        <w:tc>
          <w:tcPr>
            <w:tcW w:w="30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5,070,312</w:t>
            </w:r>
          </w:p>
        </w:tc>
      </w:tr>
      <w:tr>
        <w:trPr>
          <w:trHeight w:val="1559"/>
        </w:trPr>
        <w:tc>
          <w:tcPr>
            <w:tcW w:w="2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9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EMBECTA CORP.</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Jeff Mann</w:t>
            </w:r>
          </w:p>
        </w:tc>
      </w:tr>
      <w:tr>
        <w:trPr>
          <w:trHeight w:val="228"/>
        </w:trPr>
        <w:tc>
          <w:tcPr>
            <w:tcW w:w="1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 General Counsel, Head of Business Development and Corporate Secretary</w:t>
            </w:r>
          </w:p>
        </w:tc>
      </w:tr>
      <w:tr>
        <w:trPr>
          <w:trHeight w:val="4768"/>
        </w:trPr>
        <w:tc>
          <w:tcPr>
            <w:tcW w:w="1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2024-02-09T15:39:13Z</dcterms:created>
  <dcterms:modified xsi:type="dcterms:W3CDTF">2024-02-09T15:39:13Z</dcterms:modified>
</cp:coreProperties>
</file>