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0" w:lineRule="exact"/>
        <w:rPr>
          <w:sz w:val="24"/>
          <w:szCs w:val="24"/>
          <w:color w:val="auto"/>
        </w:rPr>
      </w:pPr>
    </w:p>
    <w:p>
      <w:pPr>
        <w:ind w:left="3900" w:right="1880" w:hanging="3703"/>
        <w:spacing w:after="0" w:line="396" w:lineRule="auto"/>
        <w:tabs>
          <w:tab w:leader="none" w:pos="5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September 30, 2025</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spacing w:after="0" w:line="249" w:lineRule="exact"/>
        <w:rPr>
          <w:sz w:val="24"/>
          <w:szCs w:val="24"/>
          <w:color w:val="auto"/>
        </w:rPr>
      </w:pPr>
    </w:p>
    <w:p>
      <w:pPr>
        <w:ind w:left="4220" w:right="1480" w:hanging="4023"/>
        <w:spacing w:after="0" w:line="406" w:lineRule="auto"/>
        <w:tabs>
          <w:tab w:leader="none" w:pos="598"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 to 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4"/>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jc w:val="right"/>
              <w:ind w:right="248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42"/>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(862) 401-0000</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2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86"/>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9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01"/>
        </w:trPr>
        <w:tc>
          <w:tcPr>
            <w:tcW w:w="4960" w:type="dxa"/>
            <w:vAlign w:val="bottom"/>
            <w:gridSpan w:val="3"/>
          </w:tcPr>
          <w:p>
            <w:pPr>
              <w:jc w:val="center"/>
              <w:ind w:right="5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880" w:type="dxa"/>
            <w:vAlign w:val="bottom"/>
            <w:gridSpan w:val="2"/>
          </w:tcPr>
          <w:p>
            <w:pPr>
              <w:jc w:val="center"/>
              <w:ind w:right="5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0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computed by reference to the closing price at which the common stock was sold as of the end of the second fiscal quarter ended March 31, 2025, was approximately $732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58,512,841 shares of common stock as of November 18, 2025.</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required by Items 10, 11, 12, 13 and 14 of Part III of this Annual Report on Form 10-K is incorporated by reference to the Registrant’s definitive proxy statement for its 2026 Annual Meeting of Stockholders (the “2026 Proxy Statement”), which will be filed pursuant to Regulation 14A with the United States Securities and Exchange Commission (“SEC”)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Embecta Corp.</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12"/>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2025 Form 10-K Annual Report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00" w:type="dxa"/>
            <w:vAlign w:val="bottom"/>
            <w:gridSpan w:val="6"/>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100" w:type="dxa"/>
            <w:vAlign w:val="bottom"/>
            <w:gridSpan w:val="21"/>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1C.</w:t>
            </w:r>
          </w:p>
        </w:tc>
        <w:tc>
          <w:tcPr>
            <w:tcW w:w="2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700" w:type="dxa"/>
            <w:vAlign w:val="bottom"/>
            <w:gridSpan w:val="1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780" w:type="dxa"/>
            <w:vAlign w:val="bottom"/>
            <w:gridSpan w:val="1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1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0" w:type="dxa"/>
            <w:vAlign w:val="bottom"/>
            <w:gridSpan w:val="16"/>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 Reserved ].</w:t>
            </w:r>
          </w:p>
        </w:tc>
        <w:tc>
          <w:tcPr>
            <w:tcW w:w="7840" w:type="dxa"/>
            <w:vAlign w:val="bottom"/>
            <w:gridSpan w:val="19"/>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4"/>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80" w:type="dxa"/>
            <w:vAlign w:val="bottom"/>
            <w:gridSpan w:val="7"/>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6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16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3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980" w:type="dxa"/>
            <w:vAlign w:val="bottom"/>
            <w:gridSpan w:val="14"/>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1120" w:type="dxa"/>
            <w:vAlign w:val="bottom"/>
            <w:gridSpan w:val="2"/>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40" w:type="dxa"/>
            <w:vAlign w:val="bottom"/>
            <w:gridSpan w:val="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3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6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00" w:type="dxa"/>
            <w:vAlign w:val="bottom"/>
            <w:gridSpan w:val="5"/>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6"/>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140" w:type="dxa"/>
            <w:vAlign w:val="bottom"/>
            <w:gridSpan w:val="3"/>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3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(also referred to herein as "Embecta") is a leading global medical device company, primarily focused on providing solutions to improve the health and well-being of people living with diabetes. All references in this Form 10-K to "Embecta", "the Company", "we", "our" or "us" refer to Embecta Corp., a Delaware corporation, and its subsidiaries, unless otherwise indicated by the context.</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Building on our 100-year centennial, we believe that our products have become one of the most widely recognized and respected brands in diabetes management throughout the world. We estimate that our products are used by more than 30 million people in over 100 countries for insulin administration and to aid with the daily management of diabetes.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conventional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conventional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arm that can be activated with one-hand after the injection to help protect healthcare workers from needlestick injuries.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selling pen needles, syringes and safety devices, we seek to promote advances in diabetes care through thought leadership, and engagement with the diabetes community, healthcare providers and other stakeholders. In addition, we intend to continue to explore strategic collaborative partnerships and acquisition opportunities that enable us to accelerate our growth and give us access to innovative technologies, complementary product lines, and new markets.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diabetes care industry is highly competitive, subject to rapid change and significantly affected by new product introductions and innovation.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Companies with whom we currently compete in the diabetes drug injection business include Novo Nordisk, MTD Group, and Terumo Medical Corporation. We also compete with providers of insulin pumps and other insulin administration devices. We compete in the marketplace based on a number of factors, including product quality, clinical innovation, price, service, reputation and commercial excellence.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global manufacturing and distribution network, together with our commercial team,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We distribute our products through a variety of channels, including retail, hospitals, pharmacies and other institutional channels. Our commercial team and distribution networks enable us to reach a broad base of customers across the globe.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a broad range of raw materials in the manufacture of our products. We purchase all our raw materials and certain components from third-party suppliers. The primary materials that make up our pen needles and insulin syringes are cannula, plastic resin, adhesive, needle lubricants, rubber stoppers and packaging material. We purchase most of these and other materials from a single or limited number of sources for various reasons, including quality assurance, cost-effectiveness, and continuity of supply, among others.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separation from Becton, Dickinson and Company ("BD") in 2022 (the “Separation”), we entered into a cannula supply agreement</w:t>
      </w:r>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with BD, whereby BD sells to us cannulas for incorporation into our pen needles and syringes. BD retained ownership of all cannula production activities and the associated intellectual property rights of BD and its subsidiaries relating to cannula, the manufacture thereof and other critical cannula-related technology.</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design and formulation of certain materials and components is proprietary and the intellectual property rights may be owned exclusively by one party. In the case of sole sourced parts, we manage risk through holding inventory ourselves and at our suppliers' facilities to ensure continuity of supply and lower the risk of disruption.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strategy seeks to update and develop enhanced technology for our portfolio of current and future products by focusing on patient unmet needs and market expansion.</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exploring the development of products that allow us to expand our portfolio outside of diabetes. For example, we intend to work on development of new products in category and patient adjacencies, such as drug delivery and chronic care, that leverage our manufacturing and channel expertise.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no single patent or patent family is material to our business, our pen needle and syringe products contain features that are protected by a portfolio of utility and design patents and pending patent applications, including features related to safety, comfort, ease of use, and visual features. Generally, patent protection for these products and technologies is sought in the United States, Canada, Europe, China and Japan. We are not aware of any pending third-party claims or challenges that would be expected to materially affect the patent protection of these products or technologies.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2025, we held about 655 patents in the United States and in various foreign countries in which we conduct business, as well as about 45 patent applications pending worldwide, protecting our core injection business. The majority of our United States and foreign patents for individual products are in force for twenty years from the initial filing date. The actual protection afforded by a patent, which can vary from country to country, depends upon the type of patent, the scope of its coverage and the availability of legal remedies in the country.</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and services are sold around the world under various trade names, trademarks and brand names, which we consider to be valuable in the marketing of our products in each segment. As of September 30, 2025, we had about 455 trademark registrations in the United States and in various foreign countries in which we conduct business, as well as about 160 trademark applications pending worldwide for our core injection business.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owns, and BD provides Embecta a license to use, intellectual property rights necessary to operate our business. BD grants Embecta a license to use such intellectual property rights on the terms and conditions set forth in an intellectual property matters agreement, which are described under “Spinoff from BD.”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products and operations are subject to, and affected by, regulations of medical devices and drugs promulgated by federal, state and local authorities in the United States, including the U.S. Food and Drug Administration ("FDA"), other national regulatory agencies, and foreign regulatory authorities with jurisdiction over our foreign operations. FDA and other regulations govern, among other things, product design and development, preclinical and clinical testing, pre-market clearance and approval, manufacturing, labeling, product storage, supply chain, global trade, advertising and promotion, sales and distribution, pricing and reimbursement, sampling, quality control, post-market adverse event reporting, postmarket surveillance, complaint handling, repair or recall of products, record keeping, storage, and disposal activities. These regulations not only affect products in our existing markets, but also our ability to market new products under development. For existing and potential new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 Additionally, changes in legislation or government policies, including with respect to licensing, health information, privacy and data privacy, security, cybersecurity, healthcare costs, protection of the confidentiality of certain personal information (including patient health information, financial information and other sensitive personal information), reimbursement, coverage and access, can substantially increase the time, difficulty, and costs incurred in developing, maintaining, and obtaining market clearance or approval, and marketing newly developed or existing products, and can have a material impact on our worldwide operations.</w:t>
      </w:r>
    </w:p>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maintain robust FDA Quality System Regulation and ISO Quality Systems that establish standards for our product design, manufacturing, testing, recording keeping, and distribution processes, inclusive of Current Good Manufacturing Practices. The FDA and other regulatory agencies engage in periodic reviews and inspections of our quality systems, as well as product performance and advertising and promotional materials. As a medical device manufacturer and distributor, our manufacturing facilities and the facilities of our suppliers are subject to periodic inspection by the FDA, certain corresponding state agencies, and other national and foreign regulatory authorities. Prior to marketing or selling most of our products, we must secure clearance or approval from the FDA and counterpart non-United States regulatory agencies. These regulatory controls, as well as any changes in agency policies, can affect the time and cost associated with the development, introduction and continued availability of new and existing products. Where possible, we anticipate these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factors in product development and planning processes. These agencies possess the authority to take various administrative and legal actions against us, such as product recalls, product seizures and other civil and criminal sanctions.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International sales of our products are subject to foreign government regulations, which may vary substantially from country to country. The time required to obtain clearance or approval by a foreign regulatory authority may be longer or shorter than that required for FDA clearance or approval, and the requirements may differ significantly, particularly outside of the European Union, Canada and other industrialized countries. The European Union has adopted various regulations and directives regulating the design, development, clinical trials, manufacture, labeling, and adverse event reporting, among other things, for medical devices, including the EU Medical Device Regulation. Assessing conformity with the various regulations and directives depends on the class of product, usually including scrutiny and audit by a third-party “Notified Body” which is required for a manufacturer to commercially distribute the product throughout the European Union and affix the mandatory conforming marking, otherwise known as the CE mark, to their medical devices.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and operations. These global changes are monitored and reviewed as part of the overall quality lifecycle.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risks related to government regulations,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from BD</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B2A29"/>
        </w:rPr>
        <w:t>On April 1, 202</w:t>
      </w:r>
      <w:r>
        <w:rPr>
          <w:rFonts w:ascii="Times New Roman" w:cs="Times New Roman" w:eastAsia="Times New Roman" w:hAnsi="Times New Roman"/>
          <w:sz w:val="18"/>
          <w:szCs w:val="18"/>
          <w:color w:val="000000"/>
        </w:rPr>
        <w:t>2 (the "Separation Date"), in connection with the Separation, Embecta and BD entered into a Separation and Distribution Agreement (the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"Separation and Distribution Agreement"). Pursuant to the Separation and Distribution Agreement, BD agreed to spin off its diabetes care business ("Diabetes Care Business") into Embecta, a new, publicly traded company. In addition, in connection with the Separation the Company entered into a Transition Services Agreement, as amended ("TSA"), distribution agreements, a Cannula Supply Agreement, a Tax Matters Agreement, the Logistics Services Agreement, as amended ("LSA"), Trade Receivables Factoring Agreements, an Intellectual Property Matters Agreement, local support services agreements, certain other manufacturing arrangements and process services agreement, and a lease agreement for a manufacturing facility located in Holdrege, Nebraska. The TSA and the LSA have expired. In addition, the Trade Receivables Factoring Agreements have terminated and expired as a result of the Company's implementation and onboarding of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planning (“ERP”) systems (“Business Continuity Processes”). Furthermore, all distribution agreements in the Asia Pacific Region and Latin America terminated and expired. These agreements are discussed in greater detail in Note 3 </w:t>
      </w:r>
      <w:r>
        <w:rPr>
          <w:rFonts w:ascii="Times New Roman" w:cs="Times New Roman" w:eastAsia="Times New Roman" w:hAnsi="Times New Roman"/>
          <w:sz w:val="18"/>
          <w:szCs w:val="18"/>
          <w:i w:val="1"/>
          <w:iCs w:val="1"/>
          <w:color w:val="000000"/>
        </w:rPr>
        <w:t>“Third Party Arrangements”</w:t>
      </w:r>
      <w:r>
        <w:rPr>
          <w:rFonts w:ascii="Times New Roman" w:cs="Times New Roman" w:eastAsia="Times New Roman" w:hAnsi="Times New Roman"/>
          <w:sz w:val="18"/>
          <w:szCs w:val="18"/>
          <w:color w:val="000000"/>
        </w:rPr>
        <w:t xml:space="preserve"> and Note 18 </w:t>
      </w:r>
      <w:r>
        <w:rPr>
          <w:rFonts w:ascii="Times New Roman" w:cs="Times New Roman" w:eastAsia="Times New Roman" w:hAnsi="Times New Roman"/>
          <w:sz w:val="18"/>
          <w:szCs w:val="18"/>
          <w:i w:val="1"/>
          <w:iCs w:val="1"/>
          <w:color w:val="000000"/>
        </w:rPr>
        <w:t>“Leases”</w:t>
      </w:r>
      <w:r>
        <w:rPr>
          <w:rFonts w:ascii="Times New Roman" w:cs="Times New Roman" w:eastAsia="Times New Roman" w:hAnsi="Times New Roman"/>
          <w:sz w:val="18"/>
          <w:szCs w:val="18"/>
          <w:color w:val="000000"/>
        </w:rPr>
        <w:t xml:space="preserve"> in the notes to our Consolidated Financial Statements in Item 8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 ("HR")</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2025, we had approximately 1,850 regular employees globally, with approximately 700 employees in the United States. Our talented employees are an integral reason for our standing as one of the world's leading diabetes care companies. Our success is dependent on our ability to attract, engage and retain the best talent that reflects our diverse communities. To do so, we focus on the most critical areas that help create a great workplace and enable our business priorities.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Embecta our mission, vision and values inspire passion and purpose in the day-to-day work of our employees. Our mission of developing and providing solutions to make life better for people living with diabetes helps us attract potential employees interested in making a difference to the world.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on providing a personalized experience from the moment an employee considers joining the Embecta team. In addition to helping make life better for people living with diabetes, our employee value proposition includes a strong rewards package, a focus on development, and engaging with our employees as we shape our company together.</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Embecta, our Total Rewards programs enable behaviors that drive performance, reward results and create long-term value for our stockholders and employees. We continually monitor our programs and policies to ensure they are competitive and have a clear link to our business and talent strategy. We pay for performance and are committed to compensating employees fairly and equitably. Our employee benefit programs provide flexibility and choice, and enrich the health, well-being and security of our employees.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building a learning culture where employees at all levels of the organization are encouraged to grow and improve, including company-wide training on compliance, job related technical training, leadership development, and easy access to virtual on demand learning. At Embecta, long term succession planning and capability building are integral to our talent practices that are aimed at helping our employees be the best versions of themselves while simultaneously building our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future talent pipeline. All employees are encouraged to establish individual, team and development goals in partnership with their manager to ensure clarity and alignment to our business goals while retaining focus on growth and development.</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alignment with our continuous improvement culture, we seek feedback through surveys and other means so that employees can share their perspectives on ways to continuously improve our workplace climate. As a company with agility at its core, employee feedback helps us make adjustments in our ways of working and embedding our values. What we do at Embecta is personal to Embecta employees, and our HR practices are designed to enable our employees in fulfilling our mission of helping people with diabetes.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&amp; Inclusion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engages a workforce, including our leadership team and our Board of Directors, that reflects the communities where we operate. Our commitment to Equity &amp; Inclusion is embedded in our values and we believe this makes us better at identifying opportunities and solving problems. We are committed to creating and sustaining an environment where everyone brings their authentic selves to work, to help us fulfill our mission of helping people with diabetes.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("CR") and Environmental, Social and Governance ("ESG")</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in the middle of a multi-year strategy to advance its ESG initiatives. The focus in fiscal year 2025 was to evaluate Embecta’s global ESG risks and impacts. This evaluation phase commenced with a Sustainability Materiality Assessment and an internal review of the United Nations Sustainable Development Goals. Separately, the governance structures for managing ESG topics and updates were documented via the Company's Enterprise Risk Committee charter. Embecta provided a Sustainability Report during Fiscal Year 2025 and plans to provide an updated Sustainability Report during its 2026 fiscal year.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maintains an official corporate website, which can be accessed at www.embecta.com. The Company makes available its Annual Reports on Form 10-K, its Quarterly Reports on Form 10-Q, and its Current Reports on Form 8-K (and amendments to those reports) as soon as reasonably practicable after those reports are electronically filed with, or furnished to, the Securities and Exchange Commission ("SEC"). These filings may be obtained and printed free of charge at investors.embecta.com.</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written charters of the Audit Committee; the Compensation and Management Development Committee; the Corporate Governance and Nominating Committee; and the Technology, Quality and Regulatory Committee of the Board of Directors, Embecta’s Corporate Governance Principles and its Code of Conduct, are available and may be printed free of charge at Embecta’s website at https://investors.embecta.com/corporate-governance/documents-charters. Printed copies of these materials, this Annual Report on Form 10-K, and Embecta’s reports and statements filed with, or furnished to, the SEC, may also be obtained, without charge, by contacting the Corporate Secretary, Embecta Corp., 300 Kimball Dr., Suite 300, Parsippany, New Jersey 07054, telephone 862-401-0000. In addition, the SEC maintains an internet site that contains reports, proxy and information statements, and other information regarding issuers that file electronically with the SEC at www.sec.gov.</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also routinely posts important information for investors on its website at investors.embecta.com. Embecta may use this website as a means of disclosing material, non-public information and for complying with its disclosure obligations under Regulation FD adopted by the SEC. Our website and the information contained therein or connected thereto shall not be deemed to be incorporated into this Annual Report on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You should carefully consider the following risks and other information in this Annual Report on Form 10-K in evaluating Embecta and Embecta common stock. The summary below provides an overview of many of the risks and uncertainties we encounter that are described in this Annual Report on Form 10-K that could materially and adversely affect Embecta’s business, financial condition or results of operations. An investment in our common stock involves a variety of risks and uncertainties. Additional risks that we currently do not know about or that we currently believe to be immaterial may also impair our business, financial condition, operating results, liquidity, and future prospects. The risks we face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technology industry is very competitive.</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breakthroughs in diabetes treatment or prevention may reduce demand for Embecta’s products.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obtains components and raw materials for its products from third parties, including BD. These third parties may fail to perform under their agreements with Embecta, or there may be a reduction, interruption, or termination in the manufacturing and supply of these components and raw materials. Any such failure to perform or a reduction, interruption, or termination in supply could have a material adverse effect on Embecta’s business and operations.</w:t>
      </w:r>
    </w:p>
    <w:p>
      <w:pPr>
        <w:spacing w:after="0" w:line="1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experience difficulties and delays in the manufacturing of its products or sterilization operations, and any such difficulties and delays could adversely affect Embecta’s business.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28"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2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enter into strategic collaborations, in-licensing arrangements or alliances with third parties that may not result in the development of commercially viable products or the generation of revenue.</w:t>
      </w:r>
    </w:p>
    <w:p>
      <w:pPr>
        <w:ind w:left="660" w:right="2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future growth is dependent in part upon the development of new products, and there can be no assurance that such products will be developed or be successful.</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unable to maintain strong relationships with physicians and other healthcare professionals which could adversely affect its business.</w:t>
      </w:r>
    </w:p>
    <w:p>
      <w:pPr>
        <w:ind w:left="6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be able to successfully execute its acquisition strategy, which could adversely affect its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international operations subject it to certain business risks.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actions, such as tariffs, retaliatory tariffs, and private or governmental "buy local" initiatives could adversely and unexpectedly impact our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Embecta relies to conduct its clinical trials and to assist it with pre-clinical development do not perform as contractually required or expected, or if market or clinical or other studies are unfavorable to its products in development, Embecta may not be able to obtain regulatory clearance or approval or commercialize its products.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business and operations are subject to risks related to climate change.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intellectual property and proprietary technology are material to its business operations and are subject to infringement and other risks.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Embecta’s Information Systems (as defined in Item 1C of this Annual Report on Form 10-K) or cyberattacks could adversely affect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at one of our facilities could adversely affect our business and operating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may be inadequate or unavailable to cover any product liability losses we incur.</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risks associated with public health threats, such as pandemics, which could have a material adverse effect on Embecta's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and Distribution from BD</w:t>
      </w:r>
    </w:p>
    <w:p>
      <w:pPr>
        <w:spacing w:after="0" w:line="216" w:lineRule="exact"/>
        <w:rPr>
          <w:sz w:val="20"/>
          <w:szCs w:val="20"/>
          <w:color w:val="auto"/>
        </w:rPr>
      </w:pPr>
    </w:p>
    <w:p>
      <w:pPr>
        <w:ind w:left="66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a limited history of operating as an independent company, and its historical financial information may not be a reliable indicator of its future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Separation, Embecta’s financial profile has changed, and it is a smaller, less diversified company than BD prior to the Separation.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achieve some or all of the expected benefits of the Separation.</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conduct its operations and meet its financial reporting and other obligations, Embecta relies on certain services provided by BD pursuant to the transaction documents entered into with BD in connection with the Separation. If Embecta is unable to extend the services on similar terms or replace the services that BD currently provides to it on terms that are at least as favorable to Embecta as the terms on which BD is providing these services, or if BD otherwise terminates any of the services, Embecta’s business, financial condition and results of operations may be materially adversely affected.</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end users or which could result in delays or interruptions of Embecta's commercialization and distribution operations or the loss of customers or revenue, all of which could adversely affect its financial condition and results of operations.</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incurred debt obligations that could adversely affect its business and profitability and its ability to meet other obligations.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affected by significant restrictions under the tax matters agreement in order to avoid triggering significant tax-related liabilities.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held liable to BD if it fails to perform under its agreements with BD.</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significant income tax liability if the Separation or certain related transactions are determined to be taxable for United States federal income tax purposes.</w:t>
      </w: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indemnification obligations following the distribution could have a material adverse effect on Embecta’s financial condition, results of operations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Common Stock</w:t>
      </w:r>
    </w:p>
    <w:p>
      <w:pPr>
        <w:spacing w:after="0" w:line="21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trading volume of Embecta’s common stock may be volatile, and stockholders could lose all or part of their investment in Embecta.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cannot guarantee the timing, amount or payment of any dividends on its common stock.</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could enable Embecta’s Board of Directors to resist a takeover attempt by a third-party and limit the power of its stockholders.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risks described below may not be the only risks we face but are risks we believe may be material at this time. Other risks of which we are not yet aware, or that we currently believe are not material, may also materially adversely impact our business, financial condition or results of operations. If any of the events or circumstances described below occurs, our business, financial condition or results of operations could be adversely impacted and the value of an investment in our securities could decline. Investors and prospective investors should consider the risks described below and the information contained under the caption "Cautionary Statements Regarding Forward-Looking Statements" and elsewhere in this Annual Report on Form 10-K before deciding whether to invest in our securities. We may update these risk factors in our future periodic reports.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medical technology industry is very competitive.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Embecta faces significant competition from a wide range of companies in each market in which its products are sold. These include large companies with multiple product lines and non-traditional entrants such as technology companies, some 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which may have greater financial and marketing resources than Embecta in the United States or other markets, as well as smaller, more specialized companies.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Embecta’s ability to remain competitive will depend on how well it will meet these changing market demands in terms of its product offerings and marketing approaches.</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including oral and once-weekly anti-diabetic drugs (e.g., SGLT-2s, once-weekly insulin, GLP-1s, and GLP-1 combination products), for disease states (including diabetes) that may be administered and delivered less frequently compared to conventional and historical multiple daily injections or without a medical device, such as pen needles, entirely.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Consolidation among payers, retailers, wholesalers,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Embecta’s ability to generate profits and operating cash flow depends largely upon the continued profitability of its key products, such as its pen needles and syringes. For example, for the fiscal year ended September 30, 2025, sales of pen needles accounted for approximately $784 million, or 73%, of total net revenues.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and marketability of competitive products, increased competition from the introduction of new products related to the treatment of diabetes or removal from the market of these products for any reason.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breakthroughs in diabetes treatment or prevention may reduce demand for Embecta’s products.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diabetes treatment industry is subject to technological change and product innovation. A number of companies and medical researchers are developing and commercializing new ways to deliver insulin to patients, including insulin administration technologies that do not require the use of a needle, that reduce the frequency of insulin administration, or that treat diabetes without the use of insulin or by delaying the use of insulin, such as oral and once-weekly anti-diabetic drugs (e.g., SGLT-2s, once-weekly insulins, GLP-1s, and GLP-1 combination products). If they are successful in developing and commercializing these technologies or treatment therapies, the demand for Embecta’s products could decline or be delayed.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Embecta obtains components, services and raw materials for its products from third parties, including BD. These third parties may fail to perform under their agreements with Embecta, or there may be a reduction, interruption, or termination in the manufacturing and supply of these components and raw materials. Any such failure to perform or a reduction, interruption, or termination in supply could have a material adverse effect on Embecta’s business and operations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relies on a number of third parties to supply and manufacture the components, services and raw materials for its products. For example, in connection with the Separation and prior to the distribution, Embecta and BD entered into a cannula supply agreement, whereby BD sells to Embecta cannulas for incorporation into Embecta’s products for sale within the diabetes care sector. Cannulas are a component part of a wide variety of medical devices that use needles to deliver fluid into, or through which blood is drawn from, the body. BD retains ownership of all cannula production activities and all intellectual property rights of BD and its subsidiaries relating to cannula, the manufacture thereof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43" w:lineRule="auto"/>
        <w:rPr>
          <w:sz w:val="20"/>
          <w:szCs w:val="20"/>
          <w:color w:val="auto"/>
        </w:rPr>
      </w:pPr>
      <w:r>
        <w:rPr>
          <w:rFonts w:ascii="Times New Roman" w:cs="Times New Roman" w:eastAsia="Times New Roman" w:hAnsi="Times New Roman"/>
          <w:sz w:val="18"/>
          <w:szCs w:val="18"/>
          <w:color w:val="auto"/>
        </w:rPr>
        <w:t>other critical cannula-related technology. Pricing under the cannula supply agreement is determined by BD based on several factors, including Embecta's yearly forecast, the cost of raw materials and other cost methodologies. The cannula supply agreement is terminable by BD without cause by providing at least 36 months’ written notice; however, such termination can be effective no earlier than ten years from the Separation. In the event of a change of control of Embecta, BD also has the right to terminate the cannula supply agreement.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Separation, Embecta and BD entered into a lease agreement for a manufacturing facility location in Holdrege, Nebraska that Embecta leases from BD where BD provides certain manufacturing services to Embecta. If BD is unable to perform under these arrangements, terminates certain services or modifies its operations and Embecta cannot find substantially similar alternatives to perform these services or is forced to change its operations as a result, Embecta may incur additional costs, delays or other deficiencies in its operations, which could materially adversely affect Embecta’s business, financial condition or results of operations.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Embecta also obtains other component parts and raw materials from other third parties. In many cases, Embecta does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and environments, such as new and changing tariff policies instituted by the U.S. government and foreign governments,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7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Certain raw materials and components used in the manufacture of pen needles and syringes, including cannulas, certain oil-based resins and rubber stoppers, are not always available from multiple sources. New laws or regulations influenced or adopted in response to local and international tariff policies, or climate change, among others, could also increase import duties, energy costs, transportation costs, and the overall costs of certain raw materials and components. In addition, for quality assurance, cost-effectiveness and other reasons, Embecta purchases certain raw materials and components from a single supplier, who in turn sometimes rely on their own single or sole sourced sub-suppliers for certain materials or components. The price and supply of these materials and components may be affected or disrupted for reasons beyond Embecta’s control, including, but not limited to, such suppliers or sub-suppliers changes or cessation of business operations, whether voluntary or involuntary, and limitations in the availability of their materials, labor, or other resources.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current or alternative suppliers, but these new arrangements may be on terms that are less favorable, including with respect to price and volume, and it may be costly or cause delays in Embecta’s manufacturing process to transition to a new supplier or new raw material or component, particularly in cases in which Embecta must comply with regulatory requirements relating to qualification of new suppliers or replacement raw materials or components from current suppliers. The termination, reduction or interruption in supply of these raw materials and components could adversely impact Embecta’s ability to manufacture and sell certain of its products. .</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In addition, these third-party suppliers may be influenced or compelled to stop or pause shipments to Embecta due to new or changing tariff policies as a result of supply chain disruption, uncertainty over costs, and potential retaliatory measures from their local governments. Any such failure to perform or a reduction, interruption, or termination in supply could have a material adverse effect on Embecta’s business and operations.</w:t>
      </w:r>
    </w:p>
    <w:p>
      <w:pPr>
        <w:spacing w:after="0" w:line="14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may experience difficulties and delays inherent in manufacturing its products, such as failure of Embecta or its suppliers to comply with applicable regulations and quality assurance guidelines, which failures may lead to: manufacturing suspensions, shutdowns or delays; delays related to the construction of new facilities or the expansion of</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18"/>
          <w:szCs w:val="18"/>
          <w:color w:val="auto"/>
        </w:rPr>
        <w:t>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the impact of natural disasters, global conflicts, health pandemics, and shipping delays at ports of entry or exit. Manufacturing difficulties can also result in product shortages, leading to lost sales and reputational harm.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increased demand, regulatory requirements or changes, or otherwise, Embecta may be unable to transition sterilization to other sites or modalities in a timely or cost effective manner, or at all, which could have an adverse impact on Embecta’s business.</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substantial portion of Embecta’s revenue is derived from sales to a few customers. For example, for the fiscal year ended September 30, 2025, gross sales to Cencora, McKesson Corporation, and Cardinal Health, Embecta’s three largest distributors, together represented approximately 42% of Embecta’s worldwide gross sales. The costs charged by these and other distributors to distribute Embecta’s products is also subject to negotiation, and such distributors may propose increases in such charges from time to time. In addition, for the fiscal year ended September 30, 2025, direct gross sales to the five largest retail pharmacies for Embecta’s products together represented approximately 14% of Embecta’s worldwide gross sales. If any of Embecta’s largest customers reduce the amount of product that they purchase from Embecta, negotiate a reduced price for such products or increase the charges to distribute such products, each could have a material adverse effect on Embecta’s business, financial condition and results of operations.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and inflation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consolidation and integration among healthcare institutions and providers significantly affects the competitive landscape for medical devices. Health plans, pharmacy benefit managers ("PBMs"),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 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45" w:lineRule="auto"/>
        <w:rPr>
          <w:sz w:val="20"/>
          <w:szCs w:val="20"/>
          <w:color w:val="auto"/>
        </w:rPr>
      </w:pPr>
      <w:r>
        <w:rPr>
          <w:rFonts w:ascii="Times New Roman" w:cs="Times New Roman" w:eastAsia="Times New Roman" w:hAnsi="Times New Roman"/>
          <w:sz w:val="18"/>
          <w:szCs w:val="18"/>
          <w:color w:val="auto"/>
        </w:rPr>
        <w:t>partners within these medical device categories. In addition to pressures imposed by public and private payers, the Centers for Medicare &amp; Medicaid Services (“CMS”) of the U.S. Department of Health and Human Services (“HHS”) has begun implementing measures outlined in the Inflation Reduction Act of 2022 to negotiate prices on certain high cost prescription drugs for Medicare beneficiaries, as well as proposing competitive bidding on other medical devices, including those used for the treatment of diabetes. Embecta’s products are covered by Medicare Part D covered medical devices and if there is any expansion of price negotiations or competitive bidding by CMS, or other agencies, for the category of products within which Embecta competes and Embecta is unable to successfully negotiate favorable pricing for its products, it could adversely impact Embecta’s financial condition and results of operations.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U.S. Congress and many U.S. States have and may continue to scrutinize key participants in the healthcare industry, including PBMs. A number of bills have been introduced, proposed, and passed that would further regulate PBMs and impose additional requirements. The FTC has issued statements about PBMs and conducted a study of PBMs that resulted in two published reports, which could motivate further actions with respect to PBMs regulation. The FTC also filed an administrative complaint against the three largest PBMs and their affiliated group purchasing organizations alleging that the PBMs engaged in anti-competitive and unfair practices that increased costs for insulin medication. It is unclear what the results of this matter and the above noted PBMs scrutiny will be, and what impact this will have on the PBMs industry and our business, financial condition and results of operations.</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positive clinical outcomes, investment in proper injection technique training for customers and patients,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Group Purchasing Organizations ("GPOs"), with potential significant price erosion and cost containment within the healthcare landscape. These continued pricing pressures could adversely affect Embecta’s financial condition and results of operations.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6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identify or secure these collaborations in a timely manner, on a cost-effective basis, on acceptable terms or at all;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not result in the development of products that achieve commercial success or result in any revenue to Embecta;</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exercise sole decision making authority with respect to material development, regulatory submission, or commercial decisions under these collaborations, resulting in gridlock with its partners, and its collaborators may have economic or business interests or goals that are, or that may become, inconsistent with its business interests or goals;</w:t>
      </w:r>
    </w:p>
    <w:p>
      <w:pPr>
        <w:spacing w:after="0" w:line="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have limited control over the amount and timing of resources that its current collaborators or any future collaborators devote to its collaborators’ or its future products;</w:t>
      </w: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Embecta and its collaborators may result in litigation or arbitration that would increase Embecta’s expenses and divert the attention of its management;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be terminated or dissolved in accordance with their terms prior to the development of any Embecta products or any realization by Embecta of any other benefits.</w:t>
      </w:r>
    </w:p>
    <w:p>
      <w:pPr>
        <w:spacing w:after="0" w:line="11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Embecta believes that a significant portion of its sales will continue to be from independent distributors for the foreseeable future, and it is possible that the percentage of its sales from independent distributors could increase. None of Embecta’s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both"/>
        <w:spacing w:after="0" w:line="245" w:lineRule="auto"/>
        <w:rPr>
          <w:sz w:val="20"/>
          <w:szCs w:val="20"/>
          <w:color w:val="auto"/>
        </w:rPr>
      </w:pPr>
      <w:r>
        <w:rPr>
          <w:rFonts w:ascii="Times New Roman" w:cs="Times New Roman" w:eastAsia="Times New Roman" w:hAnsi="Times New Roman"/>
          <w:sz w:val="18"/>
          <w:szCs w:val="18"/>
          <w:color w:val="auto"/>
        </w:rPr>
        <w:t>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2025, McKesson Corporation, Cardinal Health and Cencora, Embecta’s three largest distributors, together represented approximately 42% of Embecta’s worldwide gross sales. If any of Embecta's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 element of Embecta’s strategy is to increase revenue growth by focusing on innovation and new product development. Even if Embecta submits an application to the FDA or foreign regulatory authorities for approval and/or clearance, there is no assurance that such approval or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and other trials, obtain regulatory clearance and approvals for its products, manufacture such products in a cost-effective manner, obtain appropriate intellectual property protection for such products, gain and maintain market acceptance of such products, secure distribution channels, and obtain access, coverage and reimbursement for such products. Even if cleared by the FDA or foreign regulatory authorities, future generations of our products, expanded indications for use of future products, or any other products under development, may not be cleared for the indications that are necessary or desirable for successful commercialization. There can be no assurance that Embecta will be able to successfully develop or commercialize any products now in development or that Embecta may seek to fully develop or commercialize such products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failure to maintain strong relationships with physicians and other healthcare professionals could adversely affect its business.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be able to successfully execute its acquisition strategy, which could adversely affect its financial condition and results of operations.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international operations subject it to certain business risks.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 in trade protectionism, United States relations with the governments of the foreign countries in which Embecta operates, foreign regulatory requirements or changes in such requirements, changes in local healthcare payment systems and healthcare delivery systems, local or non-U.S. originated product preferences and/or requirements, longer payment terms for account receivables than we experience in the United States, difficulty in establishing, staffing and managing foreign operations, changes to international trade policies, agreements, tariffs, regulations,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addition to the risks discussed elsewhere, other risks associated with doing business internationally, include, but are not limited to:</w:t>
      </w:r>
    </w:p>
    <w:p>
      <w:pPr>
        <w:spacing w:after="0" w:line="1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barriers, such as tariffs, import and export licensing, customs, control and compliance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or interpretations of tax laws;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foreign legal systems or other foreign regulations or commitments, including increased costs or penalties associated with enforcing or fulfilling certain governmental and/or non-governmental contractual obligations in foreign jurisdictions;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the differing laws and regulations, business and clinical practices, and consumer preferences in foreign markets;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including any relationships that we establish with foreign partners, distributors or sales or marketing agents;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accounts receivable and longer collection periods.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the U.S. Foreign Corrupt Practices Acts (FCPA), the U.K. Bribery Act, and similar anti-corruption and anti-bribery laws enacted outside the United States generally prohibit companies and their intermediaries from making improper payments to foreign officials for the purpose of obtaining or retaining business. Global enforcement of anti-corruption laws has increased substantially in recent years, with more enforcement proceedings by United States and foreign governmental agencies and the imposition of significant fines and penalties. Embecta’s international operations, which often involve customer relationships with foreign governments or government-sponsored healthcare systems, create the risk that there may be unauthorized payments or offers of payments made by employees, consultants, sales agents or distributors. Because Embecta does business in the U.K., the U.K. Bribery Act also extends to its interaction with public and private sector entities and persons outside the U.K., including in the United States. Embecta’s policies mandate compliance with these laws. Embecta operates in parts of the world that have experienced governmental corruption to some degree, and in certain circumstances strict compliance with anti-bribery laws may conflict with local customs and practices. Despite Embecta’s training and compliance programs, its internal control policies and procedures may not always protect Embecta from reckless or criminal acts committed by its employees or agents. Any alleged or actual violations of these laws may subject Embecta to government investigations and significant criminal or civil sanctions and other liabilities, including exclusion from government contracting, which could negatively affect our reputation, could disrupt Embecta’s business and have a material adverse effect on its results of operations, financial condition, and cash flow.</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United States policy regarding international trade, including import and export regulation and international trade agreements, could also negatively impact Embecta’s business. In addition, political tensions between the United States and China and certain other countries have escalated in recent years between and among these countries.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departure of the United Kingdom ("U.K.") from the European Union ("EU") (commonly known as "Brexit") on January 31, 2020 created uncertainties affecting business operations in the United Kingdom, the EU and a number of other countries, including with respect to compliance with the regulatory regimes regarding the labeling and registration of the products Embecta sells in these markets. For example, the U.K. regulatory regime is currently similar to EU regulations, but the U.K. has enacted new legislation like the Medicines and Medical Devices Act. Under this legislation, the U.K. may adopt changed regulations that may diverge from the EU legislative regime for medicines, including their research, development and commercialization and has issued a consultation document with respect to future change. Embecta could face increased costs, volatility in exchange rates, market instability and other risks as a result of Brexit. In addition, any further divergence of U.K. and EU law, including changes in relation to international trade, tariff and import/export regulations as a result of Brexit or otherwise may impose unexpected duty costs or other non-tariff barriers on Embecta.</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2015, the Italian parliament enacted legislation that, among other things, imposed a "payback" measure on medical device companies that supply goods and services to the Italian National Healthcare System. Under the measure, companies are required to make payments to the Italian government if medical device expenditures in a given year exceed regional expenditure ceilings established for that year. The payment amounts are calculated based on the amount by which the regional ceilings for the given year were exceeded. In response to decrees issued by the Italian Ministry of Health, the various Italian regions issued invoices to medical device companies. Following the issuance of the invoices, numerous other medical device companies filed appeals with the Italian administrative courts challenging the enforceability of the payback measure, primarily on the basis that the law was unconstitutional. The Italian administrative courts referred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jc w:val="both"/>
        <w:spacing w:after="0" w:line="247" w:lineRule="auto"/>
        <w:rPr>
          <w:sz w:val="20"/>
          <w:szCs w:val="20"/>
          <w:color w:val="auto"/>
        </w:rPr>
      </w:pPr>
      <w:r>
        <w:rPr>
          <w:rFonts w:ascii="Times New Roman" w:cs="Times New Roman" w:eastAsia="Times New Roman" w:hAnsi="Times New Roman"/>
          <w:sz w:val="18"/>
          <w:szCs w:val="18"/>
          <w:color w:val="auto"/>
        </w:rPr>
        <w:t>question regarding the constitutionality of the law to the Italian Constitutional Court, which in July 2024, issued a ruling upholding the law as constitutional. Following the ruling of the Italian Constitutional Court, the appeal before the Italian administrative court was rejected in May 2025 and Italy passed the Economic Decree (Law Decree No. 95/2025) in June 2025 offering a 75% discount on payback amounts for the years 2015 through 2018. Although Embecta has paid and settled its 2015 through 2018 obligations, the determinations for 2019 and after are still pending. Embecta has recognized an estimate for the amount of variable consideration but has not made any payments under the payback law for 2019 and after. Given final resolution is unknown at this time, it is possible that the amount of the Embecta’s liability could differ from the amount currently accrued.</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military conflict between Russia and Ukraine has resulted in the implementation of sanctions by the United States and other governments against Russia and has caused significant volatility and disruptions to the global markets. Although the impact of the conflict on our supply chain has not been significant, it is not possible to predict the short- and long-term implications of this conflict, which could include but are not limited to further sanctions, uncertainty about economic and political stability, increases in inflation rate and energy prices, supply chain challenges, adverse effects on currency exchange rates and financial markets and disruption to its supplier, channels to market or customers. In addition, the United States government reported that United States sanctions against Russia in response to the conflict could lead to an increased threat of cyberattacks against United States companies. These increased threats could pose risks to the security of Embecta’s information systems, networks and product offerings, as well as the confidentiality, availability and integrity of Embecta’s data. In addition, the hostilities in Israel and the Middle East, including attacks on shipping vessels in the Red Sea, could develop to have a more widespread economic and geopolitical affect in the Middle East and Europe, and/or economic sanctions between or among countries, as well as general geopolitical issues in the Middle East. These disruptions have led to supply chain delays and price increases and may impact future oil production capacity, oil prices, and disruptions in supply chain and shipping routes in the Middle East. These impacts may further cause increases in resin costs, as well as energy costs. If these conflicts develop beyond these areas or further intensify, they could have an adverse impact on Embecta’s business operations in the EU, the Middle East or other affected areas. Embecta is continuing to monitor the situations in Russia, Ukraine, Israel and globally as well as assess their potential impact on Embecta’s business, including impacts to suppliers and customers. Although operations in Russia, Ukraine and Israel do not currently constitute a material portion of Embecta’s business nor has Embecta assessed that the hostilities have had a material effect on its financial position or results of operations, a significant escalation or further expansion of the conflicts’ current scope or related disruptions to the global markets could have a material adverse effect on Embecta’s results of operations.</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and the Bureau of Industry and Security at the U.S. Department of Commerce, administer certain laws and regulations that restrict U.S. persons and, in some instances, non-U.S. persons, in conducting activities, and transacting business with or making investments in certain countries, governments, entities and individuals subject to U.S. economic sanctions. Due to Embecta’s international operations, it is subject to such laws and regulations, which are complex, restrict its business dealings with certain countries and individuals, and are constantly changing, including laws and regulations regarding sanctioned countries, entities and persons, customs, and import-export, which restrict, and in some cases can prevent, U.S. companies from directly or indirectly selling goods or services to people or entities in certain countries. These laws also require the appropriate amount of scrutiny in any engagement with these persons and entities in and from certain foreign countries. Given we also sell and provide products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further restrictions on our distribution and sales of products or services and further restrictions may be enacted, amended, enforced or interpreted in a manner that materially impacts Embecta’s operations.</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Violations of these regulations are punishable by civil penalties, including fines, denial of export privileges, injunctions, asset seizures, debarment from government contracts and revocations or restrictions of licenses, as well as criminal fines and imprisonment. Embecta has established procedures designed to assist with its compliance with such laws and regulations. However, Embecta has only limited experience dealing with these laws and regulations and it cannot guarantee that its procedures will effectively prevent it from violating these regulations in every transaction in which Embecta may engage. Any such violation could adversely affect Embecta’s reputation, business, financial condition and results of operations.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Trade actions, such as tariffs, retaliatory tariffs, and private or governmental "buy local" initiatives could adversely and unexpectedly impact our business.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that a significant amount of our raw materials, components and products are sold and distributed globally, the actions by the U.S. government or foreign governments could impact both the availability and cost of our products. Most notably, new tariffs are, and could be, levied on raw materials and products shipped to the U.S. and raw materials and products that originate from the U.S. that are distributed globally. For example, in April 2025, the current administration in the U.S. increased tariff rates, subject to evolving exemptions, on numerous raw materials and products from a range of</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nations and has announced on several occasions its intentions to potentially increase or decrease current tariffs, impose additional tariffs, and/or expand or reduce tariffs on raw materials and goods imported from various countries. In addition, earlier this year, the U.S. government imposed a universal baseline tariff on imports globally and raised the Section 232 tariff on imported steel for many countries.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2025, the U.S. Commerce Department Bureau of Industry and Security (the “Department”) initiated a national security investigation into imports of personal protective equipment, medical consumables, and medical equipment, including devices such as pen needles and insulin syringes, under Section 232 of the Trade Expansion Act of 1962 (the “Trade Act”). The Trade Act allows the President of the U.S. to negotiate tariffs to promote international trade, including the authority to impose tariffs if the Department determines imports threaten the U.S. national security. If it is determined these imports pose a national security risk, the ultimate impact remains uncertain and will depend on several factors, but could result in additional potential tariffs imposed in addition to the country-based tariffs, reductions on the benefit Embecta receives from currently available exemptions, additional trade protection measures, embargoes, import or export licensing requirements, trade sanctions or similar restrictions, all of which could significantly increase our costs, strain our resources, and/or create additional complexity in the management of our business and interpretation and compliance with such changes. This may also cause foreign countries to implement retaliatory tariffs or other retaliatory measures. Any such changes could have a material impact on our business, financial condition and results of operations.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current tariff environment evolves continuously and is uncertain. The United States has imposed tariffs and export controls on certain goods and products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the U.S. government has imposed, modified, and paused tariffs multiple times since the beginning of 2025, with changes to tariffs and other trade restrictions announced at any time, sometimes with little or no advanced notice. As noted above, we export certain raw materials and products to other countries that have and may take future actions in response to these tariffs.</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use of tariffs as a policy tool has created significant uncertainty about the future trading relationship among the U.S., China, the European Union, Canada, Mexico and other exporting countries, including with respect to trade policies, treaties, government regulations and tariffs, and has led to concerns regarding the potential for extended trade barriers. The escalation of trade tensions could impact us in a variety of ways, including increases in manufacturing costs, disruptions or delays to our global supply chain, limitations on our ability to sell our products, and reductions in sales volumes and gross margins for our products, any of which could materially affect our business, financial condition and results of operations. We also face uncertainty in the interpretation of new tariffs and their applicability, including with respect to customs valuation, product classification and country-of-origin determinations. Although we and our suppliers seek to comply with applicable customs laws and regulations, the application of rules regarding new tariffs can be subject to varying interpretations or future re-interpretations. For example, the ongoing litigation regarding the IEEPA tariffs case that was recently heard by the U.S. Supreme Court has created additional uncertainty as to the scale and short and long-term effect these tariffs will have on Embecta and the medical device industry overall. It is possible that U.S. or other relevant courts or authorities could, upon review or audit, disagree with the authority, valuation, rules of origin or classification methods applied to certain products. Any such disagreement could result in the retroactive assessment of additional duties with interest, the imposition of penalties, or other enforcement actions without the ability to mitigate such penalties, thereby adversely affecting our operations or financial results.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Furthermore, certain of our competitors may be better positioned than us to withstand or react to border taxes, tariffs or other restrictions on global trade and, as a result, we may lose market share to such competitors. Finally, certain governmental and private purchasers have threatened to or may restrict the purchase of products from certain countries (including the U.S.) in favor of “buying local,” resulting in the additional possibility that local manufacturers, brands, and other competitors may engage in aggressive competitive pricing to take advantage of the uncertain global trade environment and transition customers away from global manufacturers, all of which may impact our business and operations. We cannot control the duration or depth of any of the above such actions which may increase our product costs, reduce our margins, potentially decrease the competitiveness of our products, or result in loss of certain contracts. These actions could have a negative effect on our business, results of operations, or financial condition.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Embecta relies to conduct its clinical trials and to assist it with pre-clinical development do not perform as contractually required or expected, or if market or clinical or other studies are unfavorable to its products in development, Embecta may not be able to obtain regulatory clearance or approval or commercialize its products.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relies on third parties, such as contract research organizations, medical institutions, clinical investigators, contract laboratories and other third parties, to conduct some of its studies, including clinical trials, human factors studies and pre-clinical investigations. If these third parties do not successfully carry out their contractual duties or regulatory obligations or meet expected deadlines, or if the quality or accuracy of the data they obtain is compromised due to failure to adhere to the protocols or regulatory requirements or for other reasons, Embecta’s pre-clinical development activities or clinical or other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such third parties may experience delays or challenges in conducting such studies and trials for reasons outside of their control, including, but not limited to, recruiting enough participants for the studies. In addition, Embecta faces the risk of potential unauthorized disclosure or misappropriation of its intellectual property by contract research organizations, which may reduce Embecta’s trade secret protection and allow its potential competitors to access and exploit its proprietary technology.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if future clinical trials fail to support the efficacy or safety of Embecta’s current or future products or if the data obtained from those and other studies are unfavorable or inadequate to support satisfactory conclusions about Embecta’s current or future products, Embecta’s commercialization efforts or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existing products or products in development or that any such product is not as effective as Embecta claims. Any of these events may negatively affect Embecta’s sales efforts and result in decreased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and operations are subject to risks related to climate change.</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long-term effects of global climate change present risks to Embecta’s business and operations. Extreme or severe weather, natural disasters, flooding, heat events, or other conditions caused by climate change could adversely impact its supply chain, logistics, and operations, and the availability and cost of raw materials and components, energy supply, transportation or other inputs required for the operation of its business. Such conditions could also result in physical damage to products, plants and distribution centers, or our suppliers' facilities, as well as the infrastructure and facilities of hospitals, medical care facilities and other customers. Additionally, increased environmental regulation, including to address climate change, may result in increases in the costs to operate its business or restrict certain aspects of its activities. These events could adversely affect Embecta’s operations and our financial performance.</w:t>
      </w:r>
    </w:p>
    <w:p>
      <w:pPr>
        <w:spacing w:after="0" w:line="12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business could be negatively impacted by evolving regulations, policies and expectations relating to ESG initiatives, setting related goals, collecting data and disclosing related information.</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 Additionally, public interest and legislative pressure related to public companies’ ESG practices continue to grow. These changing rules, regulations and stakeholder expectations have resulted in, and are likely to continue to result in, increased general and administrative expenses and increased management time and attention spent complying with or meeting such regulations and expectations. A number of participants in the medical device industry are also joining voluntary ESG groups or organizations, such as the Responsible Business Alliance. These ESG provisions and initiatives are subject to change, can be unpredictable, and may be difficult and expensive for us to comply with, given the complexity of our supply chain and operations. If our ESG practices fail to meet regulatory requirements or investor, customer, consumer, employee or other stakeholders' evolving expectations and standards in areas including environmental stewardship, support for local communities, Board of Directors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we do not adapt to or comply with new regulations, or fail to meet evolving investor, industry or stakeholder expectations and concerns regarding ESG issues, investors may reconsider their capital investment in our Company, and customers may choose to stop purchasing our products, which could have a material adverse effect on our reputation,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Foreign currency exchange rate, inflation, commodity price, energy and oil prices and supply, and interest rate fluctuations may adversely affect Embecta’s financial condition and results of operations.</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 is exposed to a variety of market risks, including the effects of changes in foreign currency exchange rates, commodity prices, energy resource prices and uninterrupted energy supply, and interest rates. Products manufactured in, and sold into, regions outside of the United States represent a significant portion of Embecta’s operations. The Consolidated Financial Statements in Item 8 of this Annual Report on Form 10-K reflect translation of financial statements denominated in non-United States currencies to United States dollars as well as the foreign currency exchange gains and losses resulting from the re-measurement of assets and liabilities. A strengthening or weakening of the United States dollar in relation to the foreign currencies of the countries in which Embecta sells or manufacture its products, such as the euro, will affect its United States dollar-reported revenue and income. Changes in the relative values of currencies may, in some instances, have a significant effect on its results of operations.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Russia and Ukraine conflict, the conflict in the Middle East, the possibility of military activity in countries near or adjacent to Israel, including attacks on shipping vessels in the Red Sea, and the growing geopolitical tensions between China and Taiwan, coupled with possible related supply chain shortages may affect the energy power and oil sector’s networks and ability to supply their customers, including Embecta. These disruptions have led to supply chain delays and price increases and may lead to manufacturing shutdowns, raw material and component shortages, additional supply chain and logistics constraints, project delays, loss of productivity, divergent product standards and regulations, trade policies, labor shortages, commodity shortages, and additional price increases, among others. Embecta relies on uninterrupted energy to power its manufacturing facilities and any disruption could adversely affect its operations. In addition, increases in energy and oil prices could increase the production, raw materials and other costs of Embecta’s operations and products.</w:t>
      </w:r>
    </w:p>
    <w:p>
      <w:pPr>
        <w:spacing w:after="0" w:line="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 Although interest rates have recently been declining, if the United States Federal Reserve decides to raise the benchmark interest rate, then Embecta could experience higher interest expense on its variable rate debt in fiscal year 2026. To the extent Embecta borrows under its revolving credit facility, it will also be subject to risks related to changes in interest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Embecta’s effective tax rate and changes to tax laws may adversely affect it.</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 become payable in each of these jurisdictions and significant judgment is required in determining our worldwide provision for income taxes. Embecta’s effective tax rate may, however, differ from the estimated amount due to numerous factors, including a change in overall profitability, geographical mix of earnings before income taxes, tax discrete items that are not recurring in nature, and changes in tax laws, including potential proposed tax legislation.</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example, the Organization for Economic Cooperation and Development ("OECD") has developed major reform of the international tax system with respect to a global minimum 15% tax rate. European Union member states agreed to adopt the OECD’s minimum tax rules, which went into effect for tax years beginning on January 1, 2024 or later. Certain countries have enacted the law changes and other countries are considering changes to their tax laws. The impact of the changes went into effect for the Company beginning in fiscal year 2025. The global minimum tax rules did not have a material impact to our provision for income taxes for the fiscal year ended September 30, 2025.</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Also, on July 4, 2025, the U.S. One Big Beautiful Bill Act ("OBBBA") was enacted which includes permanent extensions of certain expiring provisions of the Tax Cuts and Jobs Act and makes significant modifications to the U.S. international tax framework. The legislation has multiple effective dates, with certain provisions effective beginning in fiscal year ended September 30, 2025 and others becoming effective through the fiscal year ended September 30, 2027. OBBBA did not have a material impact to our provision for income taxes for the fiscal year ended September 30, 2025.</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existing legislation is amended or subject to revised interpretation, or if legislative proposals are ultimately enacted, in their current or amended form,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 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cannot be certain that its products, both existing and in development,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Patentability, invalidity, freedom-to-operate or other opinions may be required to determine the scope and validity of third-party proprietary rights. The nature of claims contained in unpublished patent filings around the world is unknown to Embecta and it is not possible to know which countries patent holders may choose for an extension of their filings under the Patent Cooperation Treaty or other mechanisms. Embecta may also be subject to claims based on the actions of employees and consultants with respect to the usage or disclosure of intellectual property learned at other employers. Any such claims, whether or not meritorious, could result in litigation and divert the time and attention of its management team. Consequently, Embecta is unable to guarantee that it will be able to manufacture, use, offer for sale, sell or import any of its commercial products or products in development in the event of an infringement action. If Embecta is found liable for infringement, it may be required to enter into licensing agreements (which may not be available on acceptable terms or at all) or to pay damages or cease developing, making or selling certain products. Even if Embecta were able to obtain a license, the rights may be non-exclusive, which could potentially limit its competitive advantage. Ultimately, Embecta could be prevented from commercializing any products that it may commercialize or promote or be forced to cease some aspects of its business operations, if, as a result of actual or threatened patent infringement or other claims, it is unable to enter into licenses on acceptable terms. This inability to enter into licenses or the ability to exclude others from using proprietary rights could have a material adverse effect on Embecta’s reputation, business, financial condition or results of operations. Embecta may also need to redesign some of Embecta’s products or processes to avoid future infringement liability.</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Breaches of Embecta’s Information Systems and cyberattacks aimed at accessing Embecta’s devices, products and services or related devices, products and services could have a material adverse effect on its operations.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faces various security threats on a regular basis, including ongoing cyber security threats to and attacks on our information technology and data infrastructure. Some of Embecta’s products and services may include information systems that collect data, including sensitive medical information, regarding patients and patient therapy on behalf of Embecta’s customers and some connect to Embecta’s systems for maintenance and management purposes. Embecta uses its and certain third party information technology systems to manage or support a variety of business processes and activities, including, but not limited to, sales, shipping, distribution, billing, customer service, procurement, supply chain, manufacturing, and accounts payable. In addition, Embecta uses enterprise information technology systems to record, process, and summarize transactions and other financial information and results of operations for internal reporting purposes and to comply with financial reporting, legal, and tax regulatory requirements. Embecta deploys defenses against such threats and attacks and works to secure the integrity of its Information Systems using techniques, hardware, and software typical of companies of its size and scope. Despite Embecta’s security measures, however, its information technology and data infrastructure may be vulnerable to attacks by increasingly sophisticated intruders or others who try to cause harm to or interfere with the normal use of its systems. They are also susceptible to breach due to employee error,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both"/>
        <w:spacing w:after="0" w:line="241" w:lineRule="auto"/>
        <w:rPr>
          <w:sz w:val="20"/>
          <w:szCs w:val="20"/>
          <w:color w:val="auto"/>
        </w:rPr>
      </w:pPr>
      <w:r>
        <w:rPr>
          <w:rFonts w:ascii="Times New Roman" w:cs="Times New Roman" w:eastAsia="Times New Roman" w:hAnsi="Times New Roman"/>
          <w:sz w:val="18"/>
          <w:szCs w:val="18"/>
          <w:color w:val="auto"/>
        </w:rPr>
        <w:t>malfeasance, or other disruptions. Embecta’s suppliers, distributors, contractors, service providers, partners, and other third parties with whom it does business could also be subject to cyber threats and attacks that are similar in frequency and sophistication. In many cases, Embecta has to rely on the controls and safeguards put in place by these suppliers, distributors, contractors, service providers, partners, and other third parties to defend against, respond to, and report these attacks. Many of Embecta’s Information Systems are cloud-hosted and managed by these third-party vendors, some of which may have access to confidential business, employee, healthcare professional, and/or customer information. Embecta’s Information Systems may also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Any failure by Embecta to maintain or protect its Information Systems and data integrity, including from cyberattacks, intrusions, disruptions, or shutdowns, could result in the unauthorized access to customer, vendor, or patient data, including personally identifiable information or personal health information, theft of intellectual property or other misappropriation of assets or the loss of key data and information, or otherwise compromise Embecta’s confidential or proprietary information and disrupt its operations. The potential impact of future cyber incidents can vary widely in severity and scale. This could also impact Embecta’s compliance with privacy and other laws and regulations and could result in actions by regulatory bodies or government agencies, and/or or civil litigation. There can be no assurance that the various procedures and controls Embecta utilizes to mitigate these threats will be sufficient to prevent disruptions to its systems, in part because (i) cyberattack techniques change frequently and, at times, new techniques are not recognized until launched, and</w:t>
      </w:r>
    </w:p>
    <w:p>
      <w:pPr>
        <w:spacing w:after="0" w:line="11" w:lineRule="exact"/>
        <w:rPr>
          <w:sz w:val="20"/>
          <w:szCs w:val="20"/>
          <w:color w:val="auto"/>
        </w:rPr>
      </w:pPr>
    </w:p>
    <w:p>
      <w:pPr>
        <w:jc w:val="both"/>
        <w:ind w:firstLine="8"/>
        <w:spacing w:after="0"/>
        <w:tabs>
          <w:tab w:leader="none" w:pos="2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can originate from a wide variety of sources. Multilateral sanctions and tensions could escalate between certain countries, such as between Russia and western nations and their allies, in connection with certain global events like the Russia Ukraine war, which could lead to retaliatory actions being undertaken against certain U.S. infrastructure networks and hospital operations in the form of cyberattacks by Russia, supporters of Russia, or other parties and nations. Increasing costs associated with information security, such as increased investment in technology, the cost of compliance and costs resulting from consumer fraud could cause our business and results of operations to suffer materially. The methods and techniques used by cyber threat actors to gain entry into our network and access our computer systems, software and data may become more advanced with the use of Artificial Intelligence (“AI”) and may become increasingly difficult or impossible to detect and prevent. As these threats continue to evolve, we may be required to invest significant additional resources to modify and enhance our information security and controls or to investigate and remediate any security vulnerabilities. While our technology infrastructure is designed to safeguard and protect personal and business information, we have limited ability to monitor the implementation of similar safeguards by our vendors. Additionally, following the onset of the COVID-19 pandemic, many employees transitioned to a remote or hybrid work environment, which has increased risks associated with our information technology systems and networks. These increased risks include cyber-attacks, computer viruses, disruptions, or shutdowns that could result in a failure to protect our Information Systems and data integrity. Embecta will continue to evaluate organization risk priorities and dedicate resources to protect against unauthorized access, and work to align to industry-leading cybersecurity frameworks to incorporate cybersecurity into its enterprise systems, manufacturing processes and products. Embecta’s results of operations could be adversely affected if these systems are interrupted or damaged or fail for any extended period.</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medical devices are increasingly connected to the internet, healthcare networks, and other medical devices to provide features that improve healthcare and increase the ability of healthcare providers to treat patients and patients to manage their conditions. As such, a cyberattack which intrudes, disrupts, or corrupts Embecta’s devices, products, and services, or related devices, products, and services could impact the quality-of-care patients receive or the confidentiality of customer or patient information. Additionally, modifying or using any such devices, products, or services in a way inconsistent with Embecta’s FDA and other national and international regulatory government clearances and approvals may create risks to users and potential exposure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needs to attract and retain key employees to be competitive.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 environment. If Embecta cannot effectively recruit and retain qualified executives and employees, its business could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may be adversely affected by work stoppages, union negotiations and labor disputes.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2025, only certain employees, all outside of the United States and representing approximately 36% of our headcount, are represented by various unions, works council and other collective bargaining groups. As of September 30, 2025, approximately 48% of those employees within these groups have collective bargaining power.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46" w:lineRule="auto"/>
        <w:rPr>
          <w:sz w:val="20"/>
          <w:szCs w:val="20"/>
          <w:color w:val="auto"/>
        </w:rPr>
      </w:pPr>
      <w:r>
        <w:rPr>
          <w:rFonts w:ascii="Times New Roman" w:cs="Times New Roman" w:eastAsia="Times New Roman" w:hAnsi="Times New Roman"/>
          <w:sz w:val="18"/>
          <w:szCs w:val="18"/>
          <w:color w:val="auto"/>
        </w:rPr>
        <w:t>A significant portion of Embecta’s unionized employees have collective bargaining agreements. Any inability to negotiate acceptable new contracts and new terms and conditions under these collective bargaining arrangements could cause strikes or other work stoppages, including at our Ireland manufacturing facility, and new contracts could result in increased operating costs for Embecta. If any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is subject to extensive regulation.</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Embecta’s operations are global and are affected by complex state, federal and international laws relating to healthcare, environmental protection, antitrust, anti-corruption, marketing, fraud and abuse (including anti-kickback and false claims laws), import and export control, product safety and efficacy, employment, privacy and cybersecurity,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such as taxes on fuel and energy, to mitigate the impacts of climate change, are becoming more stringent throughout the world, including tightening emissions standards, which may increase Embecta’s costs of operations or necessitate closures of or changes to its manufacturing plants or processes or those of its suppliers, or result in liability to Embecta. For example, Embecta’s operations and facilities may become subject to formal or informal scrutiny, audit, or enforcement actions or proceedings for noncompliance with environmental laws related to substances released into the environment. Such matters are typically resolved with regulatory authorities through commitments to compliance, abatement, or remediation programs, and, in some cases, payment of penalties or fines. The U.S. and international governments have increasingly been regulating perfluorooctane sulfonate, perfluorooctanoic acid, and/or other per- and poly-fluoroalkyl substances. These regulations include tightening emission standards and limits as to the presence of certain compounds. As a result of uncertainties associated with environmental regulations and required remediation activities, costs incurred to maintain our compliance or resolve or remediate any identified issues could have an adverse effect on our business, results of operations and cash flows.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also subject to various laws and regulations relating to the safety and effectiveness of medical devices, including relating to design, development and manufacturing, product traceability and record keeping procedures, product complaints, complaint reporting, recalls and field safety corrective actions, advertising and promotion and clinical trials and post-market studies with respect to its products. Failure to comply with these laws may result in enforcement actions by the FDA or other similar national and international regulatory agencies and other liability to Embecta. The enactment of additional laws or changes in existing laws may increase compliance costs or otherwise adversely impact Embecta’s operations.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is also subject to numerous post-marketing regulatory requirements, which include, but are not limited to, quality system regulations related to the manufacture of its devices, labeling regulations, and medical device reporting regulations. The last of these regulations requires Embecta to report to the FDA or other similar regulatory agencies if its products cause or contribute to a death or serious injury, or malfunction in a way that would likely cause or contribute to a death or serious injury if the malfunction recurred. If Embecta fails to comply with present or future regulatory requirements that are applicable to it, it may be subject to enforcement action by the FDA, which may include any of the following sanctions:</w:t>
      </w:r>
    </w:p>
    <w:p>
      <w:pPr>
        <w:spacing w:after="0" w:line="6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 or orders for repair, replacement, or refunds;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or seizure of our current or future products;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detention by the FDA or other similar regulatory agencies of medical devices believed to be adulterated or misbranded or otherwise in violation of other regulatory laws;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suspension or shutdown of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of new products, new intended uses or modifications to Embecta’s current products;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rescinding 510(k) clearance or suspending that have already been granted; or</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Other medical device regulations in countries that Embecta does business in vary substantially from country to country. We must obtain the requisite regulatory approvals, clearances, registrations, and certifications to comply with extensive safety and quality regulations in those countries. The time required to obtain these to market our products, including those related to the transition of our branding from BD to embecta labelled products, may be longer or shorter than those required for FDA clearance or approval, and the requirements may differ. For example, medical devices in the European Economic Area need to comply with specific requirements and affix the CE mark to their medical devices, often after the intervention of a Notified Body and the issuing of a CE Certificate of Conformity. In addition, the EU has adopted the EU Medical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spacing w:after="0" w:line="243" w:lineRule="auto"/>
        <w:rPr>
          <w:sz w:val="20"/>
          <w:szCs w:val="20"/>
          <w:color w:val="auto"/>
        </w:rPr>
      </w:pPr>
      <w:r>
        <w:rPr>
          <w:rFonts w:ascii="Times New Roman" w:cs="Times New Roman" w:eastAsia="Times New Roman" w:hAnsi="Times New Roman"/>
          <w:sz w:val="18"/>
          <w:szCs w:val="18"/>
          <w:color w:val="auto"/>
        </w:rPr>
        <w:t>Device Regulation (the “EU MDR”), which imposes stricter requirements for the marketing and sale of medical devices, including in the area of labeling requirements, clinical evidence requirements, quality systems and post-market surveillance. The EU MDR has been fully operational for previously approved self-certified medical devices (class I) since May 2021, and previously CE marked products must become compliant when their certification expires, with a transition period ending December 2027 for higher classification devices, or December 2028 for lower classification devices (i.e., class II and III). Additionally, the availability of EU notified body services certified to assist Embecta with validation of, and compliance with, the new requirements is limited, which may delay the marketing approval for some of Embecta's products under the EU MDR. Any such delays, any failure to meet these requirements, or the revocation or suspension of our regulatory approvals, clearances, registrations, or certifications could adversely impact our business in the EU, other non-EU regions that tie their product registrations to EU conformity requirements, or other foreign countries.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have a material adverse effect on Embecta’s financial condition and results of operations.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economic and regulatory developments have effected fundamental changes in the healthcare industry. 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Embecta is able to charge for its products or the amounts of reimbursement available for its products and could limit the acceptance and availability of its products.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Patient Protection and Affordable Care Act (the “Affordable Care Act”) substantially changed the way healthcare is financed by both government and private insurers. It also encourages improvements in the quality of healthcare products and services and significantly impacts the United States pharmaceutical and medical device industries by, among other things, imposing certain stringent compliance, recordkeeping, and reporting requirements on companies in various sectors of the life sciences industry, and enhanced penalties for non-compliance. The current U.S. administration has implemented a number of regulatory, policy, and personnel changes, including, but not limited to, the elimination, downsizing, and reduced funding of certain government agencies and programs and the cancellation or delay of government contracts and research grants, each of which may be exacerbated by any future government shutdowns. The current administration has also changed the composition of, and guidance from, advisory panels on healthcare practices and government enforcement.</w:t>
      </w:r>
    </w:p>
    <w:p>
      <w:pPr>
        <w:spacing w:after="0" w:line="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cannot predict at this time the full impact of the Affordable Care Act or other new legislation, agency priorities, rulemaking and healthcare reform measures from U.S. federal or state governments, foreign governments, or third-party payors that may be adopted or implemented in the future on Embecta’s financial condition, results of operations and cash flows. Although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Embecta cannot predict the effect that any of these events would have on the longer-term viability of the act, or on Embecta’s financial condition, results of operations or cash flows. However, any changes that create stricter and more costly compliance obligations or lower reimbursement for Embecta’s products could materially and adversely affect its business, financial condition and results of operations. Future significant changes in the healthcare systems in the United States or elsewhere could also have a negative impact on the demand for Embecta’s current and future products. These include changes that may reduce reimbursement rates for its products and changes that may be proposed or implemented by the current or future laws or regulations.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be subject to enforcement actions if it engages in improper marketing or promotion of its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Embecta’s promotional materials and training methods must comply with applicable laws, regulations and regulatory authority’s rules and guidelines, including the FDA and the Federal Trade Commission (the “FTC”). If the FDA, the FTC or another regulatory agency determines that Embecta’s promotional or training material constitutes off-label, false 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spacing w:after="0" w:line="246" w:lineRule="auto"/>
        <w:rPr>
          <w:sz w:val="20"/>
          <w:szCs w:val="20"/>
          <w:color w:val="auto"/>
        </w:rPr>
      </w:pPr>
      <w:r>
        <w:rPr>
          <w:rFonts w:ascii="Times New Roman" w:cs="Times New Roman" w:eastAsia="Times New Roman" w:hAnsi="Times New Roman"/>
          <w:sz w:val="18"/>
          <w:szCs w:val="18"/>
          <w:color w:val="auto"/>
        </w:rPr>
        <w:t>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educational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funding for the FDA and other government agencies could affect their ability to obtain and retain key resources and personnel, properly administer medical device innovation, or prevent Embecta’s products from being developed or commercialized in a timely manner or otherwise prevent those agencies from performing routine business functions on which the operation of Embecta’s business relies, which could adversely affect its business.</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Recent U.S. government shutdowns caused certain regulatory agencies, such as the FDA and the SEC, to furlough critical employees and stop critical activities. In addition, the U.S. government implemented substantial layoffs and workforce reductions in connection with recent federal government shutdown, which resulted in the suspension or delay of various government-funded programs. While the recent government shutdown has ended, there is no assurance that future government shutdowns will be avoided that affect government employees and contractors or government-funded programs. If there are any future government shutdowns, the ability of the FDA to review and approve or clear new products or to provide feedback on our programs, applications, and submissions can be affected by a variety of factors, including government budget and funding levels, reductions in workforce, ability to obtain and retain key personnel, and statutory, regulatory and policy changes. In addition, there may be delays in necessary interactions with regulators, ethics committees and other important agencies and contractors due to limitations in employee resources or forced furlough of government or contractor personnel. Government shutdowns, if prolonged, can significantly impact the ability of government agencies upon which we rely, such as the FDA and SEC, to operate and perform their duties as normal, which could have a material adverse effect on our business.</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our operations, facilities, products, submissions, and applications to be reviewed, approved, or cleared by the necessary government agencies, which could adversely affect our business, financial condition and results of operations. For example, the current U.S. administration has discussed several changes to the reach and oversight of the FDA, which could affect its relationship with the medical device industry, transparency in decision making and ultimately the cost and availability of medical devices and our products. Additionally, over the past decade, the U.S. government has shut down several times, and certain regulatory agencies, such as the FDA, have had to furlough critical employees and stop critical activities. The current U.S. administration also recently announced plans to reduce the number of federal employees by establishing voluntary termination programs, by position eliminations or by involuntary terminations. If funding for the FDA is reduced, if the FDA workforce is reduced, or if futuregovernment shutdown occur, it could significantly impact the ability of the FDA to timely review and process our regulatory submissions, which could have a material adverse effect on our business. In addition, there remains substantial uncertainty as to how the current U.S. administration will seek to or continue to modify or revise the requirements and policies of the FDA and other regulatory agencies with jurisdiction over our product candidates. This uncertainty could present new challenges and the commercial prospects for our separation activities, operations, and business may be harmed and our ability to generate revenue may be adversely affected.</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subject to complex and frequently changing laws in the United States and elsewhere regarding privacy and the processing, collection, use, storage and protection of personal information, and noncompliance with these laws could result in substantial fines or litigation. For instance, the EU has also adopted the General Data Protection Regulation (“GDPR”), which applies to personal data involved in Embecta’s operations in the EU or products and services that Embecta offers to EU users involving personal data. The GDPR contains a range of compliance obligations that could require Embecta to change its existing business practices policies, and significantly increases financial penalties for noncompliance.</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state of California, the California Consumer Privacy Act (“CCPA”), which provides certain privacy rights and consumer protection for residents of the state became effective in 2020, and the California Privacy Rights Act, which amends and expands the CCPA, went into effect on January 1,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18"/>
          <w:szCs w:val="18"/>
          <w:color w:val="auto"/>
        </w:rPr>
        <w:t>require notification to data subjects, including customers and others, when there is a security breach of personal data. The CCPA also created a private right of action with statutory damages for certain data breaches, thereby potentially increasing risks associated with a data breach. The effects of state data protection laws are significant and may cause Embecta to incur substantial costs and expenses to ensure ongoing compliance. If Embecta fails to comply with these regulations, it could be subject to civil sanctions, including fines and penalties for noncompliance.</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 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AI-based solutions, including generative AI, are increasingly being used in the medical device industry, including by Embecta, with the expectation to use such systems and tools that incorporate AI-based technologies in the future for internal and external purposes. The use of AI solutions, such as ChatGPT, Co-Pilot, Grammarly, and Transvoyant by Embecta’s employees or third parties on which we rely could lead to the public disclosure of confidential information (including personal data or proprietary information) in contravention of Embecta’s internal policies, data protection or other applicable laws, or contractual requirements. The misuse of AI solutions could also result in unauthorized access and use of personal data of Embecta’s employees, clinical and other trial and research participants, collaborators, or other third parties. In addition, the legal and regulatory landscape surrounding AI technologies is rapidly evolving and uncertain, including in the areas of intellectual property, cybersecurity, and privacy and data protection. Evolving rules, regulations, and industry standards governing AI may require us to incur significant costs to modify, maintain, or align our business practices, services and solutions to comply with U.S. and non-U.S. rules and regulations, the nature of which cannot be determined at this time and may be inconsistent from jurisdiction to jurisdiction. As a result of the growing worldwide availability and release of AI-based technologies, there is a global trend towards more regulation and several jurisdictions where we operate or may intend to operate are considering or have proposed or enacted legislation and policies regulating AI and non-personal data. These include, but are not limited to, the European Union’s AI Act, the U.S. executive administration’s AI Action Plan and other Executive Orders on AI, and the various AI laws enacted in certain States within the U.S. These regulations are aimed at the ethical use, privacy, and security of AI and the data it processes and may impose significant requirements and costs on how we deploy and use AI, handle data and comply with these current and future regulations, and any changes or amendments thereto. While we attempt to identify and mitigate ethical and legal issues presented by the use of AI, we may be unsuccessful in identifying or resolving issues before they arise. Failure to appropriately respond to this evolving landscape may also result in legal liability, fines, penalties, regulatory action, loss of data or trade secrets or other intellectual property, brand and reputational harm, or lead to outcomes with unintended biases or other consequences. On the other hand, if Embecta is unable to use AI, it could make our business less efficient and result in competitive disadvantages. Any of these events could have a material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at one of Embecta's facilities could adversely affect our business and operating results.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Embecta operates in multiple locations, manufacturing of its pen needles and syringes is conducted, and its components for such products are primarily stored, at its facilities in the United States, Ireland and China. Political or financial instability, currency fluctuations, the outbreak of pandemics, labor unrest, transport capacity and costs, port security, supply chain disruptions, wars, weather conditions, natural disasters, or other events that could slow or disrupt port activities and affect foreign trade are beyond Embecta’s control and could materially disrupt its supply of product from any of these locations, increase its costs, and/or adversely affect its results of operations. Further, there may be increased pressure for United States medical device companies to reduce dependency on China for their supply chain and reevaluating nearshoring strategies. Embecta takes precautions to ensure that its third-party contractors and logistics entities safeguard Embecta’s assets, including insurance, health and safety protocols, and off-site storage of computer data. However, a natural or other disaster, such as a fire or flood, could cause substantial delays in Embecta’s operations, damage or destroy its manufacturing equipment and/or inventory and cause it to incur additional expenses. The insurance Embecta maintains may not be adequate to cover its losses in any particular case. With or without insurance, damage to Embecta’s facilities, manufacturing equipment, inventory or other property or to any of its suppliers, may have a material adverse effect on Embecta’s business, financial condition and results of operations.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significant amount of Embecta’s inventories of finished goods are stored in distribution centers around the world, but primarily in various distribution centers in the United States, Europe and Asia. Embecta takes precautions to safeguard these facilities and data infrastructure. However, vandalism, terrorism, unplanned power outages, cyberattacks or a natural disaster, such as an earthquake, fire or flood, or other catastrophic event, could damage or destroy Embecta’s inventories of component supplies and finished goods, cause substantial delays in its operations, result in the loss of key information,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8"/>
          <w:szCs w:val="18"/>
          <w:color w:val="auto"/>
        </w:rPr>
        <w:t>result in reduced sales, and cause Embecta to incur additional expenses. Embecta’s insurance coverage may not be sufficient to provide coverage with respect to the damages incurred in any particular case, and its insurance carrier may deny coverage with respect to all or a portion of its claims. Regardless of the level of insurance coverage or other precautions taken, damage to these facilities may have a material adverse effect on is business,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may be inadequate or unavailable to cover any product liability losses Embecta incurs.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Embecta’s business exposes it to potential product liability claims that are inherent in the design, manufacture, testing, inspection, and sale of medical devices. Embecta is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Embecta launches new products with new features or enters new markets where it has no prior experience selling its products and relies on newly-hired staff or new independent distributors or contractors to provide new customer training and customer support. In addition, the misuse of Embecta’s products or the failure of customers to adhere to operating guidelines could cause significant harm to customers, including death, which could result in product liability claims. Product liability lawsuits and claims, safety alerts or product recalls, with or without merit, regardless of any available insurance coverage, could cause Embecta to incur substantial costs, and could place a significant strain on its financial resources, divert the attention of management from Embecta’s core business, harm Embecta’s reputation and adversely affect its ability to attract and retain customers, any of which could have a material adverse effect on Embecta’s business, financial condition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Embecta's current indebtedness contains, and any future indebtedness may contain, customary operating restrictions and financial covenants. This indebtedness may adversely affect Embecta's ability to operate or grow its business or could have other material adverse consequences, including by:</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obtain additional financing in the future for working capital, capital expenditures and acquisitions;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refinance its indebtedness on terms acceptable to Embecta or at all;</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Embecta's operations or development plans;</w:t>
      </w:r>
    </w:p>
    <w:p>
      <w:pPr>
        <w:spacing w:after="0" w:line="7"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Embecta to dedicate a significant portion of its cash flows from operations to paying amounts due under its indebtedness, thereby reducing funds available for other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Embecta's ability to pay dividends;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Embecta more vulnerable to economic downturns; or</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withstand competitive pressures.</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restrictions on Embecta's ability to operate its business in its discretion could adversely affect its business by, among other things, limiting Embecta's ability to adapt to changing economic, financial or industry conditions and to take advantage of corporate opportunities, including opportunities to obtain debt financing, repurchase stock, refinance or pay principal on Embecta's outstanding debt, dispose of property, complete acquisitions for cash or debt, or make other investments. In addition, events beyond Embecta's control, including prevailing economic, financial, and industry conditions, could affect Embecta's ability to satisfy applicable financial covenants, and Embecta cannot assure you that it will satisfy them.</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failure to comply with the restrictions of Embecta's current indebtedness, or any future financing agreements, including as a result of events beyond Embecta's control, may result in an event of default under these agreements, which in turn may result in defaults or acceleration of obligations under these agreements and other agreements, giving Embecta's lenders and other debt holders the right to terminate any commitments they may have made to provide Embecta with further funds and to require Embecta to repay all amounts then outstanding.</w:t>
      </w:r>
    </w:p>
    <w:p>
      <w:pPr>
        <w:spacing w:after="0" w:line="1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risks associated with public health threats, such as pandemics, which could have a material adverse effect on Embecta's financial condition and results of operation.</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is subject to risks associated with public health threats, such as pandemics. Public health threats have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18"/>
          <w:szCs w:val="18"/>
          <w:color w:val="auto"/>
        </w:rPr>
        <w:t>Another global pandemic like COVID-19, including due to new variants of the virus for which current vaccines may not be effective, and public health measures could result in the imposition of new governmental lockdowns, quarantine requirements or other restrictions to slow the spread of the virus. This could significantly impact our supply chain if the manufacturing plants that produce our products or product components, the distribution centers where we manage our inventory, or the operations of our logistics and other service providers, including third parties that sterilize our products, are disrupted, temporarily closed, or experience worker shortages for a sustained period of time. These future developments, which are highly uncertain and cannot be predicted with confidence could adversely affect Embecta's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from BD</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has a limited history of operating as an independent company, and its historical financial information may not be a reliable indicator of its future results.</w:t>
      </w:r>
    </w:p>
    <w:p>
      <w:pPr>
        <w:spacing w:after="0" w:line="9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Generally, prior to the Separation, Embecta’s working capital requirements and capital for its general corporate purposes, including capital expenditures and acquisitions, were historically satisfied as part of the corporate-wide cash management policies of BD. On a going forward basis,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Embecta’s business was operated by BD as part of its broader corporate organization, rather than as an independent company. BD or one of its affiliates performed various corporate functions for us, such as legal, treasury, accounting, auditing, human resources, investor relations, and finance. The historical financial results for the periods prior to the Separation reflect allocations of corporate expenses from BD for such functions, which are likely to be less than the expenses we would have incurred had we operated as a separate publicly traded company.</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business shared economies of scope and scale in costs, employees, vendor relationships and customer relationships with BD. While we have sought to minimize the impact on Embecta when separating these arrangements, there is no guarantee these arrangements will continue to capture these benefits in the future. While Embecta has entered into transition agreements that govern certain commercial and other relationships between it and BD, those arrangements may not capture the benefits to Embecta's business that resulted from being integrated with the other affiliates of BD.</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Embecta’s business utilized the advantage of BD’s overall size and scope to procure more advantageous arrangements. As a standalone company, Embecta may be unable to obtain similar arrangements to the same extent as BD did, or on terms as favorable as those BD obtained, prior to completion of the Separation.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capital for Embecta’s business may be higher than when Embecta was integrated with BD and leveraged BD’s cost of capital.</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significant changes may occur in Embecta’s cost structure, management, effective tax rate, financing and business operations as a result of operating as a company separate from BD.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the Separation, Embecta’s financial profile has changed, and it is a smaller, less diversified company than BD prior to the Separation.</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Separation has resulted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 costs, and cash flows has diminished as a standalone company, such that its results of operations, cash flows, working capital and financing requirements may be subject to increased volatility and its ability to fund capital expenditures and investments, pay dividends and service debt may be diminished. We also have less capital allocation efficiency and flexibility, as Embecta no longer has access to cash flows from BD to fund Embecta’s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achieve some or all of the expected benefits of the Separation.</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Embecta to more effectively pursue the distinct operating priorities and strategies of its business; (2) permitting Embecta to allocate financial resources to meet the unique needs of its business, which will allow us to intensify our focus on distinct strategic priorities and to more effectively pursue our own distinct capital structures and capital allocation strategies; (3) allowing Embecta to more effectively articulate a clear investment thesis to attract a long-term investor base suited to our business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may not achieve these and other anticipated benefits for a variety of reasons, including, among others: (1) the ongoing transition and separation activities may demand significant management resources and require significant amounts of management’s time and effort, which may divert management’s attention from operating and growing Embecta’s business; (2) Embecta may be more susceptible to market fluctuations, and other adverse events than if it were still a part of BD because Embecta’s business is less diversified than BD’s businesses prior to the completion of the Separation; (3) as a standalone company, Embecta may be unable to obtain certain goods, services and technologies at prices or on terms as favorable as those BD obtained prior to completion of the Separation; (4) under the terms of the tax matters agreement that Embecta entered into with BD, it is restricted from taking certain actions that could cause the distribution or certain related transactions to fail to qualify as tax-free to BD and BD shareholders, or could result in certain other taxes to BD; and (5) the contractual arrangements between Embecta and BD are on less favorable terms than the prior existing intercompany arrangements from which Embecta benefited,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In order to conduct its operations and meet its financial reporting and other obligations, Embecta relies on certain services provided by BD pursuant to the transaction documents entered into with BD in connection with the Separation. If Embecta is unable to extend the services on similar terms or replace the services that BD currently provides to it on terms that are at least as favorable to Embecta as the terms on which BD is providing these services, or if BD otherwise terminates any of the services, Embecta’s business, financial condition and results of operations may be materially adversely affected.</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Embecta’s ability to effectively manage and operate its business depends significantly on the services provided by BD. For example, Embecta relies on the services provided by BD to meet its financial reporting and other obligations. This includes relying on certain services from BD for material financial consolidation and reporting design and operation disclosure controls and procedures.</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Once all the transaction agreements, or any extensions thereto, expire or terminate, if Embecta is unable to extend or replace the services that BD currently provides to it under these transaction agreements, until it is able to extend such services, complete the steps necessary to perform these services itself or otherwise materially replace these services on substantially similar terms and conditions, Embecta may not be able to effectively operate its business or maintain effective financial and management controls and reporting systems. This could impair Embecta’s ability to effectively sell, distribute and commercialize its products, generate revenue, comply with local regulatory regulations, meet SEC reporting obligations and internal control over financial reporting, maintain its stock exchange listing, service its existing indebtedness and comply with the debt covenants under its existing indebtedness. Any such occurrence may have a material adverse effect on Embecta’s business, financial condition and results of operations.</w:t>
      </w:r>
    </w:p>
    <w:p>
      <w:pPr>
        <w:spacing w:after="0" w:line="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Embecta may not be successful in timely, effectively or efficiently implementing these services, including regulatory support. Embecta will continue to engage in the process of creating its own, or engaging third parties separate from BD, to provide services to replace many of the services that BD currently provides to Embecta once the transaction agreements, or any extensions thereto, expire or are terminated. Embecta expects this process to be complex, time-consuming and costly. The failure to implement the new services successfully and cost-effectively could disrupt Embecta’s business operations, including entering into new agreements, selling or delivering products in certain jurisdictions, complying with financial reporting and other obligations and performing administrative or other services on a timely basis, which could adversely affect Embecta’s financial condition and results of operations. In addition, Embecta’s costs for the operation of these services may be higher than the amounts reflected in its historical combined financial statements.</w:t>
      </w:r>
    </w:p>
    <w:p>
      <w:pPr>
        <w:spacing w:after="0" w:line="142"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customers and end users or which could result in delays or interruptions of Embecta's commercialization and distribution operations or the loss of customers and revenue, all of which could adversely affect its financial condition and results of operations.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has historically marketed its products using the “BD” name and logo, which is a globally recognized brand with a strong reputation for high-quality products among people with diabetes and Embecta’s distributors. Under the terms of the agreements entered into with BD in connection with the Separation and Distribution, Embecta received a temporary license to use the “BD” and “Becton Dickinson” name and logo on its products and marketing, certain legal entities and relevant regulatory registrations. Following the expiration of this license, Embecta will be required to rebrand and update, as applicable, its products and marketing, manufacturing, supply chain, and regulatory registrations and licenses using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250" w:lineRule="auto"/>
        <w:rPr>
          <w:sz w:val="20"/>
          <w:szCs w:val="20"/>
          <w:color w:val="auto"/>
        </w:rPr>
      </w:pPr>
      <w:r>
        <w:rPr>
          <w:rFonts w:ascii="Times New Roman" w:cs="Times New Roman" w:eastAsia="Times New Roman" w:hAnsi="Times New Roman"/>
          <w:sz w:val="18"/>
          <w:szCs w:val="18"/>
          <w:color w:val="auto"/>
        </w:rPr>
        <w:t>“Embecta” name or other names and marks and remove the “BD” name and logo on its products and marketing, registrations and licenses. While we have officially launched our brand transition from the "BD" name and logo in the U.S. and Canada, the remaining launches worldwide are planned to occur in phases, and these new names and brands may not benefit from the same recognition and association with product quality as the BD name, which could adversely affect Embecta’s ability to attract and maintain its customers and end users, who may prefer to use products with a stronger brand identity.</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failure to timely transfer, or in certain instances obtain new, registrations and licenses in the “Embecta” name could result in delays or interruptions in Embecta’s ability to continuously commercialize, import, export, market, promote, sell and otherwise distribute its products to its customers. This could result in customer dissatisfaction and turnover to our competitors, which could further result in loss of revenue for Embecta. In addition, Embecta will be required to closely collaborate with its customers, and ensure the proper changes, modifications, system inputs, supply chain logistics, administration, and adjudication operations are properly transitioned within the customer’s internal infrastructure, processes and systems, in order to successfully achieve the transition. Embecta’s or its customer’s inability to properly achieve these transitions could result in disruptions to Embecta’s product end-to-end product flow management and end-user access to products, which could adversely affect Embecta’s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has incurred debt obligations that could adversely affect its business and profitability and its ability to meet other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Embecta currently has approximately $1,417 million in aggregate principal amount of indebtedness outstanding as of September 30, 2025 (not including undrawn commitments of $500 million under its revolving credit facility). Embecta may also incur additional indebtedness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significant amount of debt could potentially have important consequences to Embecta and its debt and equity investors, including:</w:t>
      </w:r>
    </w:p>
    <w:p>
      <w:pPr>
        <w:spacing w:after="0" w:line="10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its cash flow from operations to make interest payments;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its debt, which could increase future debt costs and limit the future availability of debt financing;</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general adverse economic and industry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its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flexibility in planning for, or reacting to, changes in its business and the industry;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Embecta at a competitive disadvantage relative to its competitors that may not be as highly leveraged with debt; and</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borrow additional funds as needed or take advantage of business opportunities as they arise, pay cash dividends or repurchase ordinary shares.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be affected by significant restrictions under the tax matters agreement, in order to avoid triggering significant tax-related liabilities.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current United States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Embecta entered into with BD, Embecta is restricted from taking certain actions that could prevent the distribution and certain related transactions from being tax-free for United States federal income tax purposes, or could result in certain other taxes to BD.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or as a result of certain other actions taken by Embecta. Furthermore, Embecta will be subject to specific restrictions on discontinuing the active 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“Agreements Related to the Separation” in Item 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Embecta and BD entered into various Separation Agreements that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agreements with BD may be on terms that are less beneficial to Embecta than the terms may have otherwise been from unaffiliated third parties.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Separation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distribution or certain related transactions are taxable for United States federal income tax purposes, BD and its stockholders could incur significant tax liabilities, and Embecta could incur significant liabilities pursuant to its indemnification obligations under the tax matters agreement.</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BD received a private letter ruling from the Internal Revenue Service (“IRS”) to the effect that, among other things, the Separation and the Distribution will qualify as a transaction that is tax-free for United States federal income tax purposes under Sections 368(a)(1)(D), 355, and 361 of the Internal Revenue Code of 1986, as amended (the “Code”). It was a condition to the distribution that BD receive (i) a private letter ruling from the IRS, satisfactory to the BD Board of Directors, regarding certain United States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its outside tax counsel and the private letter ruling are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or the private letter ruling, and the conclusions reached therein could be jeopardized.</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Notwithstanding BD’s receipt of a private letter ruling from the IRS and the opinion of its outside tax counsel, the IRS could determine on audit that the distribution or certain related transactions are taxable for United States federal income tax purposes if it determines that any of the facts, assumptions, representations, statements and undertakings upon which the private letter ruling or the opinion was based are incorrect or have been violated, or if it disagrees with any of the conclusions in the opinion. Accordingly, notwithstanding BD’s receipt of a private letter ruling from the IRS and the opinion of its outside tax counsel, there can be no assurance that the IRS will not assert that the distribution or certain related transactions do not qualify for tax-free treatment for United States federal income tax purposes, or that a court would not sustain such a challenge. In the event the IRS were to prevail in such a challenge, BD and BD’s shareholders could incur significant tax liabilities.</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tax matters agreement that Embecta entered into with BD, Embecta generally is required to indemnify BD for any taxes incurred by BD that arise as a result of any representations made by Embecta being inaccurate or Embecta taking or failing to take, as the case may be, certain actions, including in each case those provided in connection with the private letter ruling from the IRS or the opinion of its outside tax counsel that result in the distribution and certain related transactions failing to qualify as tax-free for United States federal income tax purposes or result in certain other taxes to BD,</w:t>
      </w:r>
    </w:p>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indemnity is also applicable in connection with the Extension. Any such indemnification could materially adversely affect Embecta’s financial condition, results of operations and cash flows. For a more detailed discussion, see “Agreements Related to the Separation” in Item 1 of this Annual Report on Form 10-K.</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provides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Some parties may use consent requirements or other rights to seek to terminate contracts or obtain more favorable contractual terms from us, which, for example, could take the form of unfavorable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 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indemnification obligations could have a material adverse effect on Embecta’s financial condition, results of operations and cash flows.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Pursuant to the Separation and Distribution Agreement and certain other agreements Embecta entered into with BD in connection with the separation and distribution, BD agreed to indemnify Embecta for certain liabilities, and Embecta will agree to indemnify BD for certain liabilities as discussed further in Note 3 “Third Party Arrangements and Related Party Disclosures” and Note 18 “Leases” in the notes to our Consolidated Financial Statements in Item 8 of this Annual Report on Form 10-K. Indemnities that Embecta will be required to provide BD could negatively affect Embecta’s business, particularly with respect to indemnities provided in the tax matters agreement.</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indemnity from BD may not be sufficient to protect Embecta against the full amount of such liabilities if, for example, BD is not able to fully satisfy its indemnification obligations. Moreover, even if Embecta ultimately succeeds in recovering from BD any amounts for which it is held liable, Embecta may be temporarily required to bear these losses itself, requiring Embecta to divert cash that would otherwise have been used in furtherance of its operating business. In addition, third parties could also seek to hold Embecta responsible for any of the liabilities that BD has agreed to retain. Each of these risks could have a material adverse effect on Embecta’s financial condition, results of operations and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Embecta common stock may fluctuate significantly, and stockholders could lose all or part of their investment in Embecta.</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cannot predict the prices at which shares of Embecta common stock may trade. Given the competitiveness of the life sciences and medical device industry, the prices at which shares of Embecta common stock trade may fluctuate more significantly than might otherwise be typical, even with other market conditions, including general volatility, held constant. This volatility could negatively impact Embecta’s ability to raise additional capital or utilize equity as consideration in any acquisition transactions Embecta may pursue, and could make it more difficult for existing stockholders to sell their shares of the common stock at a price they consider acceptable or at all. The market price of Embecta common stock may fluctuate significantly due to a number of factors, some of which may be beyond our control, including:</w:t>
      </w:r>
    </w:p>
    <w:p>
      <w:pPr>
        <w:spacing w:after="0" w:line="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Embecta’s operating results, including those associated with the Business Continuity Processes;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liquidity and ability to obtain additional capital, including the market’s reaction to any capital-raising transaction Embecta may pursue;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Embecta’s ability to meet those estimates;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Embecta’s common stock, or the perception that substantial amounts of Embecta’s common stock may be sold, by stockholders in the public market;</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global trade, regulatory, and legal environment under which Embecta operates;</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decisions by the FDA or similar regulatory bodies inside and outside of the United States regarding Embecta’s products and product candidates;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commodities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ind w:left="660" w:right="20" w:hanging="328"/>
        <w:spacing w:after="0" w:line="255"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the diabetes care landscape, including changes to consumer habits and market dynamics for means and methods of insulin delivery or alternative means of diabetes management without the use of insulin or by delaying the use of insulin; and</w:t>
      </w:r>
    </w:p>
    <w:p>
      <w:pPr>
        <w:spacing w:after="0" w:line="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companies in the life sciences and medical device industries in particular, has experienced extreme price and volume fluctuations that have often been unrelated or disproportionate to the operating performance of comparable companies. In the past, following periods of volatility in the overall market and the market price of a particular company’s securities, securities class action litigation has often been instituted against a company. This type of litigation, if instituted against Embecta, could result in substantial costs and a diversion of its management’s attention and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Embecta may be diluted in the future.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granted from time to time based on various employee benefit plans. Such awards will have a dilutive effect on Embecta’s earnings per share, which could adversely affect the market price of Embecta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cannot guarantee the timing, amount or payment of dividends on its common stock.</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currently expects that it will pay a regular cash dividend. However, the timing, declaration, amount and payment of any dividends will be within the discretion of Embecta’s Board of Directors, and will depend upon many factors, 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continue to pay any dividends in the future and cannot guarantee the amount of any such dividends.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could enable Embecta’s Board of Directors to resist a takeover attempt by a third-party and limit the power of its stockholders.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include, among others:</w:t>
      </w:r>
    </w:p>
    <w:p>
      <w:pPr>
        <w:spacing w:after="0" w:line="69"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Board of Directors is classified, Embecta directors can be removed by stockholders only for cause;</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occurring on the Board of Directors can only be filled by a majority of the remaining members of Embecta’s Board of Directors or by a sole remaining director;</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do not have the right to call a special meeting or act by written consent;</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Board of Directors has the power to designate and issue, without any further vote or action by the Embecta stockholders, shares of preferred stock from time to time in one or more series; and</w:t>
      </w: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to follow certain procedures and notice requirements in order to present certain proposals or nominate directors for election at stockholder meetings.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these provisions will protect Embecta stockholders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stockholders and could delay or prevent an acquisition that Embecta’s Board of Directors determines is not in the best interests of Embecta and its stockholders. These provisions may also prevent or discourage attempts to remove and replace incumbent directors.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 acquisition or further issuance of Embecta common stock could trigger the application of Section 355(e) of the Code, causing the distribution to be taxable to BD. Under the tax matters agreement, Embecta would be required to indemnify BD for the resulting tax, and this indemnity obligation might discourage, delay or prevent a change of control that Embecta stockholders may consider favorable.</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provides that, unless Embecta (through approval of the Board of Directors) consents in writing to the selection of an alternative forum, the Court of Chancery of the State of Delaware shall be the sole and exclusive forum for (1) any derivative action brought on behalf of Embecta, (2) any action asserting a 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of 1933, as amended, (the "Securities Act") or the Securities Exchange Act of 1934, as amended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Embecta’s amended and restated certificate of incorporation includes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rely on industry-standard software applications, IT systems, computing infrastructure, enterprise resource planning systems, and cloud service providers (collectively referred to as "Information Systems") to perform essential operations. Many of these systems are managed, hosted, provided, or utilized by third parties, to support our business activities.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implemented administrative, physical, and technical safeguards and processes to assess, identify, and manage material risks from known cybersecurity, information, or data security risks and threats to our Information Systems and operations. However, our Information Systems could be disrupted, degraded, destroyed, or manipulated intentionally or accidentally by our employees, third parties with authorized access, or cyber threat actors, which could negatively and adversely impact key business processes. The size and complexity of our Information Systems, as well as those of our third-party providers, make them potentially vulnerable to such service interruptions. Additionally, we and our third-party providers have experienced and expect to continue experiencing phishing attempts, network scanning attempts, and other unauthorized access attempts to our computers, Information Systems, networks, and devices. These increasingly sophisticated attacks are carried out by groups and individuals with various motives and expertise, including, but not limited to, state and quasi-state actors, criminal groups, hackers, and others. Such attacks could result in the loss of confidentiality, integrity, and/or availability of our data and Information Systems.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43" w:lineRule="auto"/>
        <w:rPr>
          <w:sz w:val="20"/>
          <w:szCs w:val="20"/>
          <w:color w:val="auto"/>
        </w:rPr>
      </w:pPr>
      <w:r>
        <w:rPr>
          <w:rFonts w:ascii="Times New Roman" w:cs="Times New Roman" w:eastAsia="Times New Roman" w:hAnsi="Times New Roman"/>
          <w:sz w:val="18"/>
          <w:szCs w:val="18"/>
          <w:color w:val="auto"/>
        </w:rPr>
        <w:t>Security risks to both the Company and its customers’ data and information are continuously evaluated and monitored. We actively monitor security 24 hours a day and seven days a week through our global Security Operations Center. We have implemented a multi-layered defense-in-depth approach using technologies that meet or exceed industry standards. Additionally, we expect our vendors to adhere to our data privacy and security standards and we evaluate their ability to comply as part of our vendor assessment process. This includes assessing internal and external threats to the security, confidentiality, integrity, and availability of Embecta and third party provider data and systems, as well as other risks to our operations. Embecta utilizes the ISO 27001 and 42001 frameworks, which incorporates the National Institute of Standards and Technology and Center for Internet Security frameworks, and various risk management frameworks to proactively evaluate its cybersecurity controls, risks, and overall program effectiveness against emerging risks including AI. As part of our risk management process, we engage external providers to conduct periodic internal and external penetration testing and security assessments. Additionally, under our third-party risk management program, we assess vendor cybersecurity risks, including those associated with our cloud vendors and other third-parties. We maintain security and privacy policies and procedures that align with industry-standard control frameworks and comply with applicable regulatory requirements, laws, and standards. Enterprise cybersecurity policies undergo an annual review and approval by our Information Security Risk Committee (“ISRC”).</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has established a Cyber Security Incident Response Team, a cross-functional team composed of representatives from our Information Technology, Information Security, Research and Development, Privacy, Legal, and Human Resources groups. This team is responsible for the response to security threats by implementing our detailed incident response plan. Our incident response plan includes processes, procedures, and playbooks for assessing potential internal and external threats, developing remediation plans, and facilitating post-incident recovery; all designed to safeguard the confidentiality, integrity and availability of both Company and customer data.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Cybersecurity risk management is integrated into our broader Enterprise Risk Management (“ERM”) framework to promote a Company-wide culture of awareness and proactive risk management. Our ERM framework is overseen by the Audit Committee and Board of Directors. Our Chief Information Officer ("CIO") and Vice President, CISO &amp; IT Infrastructure and Security ("VP IT") are responsible for updating the Audit Committee and Board of Directors on Embecta’s cyber risk. The CIO and VP IT have oversight of cybersecurity strategy, policy, standards, architecture, and processes that protect Embecta’s enterprise network, Information Systems and information assets, and product technologies. The ISRC oversees our cybersecurity governance and manages various controls, ensuring accountability at all levels of the organization, including senior management and the executive leadership team. The ISRC meets quarterly, oversees enterprise and cybersecurity risk management and reports to the ERM team and the Audit Committee. These committees receive updates on cybersecurity-related topics throughout the year including any major cybersecurity incidents. Additionally, the Board of Directors receives periodic updates on information security and cybersecurity matters from our CIO and VP IT.</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information security organization is led by our VP IT, who has over fifteen years of relevant experience, serving in various IT leadership roles within the medical device and medical technology industry. The VP IT is responsible for all aspects of our cybersecurity program, including cybersecurity engineering and architecture, cybersecurity operations, monitoring, incident response, threat intelligence, identity and access management, cybersecurity risk and compliance, and vulnerability management. Our VP IT reports to our CIO, who brings over 30 years of diverse strategic and operational experience in IT management, process leadership, digital, and technology modernization. Our CIO reports to the Chief Financial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corporate headquarters is located in Parsippany, New Jersey, USA. The Company also maintains secondary regional headquarters at leased office facilities in Eysins, Switzerland, Shanghai, China and Singapore. Embecta has three manufacturing facilities located in Ireland, the United States, and China which occupy an aggregate of approximately 800,000 square feet of space.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from time to time subject to claims and litigation arising in the ordinary course of business. These claims and litigation may include, among other things, allegations of violations of United States and foreign health regulation and privacy laws and related regulations, as well as claims or litigation relating to product liability, intellectual property, breach of contract and tort, environmental, securities and employment matters. We operate in multiple jurisdictions and, as a result, claims in one jurisdiction may lead to claims or regulatory penalties in other jurisdictions. There can be no assurance as to the ultimate outcome of a legal proceeding; however, we intend to defend vigorously against any pending or future claims and litigation, other than matters deemed appropriate for settlement. We accrue a liability for legal claims when payments associated with the claims become probable and the costs can be reasonably estimated. The actual costs 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line="266" w:lineRule="auto"/>
        <w:rPr>
          <w:sz w:val="20"/>
          <w:szCs w:val="20"/>
          <w:color w:val="auto"/>
        </w:rPr>
      </w:pPr>
      <w:r>
        <w:rPr>
          <w:rFonts w:ascii="Times New Roman" w:cs="Times New Roman" w:eastAsia="Times New Roman" w:hAnsi="Times New Roman"/>
          <w:sz w:val="18"/>
          <w:szCs w:val="18"/>
          <w:color w:val="auto"/>
        </w:rPr>
        <w:t>resolving legal claims may be substantially higher or lower than the amounts accrued for those claims. As of September 30, 2025, we were not a party to or subject to any material proceedings.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common stock is listed on the Nasdaq Global Select Market ("Nasdaq") under the symbol "EMBC". As of October 31, 2025, there were approximately 6,000 stockholders of record. This number does not include beneficial owners who hold Embecta's common stock in nominee or "street name" accounts through brokers or banks.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September 30, 2025, Embecta did not repurchase any of its outstanding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26, 2024, Embecta's Board of Directors declared a quarterly dividend of $0.15 for each issued and outstanding share of Embecta's common stock. The dividend was paid on December 18, 2024 to stockholders of record at the close of business on December 6, 2024.</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2025, Embecta's Board of Directors declared a quarterly dividend of $0.15 for each issued and outstanding share of Embecta's common stock. The dividend was paid on March 14, 2025 to stockholders of record at the close of business on February 28, 2025.</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2025, Embecta's Board of Directors declared a quarterly dividend of $0.15 for each issued and outstanding share of Embecta's common stock. The dividend was paid on June 13, 2025 to stockholders of record at the close of business on May 28, 2025.</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2025, Embecta's Board of Directors declared a quarterly dividend of $0.15 for each issued and outstanding share of Embecta's common stock. The dividend was paid on September 15, 2025 to stockholders of record at the close of business on August 29, 2025.</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25, 2025, Embecta's Board of Directors declared a quarterly dividend of $0.15 for each issued and outstanding share of Embecta's common stock. The dividend is payable on December 18, 2025 to stockholders of record at the close of business on December 5, 2025.</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returns for the period from the Separation Date of April 1, 2022 to September 30, 2025 for</w:t>
      </w:r>
    </w:p>
    <w:p>
      <w:pPr>
        <w:spacing w:after="0" w:line="27" w:lineRule="exact"/>
        <w:rPr>
          <w:sz w:val="20"/>
          <w:szCs w:val="20"/>
          <w:color w:val="auto"/>
        </w:rPr>
      </w:pPr>
    </w:p>
    <w:p>
      <w:pPr>
        <w:jc w:val="both"/>
        <w:ind w:firstLine="8"/>
        <w:spacing w:after="0"/>
        <w:tabs>
          <w:tab w:leader="none" w:pos="2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common stock; (ii) the Nasdaq Composite Index; and (iii) the S&amp;P Smallcap 600 Health Care Index. The graph assumes an investment of $100 on April 1, 2022 through the last trading day of the year ended September 30, 2025. The calculation of cumulative stockholder return includes reinvestment of dividends in the common stock and in each index.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68580</wp:posOffset>
            </wp:positionV>
            <wp:extent cx="4603115" cy="382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0311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September 30,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and accompanying notes presented in Item 8 of this Annual Report on Form 10-K. Within the tables presented throughout this discussion, certain columns may not add due to the use of rounded numbers for disclosure purposes. Percentages and earnings per share amounts presented are calculated from the underlying amounts. Dollar amounts are in millions except per share amounts or as otherwise specified. References to years throughout this discussion relate to our fiscal years, which end on September 30.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7" w:name="page38"/>
    <w:bookmarkEnd w:id="37"/>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Global Trade. The current global economic environment has been recently influenced by rapidly changing new tariff policies instituted by the United States government and foreign governments. As a global company that both imports raw materials and products into the U.S. and distributes raw materials and products originating from the U.S. to global manufacturing sites and markets, these new tariffs may have a financial impact on our cost of goods, our profit margins, our business generally and our global distribution strategy. These new tariffs may cause foreign governments and private purchasers to consider transitioning away from products originating from certain countries (including the U.S.) in favor of buying “local” products resulting in the additional possibility that local manufacturers, brands and other competitors may engage in aggressive competitive pricing to take advantage of the uncertain global trade environment and transition customers away from global manufacturers, all of which may impact the Company’s business and operations.</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once-weekly insulin,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 Given our global business, we expect recently announced tariffs will result in additional cost for us and our suppliers, and there is the potential that such tariffs may influence future decisions by foreign governments and private purchasers to source non-U.S., “locally” manufactured products instead of products originating from certain countries (including the U.S.) and that local manufacturers, brands and other competitors may engage in aggressive competitive pricing or other strategies to take advantage of the uncertain global trade environment and transition customers away from global manufacturers. Tariffs did not have a material impact on our fiscal year 2025 results. We will continue to monitor the evolving tariff environment and we will focus on optimizing operations and leveraging existing strategies to reduce the impact from tariffs.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our patch pump program. As a result, the Company incurred organizational restructuring plan (the "Patch Pump Restructuring Plan") costs of $34.5 million during the year ended September 30, 2025. Restructuring actions associated with the Patch Pump Restructuring Plan to discontinue the patch pump program are substantially complete as of September 30, 2025. In addition, we discontinued our commercial operation plans for the insulin delivery system, including the previous intended limited launch. The Company plans to refocus its investment on its core business while looking to optimize free cash flow and strengthen its balance sheet by paying down debt.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year 2025, the Company initiated a restructuring plan (the "2025 Restructuring Plan") to streamline the organization and optimize resources. As a result, the Company incurred organizational restructuring plan costs of $3.5 million during the year ended September 30, 2025. The 2025 Restructuring Plan is substantially complete as of September 30, 2025.</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conflicts in the Middle East and Houthi attacks on commercial shipping vessels and other naval vessels. As of November 25, 2025,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 See Item 1A of this Annual Report on Form 10-K for further details.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Results of Operations of fiscal year 2024 compared to fiscal year 2023 see our Annual Report on Form 10-K for the year ended September 30,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2025 and 2024, our Consolidated Statements of Income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04"/>
        </w:trPr>
        <w:tc>
          <w:tcPr>
            <w:tcW w:w="8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568.4</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3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0"/>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2025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year ended September 30, 2025 were as follows:</w:t>
      </w:r>
    </w:p>
    <w:p>
      <w:pPr>
        <w:spacing w:after="0" w:line="144"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$42.7 million to $1,080.4 million from $1,123.1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$58.4 million to $676.8 million, compared to $735.2 million. Gross profit as a percent of revenue was 62.6%, as compared to 65.5%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$75.3 million to $242.1 million from $166.8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$17.1 million to $95.4 million from $78.3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revenues decreased by $42.7 million, or 3.8%, to $1,080.4 million for the year ended September 30, 2025 as compared to revenues of $1,123.1 million for the year ended September 30, 2024. Changes in our revenues are driven by the volume of goods that we sell, the prices we negotiate with customers, and changes in foreign exchange rates. The decrease in reported revenues was primarily driven by $52.9 million of unfavorable changes in volume and $3.5 million associated with the negative impact of foreign currency translation primarily due to the strengthening of the U.S. dollar. This was partially offset by a $6.9 million increase in contract manufacturing revenues related to sales of non-diabetes products to BD, $4.8 million of favorable changes in gross-to-net adjustments attributed to the recognition of higher incremental Italian payback accruals in fiscal year 2024 as compared to fiscal year 2025, and a $2.0 million increase associated with favorable changes in price. See Item 1A of this Annual Report on Form 10-K for further details.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Cost of products sold increased by $15.7 million, or 4.0%, to $403.6 million for the year ended September 30, 2025 as compared to $387.9 million for the year ended September 30, 2024. Cost of products sold as a percentage of revenues were 37.4% for the year ended September 30, 2025 as compared to 34.5% for the year ended September 30, 2024. The increase in cost of products sold was primarily driven by the impact of net changes from profit in inventory adjustments period over period and non-cash asset impairment charges recorded to write down the carrying value of certain property and equipment</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as a result of the Company's Patch Pump Restructuring Plan. This was partially offset by lower volumes in fiscal year 2025 compared to fiscal year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selling and administrative expenses decreased by $33.1 million, or 9.1%, to $332.0 million for the year ended September 30, 2025 as compared to $365.1 million for the year ended September 30, 2024. The decrease year over year was primarily driven by lower TSA and LSA costs with BD in addition to lower compensation expense recognized in fiscal year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decreased by $41.5 million, or 52.7%, to $37.3 million for the year ended September 30, 2025 as compared to $78.8 million for the year ended September 30, 2024. The decrease was primarily driven by a reduction in payments made in connection with the development of our insulin patch pump program in fiscal year 2025 as compared to fiscal year 2024, given the discontinuation of the patch pump program.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3300" w:type="dxa"/>
            <w:vAlign w:val="bottom"/>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Twelve months ended September 30,</w:t>
            </w: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79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79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incurred primarily consist of the following:</w:t>
      </w:r>
    </w:p>
    <w:p>
      <w:pPr>
        <w:spacing w:after="0" w:line="117" w:lineRule="exact"/>
        <w:rPr>
          <w:sz w:val="20"/>
          <w:szCs w:val="20"/>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auditing, legal services, marketing, supply chain, employee retention, costs associated with the implementation of our new ERP system and other Interim Business Continuity Processes, costs associated with brand transition, and certain other costs to establish certain stand-alone functions to assist with the transition to being a stand-alone entity;</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related costs associated with the optimization of certain business functions as we transition to being a stand-alone entity;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contract termination costs associated with the discontinued patch pump program;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recognized associated with the amortization of cloud computing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decreased to $107.3 million for the year ended September 30, 2025, from $112.3 million for the year ended September 30, 2024 primarily driven by lower debt levels and lower short-term interest rates in the current period as compared to the prior period. We are unable to predict future Federal Reserve interest rate decisions and the impact to interest expense on our variable rate debt. See "Liquidity and Capital Resources" below and Note 12 to the Consolidated Financial Statements included elsewhere in this Annual Report on Form 10-K for a further description of our long-term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was $1.5 million and $(10.3) million for the years ended September 30, 2025 and 2024, respectively. The income generated in fiscal year 2025 was primarily attributed to favorable impacts from foreign exchange. The costs incurred for fiscal year 2024 were primarily attributed to amounts due to BD for income taxes payable incurred in deferred jurisdictions where BD is considered the primary obligor and the unfavorable impacts from foreign exchange.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 provision (benefit) increased to $40.9 million for the year ended September 30, 2025 from $(34.1) million for the year ended September 30, 2024. This increase was primarily due to the absence of 2024 tax benefits from the recognition of deferred tax assets related to tax reform in Switzerland, the absence of 2024 tax benefits from the reduction of withholding tax accruals on unremitted foreign earnings resulting from the expiration of certain stock ownership holding period requirements, fewer nontaxable items of income and the correlative tax impacts of these changes on higher overall earnings in 2025. This was partially offset by tax benefits from tax return true ups for tax filings made during 2025.</w:t>
      </w:r>
    </w:p>
    <w:p>
      <w:pPr>
        <w:spacing w:after="0" w:line="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See Note 14 to the Consolidated Financial Statements included elsewhere in this Annual Report on Form 10-K for a further description of our provision for income taxes.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on Liquidity and Capital Resources pertaining to the fiscal years 2024 and 2023 see our Annual Report on Form 10-K for the fiscal year ended September 30, 2024.</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Debt-Related Activities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2022, and in connection with the Separation, Embecta issued $500.0 million aggregate principal amount of 5.00% senior secured notes due February 15, 2030 (the "5.00% Notes"). Interest payments on the 5.00% Notes are due semi-annually in February and August until maturity. Interest payments began in August 2022.</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March 2022, Embecta entered into a credit agreement, providing for a Term Loan B Facility (the "Term Loan") in the amount of $950.0 million, with a seven-year term that matures in March 2029 and a Revolving Credit Facility in an aggregate principal amount of up to $500.0 million, with a five-year term that matures in 2027. The interest rate on the Term Loan is 300 basis points over the secured overnight financing rate (“SOFR”), with a 0.50% SOFR floor. 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T</w:t>
      </w:r>
      <w:r>
        <w:rPr>
          <w:rFonts w:ascii="Times New Roman" w:cs="Times New Roman" w:eastAsia="Times New Roman" w:hAnsi="Times New Roman"/>
          <w:sz w:val="18"/>
          <w:szCs w:val="18"/>
          <w:color w:val="2B2A29"/>
        </w:rPr>
        <w: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Company may from time to time voluntarily prepay the Term Loan in whole or in part without premium or penalty subject to certain exceptions. </w:t>
      </w:r>
      <w:r>
        <w:rPr>
          <w:rFonts w:ascii="Times New Roman" w:cs="Times New Roman" w:eastAsia="Times New Roman" w:hAnsi="Times New Roman"/>
          <w:sz w:val="18"/>
          <w:szCs w:val="18"/>
          <w:color w:val="000000"/>
        </w:rPr>
        <w:t>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As of September 30, 2025, no amount has been drawn on the Revolving Credit Facility.</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Embecta has outstanding $200.0 million of senior secured notes (the "6.75% Notes"), which carry an interest rate of 6.75% and are due February 2030. Interest payments on the 6.75% Notes are due semi-annually in February and August until maturity. Interest payments began in August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716.8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1,416.8</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1,388.7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1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September 30, 2025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1,398.2</w:t>
            </w:r>
          </w:p>
        </w:tc>
      </w:tr>
      <w:tr>
        <w:trPr>
          <w:trHeight w:val="148"/>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September 30, 2025, we were in compliance with all of such covenants. The credit agreement and the senior secured notes are secured by substantially all assets of Embecta and each subsidiary guarantor, subject to certain exceptions.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2025 , </w:t>
      </w:r>
      <w:r>
        <w:rPr>
          <w:rFonts w:ascii="Times New Roman" w:cs="Times New Roman" w:eastAsia="Times New Roman" w:hAnsi="Times New Roman"/>
          <w:sz w:val="18"/>
          <w:szCs w:val="18"/>
          <w:color w:val="2B2A29"/>
        </w:rPr>
        <w:t>the Company paid an aggregate principal amount of approximately</w:t>
      </w:r>
      <w:r>
        <w:rPr>
          <w:rFonts w:ascii="Times New Roman" w:cs="Times New Roman" w:eastAsia="Times New Roman" w:hAnsi="Times New Roman"/>
          <w:sz w:val="18"/>
          <w:szCs w:val="18"/>
          <w:color w:val="auto"/>
        </w:rPr>
        <w:t xml:space="preserve"> $184.6 million </w:t>
      </w:r>
      <w:r>
        <w:rPr>
          <w:rFonts w:ascii="Times New Roman" w:cs="Times New Roman" w:eastAsia="Times New Roman" w:hAnsi="Times New Roman"/>
          <w:sz w:val="18"/>
          <w:szCs w:val="18"/>
          <w:color w:val="2B2A29"/>
        </w:rPr>
        <w:t>on the Term Loan, of which</w:t>
      </w:r>
      <w:r>
        <w:rPr>
          <w:rFonts w:ascii="Times New Roman" w:cs="Times New Roman" w:eastAsia="Times New Roman" w:hAnsi="Times New Roman"/>
          <w:sz w:val="18"/>
          <w:szCs w:val="18"/>
          <w:color w:val="auto"/>
        </w:rPr>
        <w:t xml:space="preserve"> $175.1 million </w:t>
      </w:r>
      <w:r>
        <w:rPr>
          <w:rFonts w:ascii="Times New Roman" w:cs="Times New Roman" w:eastAsia="Times New Roman" w:hAnsi="Times New Roman"/>
          <w:sz w:val="18"/>
          <w:szCs w:val="18"/>
          <w:color w:val="2B2A29"/>
        </w:rPr>
        <w:t>was discretionary. Debt extinguishment charges as a result of these discretionary prepayments were not material to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Consolidated Statements of Income.</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 prevailing market conditions, our liquidity requirements, contractual restrictions and other factors, and there can be no assurance as to which, if any, of these alternatives, or combination thereof, we may choose to pursue in the future.</w:t>
      </w:r>
    </w:p>
    <w:p>
      <w:pPr>
        <w:spacing w:after="0" w:line="6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12 within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within this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September 30, 2025 by fiscal year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4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2030</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0"/>
        </w:trPr>
        <w:tc>
          <w:tcPr>
            <w:tcW w:w="4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18 within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of this Form 10-K.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Sale Agreement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third quarter of fiscal year 2025, the Company entered into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Company's receivables sale agreement, $63.2 million of trade receivables were sold during fiscal year 2025, resulting in derecognition of the receivables from the Company's Consolidated Balance Sheets. Discounts recognized on the sale of trade receivables were not material to the Company's Consolidated Statements of Income. The cash received on the sale of trade receivables during fiscal year 2025 is presented in changes in trade receivables, net within operating activities in the Consolidated Statement of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2025 and June 2025, Moody’s Investor Services and Standard &amp; Poor’s Ratings Services published updates and reaffirmed our preexisting credit ratings. Our Moody's Investors Services credit rating is B1 and our Standard &amp; Poor's Rating Services credit rating is B+.</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$228.6 million as of September 30, 2025 as compared to $274.2 million as of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and uses of cash that contributed to the $45.6 million decrease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 Cash and equivalents and restricted cash balance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equivalents and restricted cash</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 Cash and equivalents and restricted cash balance</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1"/>
        </w:trPr>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175"/>
        </w:trPr>
        <w:tc>
          <w:tcPr>
            <w:tcW w:w="9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adjustments related to depreciation and amortization, impairment of property, plant, and equipment, stock-based</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deferred income taxes</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 accounts payable and accrued expenses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trade receivables</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inventories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amounts due from/due to Becton, Dickinson and Company</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prepaid expenses and other</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and other net taxes payable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other assets and liabilities, net</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1"/>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due to timing attributable to payments to vendors.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trade receivables is primarily attributed to the timing of sales and receivables factored.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inventories is primarily attributed to actions taken to build inventory to support the execution of our brand transition program.</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is attributed to the timing of payments associated with certain agreements effectuated at Separation.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prepaid expenses and other is primarily attributed to timing of payments to vendors.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is primarily attributed to timing of required tax payments.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attributed to costs capitalized attributed to cloud computing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$9.3 million for the fiscal year to support our business and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contractual obligations as of September 30, 2025,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w:t>
      </w:r>
    </w:p>
    <w:p>
      <w:pPr>
        <w:spacing w:after="0" w:line="8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September 30, 2025, total payments due for purchase obligations and lease obligations aggregate to approximately $143 million and $68 million, respectively. Contractual obligations due within the next twelve months approximate $108 million related to purchase commitments and $10 million related to lease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discussion supplements the descriptions of our accounting policies contained in Note 2 to the Consolidated Financial Statements contained in Item 8 of this Annual Report on Form 10-K. Financial Statements and Supplementary Data. The preparation of the Consolidated Financial Statements requires management to use estimates and assumptions that affect the reported amounts of assets, liabilities, revenues and expenses, as well as the disclosure of contingent assets and liabilities at the date of the Consolidated Financial Statements. Some of those judgments can be subjective and complex and, consequently, actual results could differ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in our Consolidated Financial Statements. Management believes the following critical accounting policies reflect the more significant judgments and estimates used in the preparation of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gross revenues are subject to a variety of deductions, which include rebates, chargebacks, sales discounts and sales returns. These deductions represent estimates of the related obligations, and judgment is required when determining the impact of these revenue deductions on gross revenues for a reporting period. Rebates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 merits. The Company’s policy is to recognize, when applicable, interest and penalties related to income taxes as part of income tax expense.</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 disclosures regarding our accounting for income taxes are provided in Note 14 to the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restructuring expenses and charges, and statements regarding Embecta’s strategy for growth and paying down debt, the Patch Pump Restructuring Plan, the 2025 Restructuring Plan, expectations related to the impact of incremental tariffs,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22" w:lineRule="exact"/>
        <w:rPr>
          <w:sz w:val="20"/>
          <w:szCs w:val="20"/>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costs incurred from the new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0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as a result of the current global trade environment from the newly instituted tariffs, certain foreign governments, private purchasers and other customers in certain countries may consider transitioning away from products originating from certain countries (including the U.S.) in favor of buying “local” products and local manufacturers and competitors may attempt to capitalize on these sentiments and participate in aggressive competitive pricing or other strategies to transition, or divert, current and potential customers away Embecta.</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FDA or foreign regulatory authorities of any product, to market and sell such products successfully, to anticipate the needs of people with diabetes, and future business decisions by Embecta and its competitors.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on Embecta’s business, including disruptions in its operations and supply chains.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ERP, procedures and controls, diversion of management’s attention and the impact on relationships with customers, suppliers, employees and other business counterparties.</w:t>
      </w:r>
    </w:p>
    <w:p>
      <w:pPr>
        <w:spacing w:after="0" w:line="10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related to the costs, profitability, timing and the estimated financial impact of, and charges associated with, the Patch Pump Restructuring Plan and the 2025 Restructuring Plan.</w:t>
      </w:r>
    </w:p>
    <w:p>
      <w:pPr>
        <w:spacing w:after="0" w:line="8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 “Risk Factors,” or in our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items noted below, the information required by this item is included in Item 7. Management’s Discussion and Analysis of Financial Condition and Results of Operations, and in Notes 2, 12 and 16 to the Consolidated Financial Statements in Item 8 of this Annual Report on Form 10-K, and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7" w:name="page48"/>
    <w:bookmarkEnd w:id="47"/>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16,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Consolidated Financial Statements in Item 8 of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as of September 30, 2025 relates primarily to our Term Loan. The interest rate is set at 300 basis points over SOFR,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0.50% SOFR floor. Based on our outstanding borrowings at September 30, 2025, a 100 basis points change in interest rates would have impacted interest expense on the Term Loan by $7.1 million on an annualized basis. To the extent we borrow on our revolving credit facility, we will be subject to risks related to changes in SOFR. Refer to Note 12 to the Consolidated Financial Statements in Item 8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Embecta Corp. (the Company) as of September 30, 2025 and 2024, the related consolidated statements of income,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equity and cash flows for each of the three years in the period ended September 30, 2025, and the related notes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U.S. generally accepted accounting principles.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 and our report dated November 25, 2025 expressed an unqualified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-109220</wp:posOffset>
            </wp:positionV>
            <wp:extent cx="17145"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w:t>
      </w:r>
      <w:r>
        <w:rPr>
          <w:sz w:val="1"/>
          <w:szCs w:val="1"/>
          <w:color w:val="auto"/>
        </w:rPr>
        <w:drawing>
          <wp:inline distT="0" distB="0" distL="0" distR="0">
            <wp:extent cx="17145" cy="857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to which it relates.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Estimation of variable consideration for revenue recognition</w:t>
            </w:r>
          </w:p>
        </w:tc>
        <w:tc>
          <w:tcPr>
            <w:tcW w:w="0" w:type="dxa"/>
            <w:vAlign w:val="bottom"/>
          </w:tcPr>
          <w:p>
            <w:pPr>
              <w:spacing w:after="0"/>
              <w:rPr>
                <w:sz w:val="1"/>
                <w:szCs w:val="1"/>
                <w:color w:val="auto"/>
              </w:rPr>
            </w:pP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8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As discussed in Note 2 and 7 of the consolidated financial statements, the Company’s revenue recognition involves</w:t>
            </w:r>
          </w:p>
        </w:tc>
        <w:tc>
          <w:tcPr>
            <w:tcW w:w="0" w:type="dxa"/>
            <w:vAlign w:val="bottom"/>
          </w:tcPr>
          <w:p>
            <w:pPr>
              <w:spacing w:after="0"/>
              <w:rPr>
                <w:sz w:val="1"/>
                <w:szCs w:val="1"/>
                <w:color w:val="auto"/>
              </w:rPr>
            </w:pPr>
          </w:p>
        </w:tc>
      </w:tr>
      <w:tr>
        <w:trPr>
          <w:trHeight w:val="63"/>
        </w:trPr>
        <w:tc>
          <w:tcPr>
            <w:tcW w:w="2320" w:type="dxa"/>
            <w:vAlign w:val="bottom"/>
          </w:tcPr>
          <w:p>
            <w:pPr>
              <w:spacing w:after="0"/>
              <w:rPr>
                <w:sz w:val="5"/>
                <w:szCs w:val="5"/>
                <w:color w:val="auto"/>
              </w:rPr>
            </w:pPr>
          </w:p>
        </w:tc>
        <w:tc>
          <w:tcPr>
            <w:tcW w:w="8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estimates of variable consideration, such as chargebacks, which are treated as a reduction of revenue in the same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period the related revenue is recognized. These estimates are based on contractual terms, historical practices and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trends, and are adjusted as new information becomes available. Factors considered in the estimate of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chargeback liability include the estimated lag time between the sale of product and the payment of corresponding</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variable consideration.</w:t>
            </w:r>
          </w:p>
        </w:tc>
        <w:tc>
          <w:tcPr>
            <w:tcW w:w="0" w:type="dxa"/>
            <w:vAlign w:val="bottom"/>
          </w:tcPr>
          <w:p>
            <w:pPr>
              <w:spacing w:after="0"/>
              <w:rPr>
                <w:sz w:val="1"/>
                <w:szCs w:val="1"/>
                <w:color w:val="auto"/>
              </w:rPr>
            </w:pPr>
          </w:p>
        </w:tc>
      </w:tr>
      <w:tr>
        <w:trPr>
          <w:trHeight w:val="265"/>
        </w:trPr>
        <w:tc>
          <w:tcPr>
            <w:tcW w:w="2320" w:type="dxa"/>
            <w:vAlign w:val="bottom"/>
          </w:tcPr>
          <w:p>
            <w:pPr>
              <w:spacing w:after="0"/>
              <w:rPr>
                <w:sz w:val="23"/>
                <w:szCs w:val="23"/>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Auditing management’s estimate for the chargeback liability attributable to the lag time between the sale of product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the payment of corresponding variable consideration is significant to our audit as the related impact on revenue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recognition is material and sensitive to change. The estimate of the liability attributable to the estimated lag time by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management is sensitive to changes in historical practices and current trends, which involves judgment and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estimation to determine the impact of these assumptions on the deductions to gross revenues, and therefore requires</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8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higher degree of auditor judgement.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9" w:name="page50"/>
    <w:bookmarkEnd w:id="49"/>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for estimating variable consideration, including management’s review process of the chargeback liability related to the estimated lag time and the significant assumptions and data utilized in the calculations.</w:t>
      </w:r>
    </w:p>
    <w:p>
      <w:pPr>
        <w:spacing w:after="0" w:line="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procedures included, among others, evaluating the methodology and assumptions used by management in developing the estimate for the chargeback liability attributed to the lag time. This included testing the completeness and accuracy of the historical underlying data, the calculation of the liability, and performing a sensitivity analysis on management’s estimate of the historical claim acceptance rate to evaluate the impact on the chargeback liability. We tested payments for chargeback claims throughout the year and performed a retrospective analysis of claims paid subsequent to the balance sheet date.</w:t>
      </w:r>
    </w:p>
    <w:p>
      <w:pPr>
        <w:spacing w:after="0" w:line="754" w:lineRule="exact"/>
        <w:rPr>
          <w:sz w:val="20"/>
          <w:szCs w:val="20"/>
          <w:color w:val="auto"/>
        </w:rPr>
      </w:pPr>
    </w:p>
    <w:p>
      <w:pPr>
        <w:sectPr>
          <w:pgSz w:w="11900" w:h="16838" w:orient="portrait"/>
          <w:cols w:equalWidth="0" w:num="2">
            <w:col w:w="2400" w:space="420"/>
            <w:col w:w="8400"/>
          </w:cols>
          <w:pgMar w:left="320" w:top="970"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type w:val="continuous"/>
        </w:sectPr>
      </w:pPr>
    </w:p>
    <w:bookmarkStart w:id="50" w:name="page51"/>
    <w:bookmarkEnd w:id="50"/>
    <w:p>
      <w:pPr>
        <w:ind w:left="31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Embecta Corp’s internal control over financial reporting as of September 30, 2025, based on criteria established in Internal Control— Integrated Framework issued by the Committee of Sponsoring Organizations of the Treadway Commission (2013 framework) (the COSO criteria). In our opinion, Embecta Corp. (the Company) maintained, in all material respects, effective internal control over financial reporting as of September 30, 2025, based on the COSO criteria.</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2025 and 2024, the related consolidated statements of income, comprehensive income, equity and cash flows for each of the three years in the period ended September 30, 2025, and the related notes and our report dated November 25, 2025 expressed an unqualified opinion thereon.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1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12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r>
      <w:tr>
        <w:trPr>
          <w:trHeight w:val="33"/>
        </w:trPr>
        <w:tc>
          <w:tcPr>
            <w:tcW w:w="12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w:t>
            </w: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33"/>
        </w:trPr>
        <w:tc>
          <w:tcPr>
            <w:tcW w:w="1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33"/>
        </w:trPr>
        <w:tc>
          <w:tcPr>
            <w:tcW w:w="12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r>
      <w:tr>
        <w:trPr>
          <w:trHeight w:val="204"/>
        </w:trPr>
        <w:tc>
          <w:tcPr>
            <w:tcW w:w="62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33"/>
        </w:trPr>
        <w:tc>
          <w:tcPr>
            <w:tcW w:w="1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33"/>
        </w:trPr>
        <w:tc>
          <w:tcPr>
            <w:tcW w:w="12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33"/>
        </w:trPr>
        <w:tc>
          <w:tcPr>
            <w:tcW w:w="12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50"/>
        </w:trPr>
        <w:tc>
          <w:tcPr>
            <w:tcW w:w="12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40"/>
        </w:trPr>
        <w:tc>
          <w:tcPr>
            <w:tcW w:w="6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46"/>
        </w:trPr>
        <w:tc>
          <w:tcPr>
            <w:tcW w:w="6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189"/>
        </w:trPr>
        <w:tc>
          <w:tcPr>
            <w:tcW w:w="1220" w:type="dxa"/>
            <w:vAlign w:val="bottom"/>
            <w:tcBorders>
              <w:bottom w:val="single" w:sz="8" w:color="auto"/>
            </w:tcBorders>
          </w:tcPr>
          <w:p>
            <w:pPr>
              <w:spacing w:after="0"/>
              <w:rPr>
                <w:sz w:val="16"/>
                <w:szCs w:val="16"/>
                <w:color w:val="auto"/>
              </w:rPr>
            </w:pPr>
          </w:p>
        </w:tc>
        <w:tc>
          <w:tcPr>
            <w:tcW w:w="5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70.4</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Benefit plan net gain (loss) and prior service credit, net of amortization</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17.4</w:t>
            </w:r>
          </w:p>
        </w:tc>
      </w:tr>
      <w:tr>
        <w:trPr>
          <w:trHeight w:val="33"/>
        </w:trPr>
        <w:tc>
          <w:tcPr>
            <w:tcW w:w="6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15.8</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86.2</w:t>
            </w:r>
          </w:p>
        </w:tc>
      </w:tr>
      <w:tr>
        <w:trPr>
          <w:trHeight w:val="33"/>
        </w:trPr>
        <w:tc>
          <w:tcPr>
            <w:tcW w:w="6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6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$1.8 million and $2.8 million as of</w:t>
            </w:r>
          </w:p>
        </w:tc>
        <w:tc>
          <w:tcPr>
            <w:tcW w:w="1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September 30, 2025 and September 30, 2024, respectively)</w:t>
            </w:r>
          </w:p>
        </w:tc>
        <w:tc>
          <w:tcPr>
            <w:tcW w:w="1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19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6)</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00" w:type="dxa"/>
            <w:vAlign w:val="bottom"/>
            <w:shd w:val="clear" w:color="auto" w:fill="CCEEFF"/>
          </w:tcPr>
          <w:p>
            <w:pPr>
              <w:ind w:left="700"/>
              <w:spacing w:after="0" w:line="175" w:lineRule="exact"/>
              <w:rPr>
                <w:sz w:val="20"/>
                <w:szCs w:val="20"/>
                <w:color w:val="auto"/>
              </w:rPr>
            </w:pPr>
            <w:r>
              <w:rPr>
                <w:rFonts w:ascii="Times New Roman" w:cs="Times New Roman" w:eastAsia="Times New Roman" w:hAnsi="Times New Roman"/>
                <w:sz w:val="16"/>
                <w:szCs w:val="16"/>
                <w:color w:val="auto"/>
              </w:rPr>
              <w:t>Authorized - 250,000,000</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- 58,496,113 as of September 30, 2025 and 57,707,285 as of September 30,</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212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Loss</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 ($0.60 per share)</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and dividend equivalents declared ($0.60 per share)</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373,932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and dividend equivalents declared ($0.60 per share)</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788,828</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Separation-related adjustments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58,496,113</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82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52</w:t>
            </w:r>
          </w:p>
        </w:tc>
      </w:tr>
      <w:tr>
        <w:trPr>
          <w:trHeight w:val="233"/>
        </w:trPr>
        <w:tc>
          <w:tcPr>
            <w:tcW w:w="6420" w:type="dxa"/>
            <w:vAlign w:val="bottom"/>
            <w:tcBorders>
              <w:bottom w:val="single" w:sz="8" w:color="9A9A9A"/>
            </w:tcBorders>
          </w:tcPr>
          <w:p>
            <w:pPr>
              <w:spacing w:after="0"/>
              <w:rPr>
                <w:sz w:val="20"/>
                <w:szCs w:val="20"/>
                <w:color w:val="auto"/>
              </w:rPr>
            </w:pPr>
          </w:p>
        </w:tc>
        <w:tc>
          <w:tcPr>
            <w:tcW w:w="4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costs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Trade receivables,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0"/>
        </w:trPr>
        <w:tc>
          <w:tcPr>
            <w:tcW w:w="6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33"/>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31"/>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33"/>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33"/>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33"/>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 All intercompany transactions and accounts within Embecta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The Company acts as the principal in its customer arrangements and therefore records revenue on a gross basis. When arrangements include multiple performance obligations, the total transaction price of the contract is allocated to each performance obligation based on the estimated 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chargebacks,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revenue recognition are provided in Note 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Equivalents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equivalents include all highly liquid investments with a maturity of three months or less at the date of acquisition. Interest income on Cash and equivalents is recorded as earned, which is further discussed in Note 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not readily available for use in the Company's operating activities and is primarily pledged as collateral for bank guarantees related to certain customer performance guarantees and property leases internationally, which are further discussed in Note 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and the resulting trade receivables are stated at their net realizable value. The allowance for doubtful accounts represents the Company’s estimate of probable credit losses expected to be incurred over the life of its trade receivables and is determined based on historical loss experiences, current conditions, reasonable and supportable forecasts such as country or regional risks that are not captured in the historical loss information, and other specific account data such as customer specific credit risk. Amounts are written off against the allowances for doubtful accounts when the Company determines that a customer account is uncollectible. The allowance for doubtful accounts for trade receivables is not material to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approximate cost or net realizable value determined on the first-in, first-out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capitalizes costs incurred to implement cloud computing arrangements that are service contracts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Deferred Income Taxes and Other Assets </w:t>
      </w:r>
      <w:r>
        <w:rPr>
          <w:rFonts w:ascii="Times New Roman" w:cs="Times New Roman" w:eastAsia="Times New Roman" w:hAnsi="Times New Roman"/>
          <w:sz w:val="18"/>
          <w:szCs w:val="18"/>
          <w:color w:val="auto"/>
        </w:rPr>
        <w:t>in the Company's Consolidated Balance Sheets based on the expected period that amortization will be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associated with cloud computing arrangements are capitalized when incurred during the application development phase. Once the implementation of a cloud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computing arrangement is complete and ready for its intended use, the Company amortizes the costs over the expected term of the hosting arrangement using the straight-line method to the same income statement line as the associated cloud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principally provided on the straight-line basis over estimated useful lives, which range from 20 to 45 years for buildings, 4 to 13 years for machinery and equipment and 1 to 20 years for leasehold improvements. Depreciation expense was $38.1 million in 2025, $34.9 million in 2024, and $31.5 million in 2023.</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Property, plant and equipment are periodically reviewed when impairment indicators are present to assess recoverability or a decision has been made to abandon efforts associated with construction in progress assets. Recoverability is determined by comparing the carrying values of the assets or asset groups to the undiscounted cash flows to be generated from the use and eventual disposition of such assets or asset groups. If the asset’s or asset group’s carrying value exceeds such undiscounted cash flows, the assets or asset groups are not recoverable and an impairment loss is recognized based on the amount by which the carrying value of the asset or asset group exceeds its calculated fair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interest cost on capital projects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fiscal years ended September 30, 2025, 2024 and 2023 the Company capitalized $2.8 million, $3.7 million and $4.6 million of interest expense, respectively, into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 Net</w:t>
      </w:r>
      <w:r>
        <w:rPr>
          <w:rFonts w:ascii="Times New Roman" w:cs="Times New Roman" w:eastAsia="Times New Roman" w:hAnsi="Times New Roman"/>
          <w:sz w:val="18"/>
          <w:szCs w:val="18"/>
          <w:color w:val="auto"/>
        </w:rPr>
        <w:t>. For the fiscal years ended September 30, 2024 and 2023 the Company capitalized $0.1 million and $0.9 million of interest expense into</w:t>
      </w:r>
      <w:r>
        <w:rPr>
          <w:rFonts w:ascii="Times New Roman" w:cs="Times New Roman" w:eastAsia="Times New Roman" w:hAnsi="Times New Roman"/>
          <w:sz w:val="18"/>
          <w:szCs w:val="18"/>
          <w:i w:val="1"/>
          <w:iCs w:val="1"/>
          <w:color w:val="auto"/>
        </w:rPr>
        <w:t xml:space="preserve"> Deferred Income Taxes and Other Assets, </w:t>
      </w: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interest expense was capitalized into</w:t>
      </w:r>
      <w:r>
        <w:rPr>
          <w:rFonts w:ascii="Times New Roman" w:cs="Times New Roman" w:eastAsia="Times New Roman" w:hAnsi="Times New Roman"/>
          <w:sz w:val="18"/>
          <w:szCs w:val="18"/>
          <w:i w:val="1"/>
          <w:iCs w:val="1"/>
          <w:color w:val="auto"/>
        </w:rPr>
        <w:t xml:space="preserve"> Deferred Income Taxes and Other Assets </w:t>
      </w:r>
      <w:r>
        <w:rPr>
          <w:rFonts w:ascii="Times New Roman" w:cs="Times New Roman" w:eastAsia="Times New Roman" w:hAnsi="Times New Roman"/>
          <w:sz w:val="18"/>
          <w:szCs w:val="18"/>
          <w:color w:val="auto"/>
        </w:rPr>
        <w:t>during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Advertising costs are expensed as incurred and included in S</w:t>
      </w:r>
      <w:r>
        <w:rPr>
          <w:rFonts w:ascii="Times New Roman" w:cs="Times New Roman" w:eastAsia="Times New Roman" w:hAnsi="Times New Roman"/>
          <w:sz w:val="18"/>
          <w:szCs w:val="18"/>
          <w:i w:val="1"/>
          <w:iCs w:val="1"/>
          <w:color w:val="auto"/>
        </w:rPr>
        <w:t>elling and administrative expense</w:t>
      </w:r>
      <w:r>
        <w:rPr>
          <w:rFonts w:ascii="Times New Roman" w:cs="Times New Roman" w:eastAsia="Times New Roman" w:hAnsi="Times New Roman"/>
          <w:sz w:val="18"/>
          <w:szCs w:val="18"/>
          <w:color w:val="auto"/>
        </w:rPr>
        <w:t>. The Company recorded advertising costs of $16.2 million, $9.0 million, and $15.5 million in 2025, 2024, and 2023,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net assets of businesses acquired. The Company has one reporting unit. Goodwill is evaluated for impairment as of July 1 each year, or more frequently if impairment indicators exist, by first assessing qualitative factors to determine whether it is more likely than not that fair value is less than carrying value. If the Company concludes it is more likely than not that fair value is less than carrying value, a quantitative fair value test is performed. If carrying value is greater than fair value, a goodwill impairment charge will be recorded for the difference (up to the carrying value of goodwill). The Company completed the annual goodwill impairment test as of July 1, 2025 and concluded that no impairment to goodwill was necessary as the fair value of the Company's one reporting unit was significantly in excess of the carrying value.</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goodwill impairments were identified during the fiscal years ended September 30, 2025, 2024, or 2023. As of September 30, 2025 there are no accumulated impairment losses related to goodwill.</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1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Financial Instruments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Assets and liabilities denominated in their functional currencies are translated into U.S. dollars at the exchange rate on the balance sheet date. Revenues and expenses are translated at average rates of exchange prevailing during the period. The United States dollar results that arise from such translation are included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derivative instruments to manage market risks associated with fluctuations in certain foreign currency exchange rates. The Company utilizes foreign currency forward contracts to protect against market risks arising in the normal course of business.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At the end of the reporting period, foreign-currency-denominated assets and liabilities are remeasured into the functional currencies of the reporting entities at current market rates. The change in value from this remeasurement is reported as a foreign exchange gain or loss for that period in </w:t>
      </w:r>
      <w:r>
        <w:rPr>
          <w:rFonts w:ascii="Times New Roman" w:cs="Times New Roman" w:eastAsia="Times New Roman" w:hAnsi="Times New Roman"/>
          <w:sz w:val="18"/>
          <w:szCs w:val="18"/>
          <w:i w:val="1"/>
          <w:iCs w:val="1"/>
          <w:color w:val="auto"/>
        </w:rPr>
        <w:t>Other income</w:t>
      </w:r>
    </w:p>
    <w:p>
      <w:pPr>
        <w:spacing w:after="0"/>
        <w:rPr>
          <w:sz w:val="20"/>
          <w:szCs w:val="20"/>
          <w:color w:val="auto"/>
        </w:rPr>
      </w:pP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transactional foreign exchange gains of $1.2 million and losses of $4.4 million during the fiscal years ended September 30, 2025 and 2024, respectively. Transactional foreign exchange impacts were not material to the Company's Consolidated Statements of Income during the fiscal year ended September 30,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shipping and handling costs to be contract fulfillment costs and records them within selling and administrative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were $40.8 million, $41.3 million, and $36.9 million in 2025, 2024, and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Effective April 1, 2022, the Company established the 2022 Employee and Director Equity Based Compensation Plan, as amended on February 7, 2024 (the "Plan"). The Plan provides for the grant of various types of awards, including restricted stock unit ("RSU") awards, stock appreciation rights, stock options, performance-based awards and cash awards. Under the Plan, the exercise price of awards, if any, is set on the grant date and generally may not be less than the fair market value per share on that date. The Company measures stock-based compensation for equity awards at fair value on the date of grant and records stock-based compensation as a charge to earnings net of the estimated impact of forfeited awards. For awards that ultimately settle in cash, we treat them as liability awards and mark the award to market each reporting period and recognize any adjustment in our Consolidated Statements of Income. 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 (see Note 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certain defined benefit plans, the over funded or underfunded status of the Plan was recognized as an asset or liability in the Company's Consolidated Balance Sheets. Embecta sponsors certain non-U.S. defined benefit pension plans (See Note 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 merits. The Company’s policy is to recognize, when applicable, interest and penalties related to income taxes as part of income tax expense.</w:t>
      </w:r>
    </w:p>
    <w:p>
      <w:pPr>
        <w:spacing w:after="0" w:line="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the Company believes it has identified all reasonable exposures and the reserve it has established is appropriate under the circumstances, it is possible that additional exposures exist and that exposures may be settled at amounts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different than the amounts reserved. It is also possible that changes in facts and circumstances could cause the Company to either materially increase or reduce the carrying amount of its tax reserve.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the tax effects of global intangible low-taxed income (“GILTI”) in the income tax provision in the period the tax arises.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income taxes are provided in Note 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 (iv) 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Chief Executive Officer, its CODM, to evaluate performance of the Company’s business and allocate resources and 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fair value hierarchy is applied to prioritize inputs used in measuring fair value. The three levels of inputs used to measure fair value are detailed below.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fair value measurements are provided in Note 16.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1—Inputs to the valuation methodology which represent unadjusted quoted prices in active markets for identical assets and liabilities.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to the valuation methodology which are unobservable and significant to the fair value measurement.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contains a lease at inception. If a lease is identified in an arrangement, the Company recognizes a right-of-use asset and liability in the Company's Consolidated Balance Sheets and determines whether the lease should be classified as a finance or operating lease. The Company does not recognize assets or liabilities for leases with lease terms of less than 12 months.</w:t>
      </w:r>
    </w:p>
    <w:p>
      <w:pPr>
        <w:spacing w:after="0" w:line="6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Embecta by the end of the lease term, (ii) the Company holds an option to purchase the leased asset that the Company is reasonably certain to exercise,</w:t>
      </w:r>
    </w:p>
    <w:p>
      <w:pPr>
        <w:jc w:val="both"/>
        <w:ind w:firstLine="8"/>
        <w:spacing w:after="0"/>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implicit rate is not readily determinable, the Company utilizes its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lease arrangements that are recognized in the Company’s Consolidated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Variable lease payments are expensed as incurred. If a lease includes an option to extend or terminate the lease, the Company reflects the option in the lease term if it is reasonably certain the Company will exercise the option.</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Finance leases are recorded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finance lease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 Current Finance Lease Liabilities</w:t>
      </w:r>
      <w:r>
        <w:rPr>
          <w:rFonts w:ascii="Times New Roman" w:cs="Times New Roman" w:eastAsia="Times New Roman" w:hAnsi="Times New Roman"/>
          <w:sz w:val="18"/>
          <w:szCs w:val="18"/>
          <w:color w:val="auto"/>
        </w:rPr>
        <w:t xml:space="preserve"> and operating leases are recorded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Liabilities</w:t>
      </w:r>
      <w:r>
        <w:rPr>
          <w:rFonts w:ascii="Times New Roman" w:cs="Times New Roman" w:eastAsia="Times New Roman" w:hAnsi="Times New Roman"/>
          <w:sz w:val="18"/>
          <w:szCs w:val="18"/>
          <w:color w:val="auto"/>
        </w:rPr>
        <w:t xml:space="preserve">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Transfers of Financial Instruments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may discount and sell accounts receivables during the normal course of business. These receivables which are sold to a third party without recourse, are excluded from the amounts reported in the Consolidated Balance Sheets. The Company’s continuing involvement is limited to servicing the receivables. The cash proceeds received from such sales are included in operating cash flows. The expenses associated with the sale of receivables are recorded within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xml:space="preserve"> in the Consolidated Statements of Income. Additional disclosures regarding the Company's accounting for the sales of financial instruments are provided in Note 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records liabilities for costs associated with exit or disposal activities in the period in which the liability is incurred. In accordance with existing benefit arrangements, future employee termination costs to be incurred in conjunction with involuntary separations are accrued when such separations are probable and estimable. When accruing these costs, the Company will recognize the amount that is the best estimate. Costs for one-time termination benefits are recognized at the date the employee is notified, unless the employee is required to render services beyond a minimum retention period, in which case the benefits are expensed ratably over the service period. Liabilities for other costs associated with a restructuring activity are measured at fair value and are recognized when the liability is incurred. Other costs primarily consist of contract termination fees and other costs related to restructuring activities and are expensed when incurred. In connection with exit and disposal activities, the Company also assesses the recoverability of long-lived assets employed in the business. Additional disclosures regarding the Company’s accounting for restructuring costs are provided in Note 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restructuring costs, inventory reserves and taxes on income as reflected in the Consolidated Financial Statements. Actual results could differ from these estimates.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paid for interest related to debt during the fiscal year ended September 30, 2025, 2024 and 2023 was $103.8 million, $117.7 million and $111.0 million, respectively. Cash paid for income taxes, net of refunds, for the fiscal years ended September 30, 2025, 2024 and 2023 was $50.1 million, $29.1 million and $30.4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modifies the disclosure and presentation requirements of reportable segments. This ASU is effective for the Company beginning with its fiscal year 2025 reporting and for interim reporting beginning with its fiscal year 2026. The Company adopted this ASU for the fiscal year beginning on October 1, 2024 on a retrospective basis for all periods presented. The adoption of the ASU did not have an impact on the Company’s consolidated financial condition or results of operations. See Note 8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This ASU is effective for the Company beginning with its fiscal year 2026 reporting. While this ASU will increase disclosures, it will not have a material impact on the Company’s Consolidated Financial Statements.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to improve disclosures about an entity's expenses including more detailed information about the components of expenses in commonly presented expense captions. This ASU is effective for the Company beginning with its fiscal year 2028 reporting and for interim reporting beginning with its fiscal year 2029. While this ASU will increase disclosures, it will not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 Use Software. This ASU eliminates accounting consideration of software project development stages and clarifies the threshold applied to begin capitalizing costs. This ASU is effective for the Company beginning with its fiscal 2029 reporting and permits prospective, modified prospective, or retrospective adoption. Early adoption is permitted. The Company is evaluating the impact of this ASU on its Consolidated Financial Statements and related disclosures.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April 1, 2022 (the "Separation Date"), Embecta and Becton, Dickinson and Company ("BD") entered into a Separation and Distribution Agreement (the "Separation and Distribution Agreement"). The Separation and Distribution Agreement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40" w:lineRule="exact"/>
        <w:rPr>
          <w:sz w:val="20"/>
          <w:szCs w:val="20"/>
          <w:color w:val="auto"/>
        </w:rPr>
      </w:pPr>
    </w:p>
    <w:p>
      <w:pPr>
        <w:jc w:val="both"/>
        <w:ind w:left="660" w:hanging="328"/>
        <w:spacing w:after="0" w:line="24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and Logistics Services Agreement ("LSA") - Pursuant to the TSA, as amended, and the related LSA, as amended, Embecta and BD and their respective affiliates provide each other, on an interim, transitional basis, various services, including, but not limited to, information technology, procurement, quality and regulatory affairs, medical affairs, tax and treasury services, distribution logistics, and shared services infrastructure support for order-to-cash, source-to-pay, and record-to-report (collectively, the “Interim Business Continuity Processes”). The agreed-upon charges for such services were generally intended to allow the servicing party to charge a price comprised of out-of-pocket costs and expenses and a predetermined profit in the form of a mark-up of such out-of-pocket costs and expenses. Specifically for the LSA, Embecta paid BD (i) reimbursable costs, including all shipping costs, selling costs, general administration costs, costs of goods, research and development services costs, and other income and expenses related solely to the diabetes care business, that were incurred by BD directly, as allocated costs or as costs payable to a third party and (ii) a monthly administrative fee of 1.0% of net revenue (which increased to 1.25% of net revenue after January 1, 2024). Such services provided pursuant to the TSA and the LSA have terminated and expired.</w:t>
      </w:r>
    </w:p>
    <w:p>
      <w:pPr>
        <w:spacing w:after="0" w:line="7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2"/>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 xml:space="preserve">Trade Receivables Factoring Agreements - Embecta </w:t>
      </w:r>
      <w:r>
        <w:rPr>
          <w:rFonts w:ascii="Times New Roman" w:cs="Times New Roman" w:eastAsia="Times New Roman" w:hAnsi="Times New Roman"/>
          <w:sz w:val="18"/>
          <w:szCs w:val="18"/>
          <w:color w:val="000000"/>
        </w:rPr>
        <w:t>and BD entered into trade receivables factoring agreements (the "Factoring Agreements"),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under which Embecta transferred certain net trade receivable assets to BD, and paid a service fee calculated as 0.1% of annual revenues related to countries subject to the Factoring Agreements in exchange for the services provided by BD. Per the terms of the Factoring Agreements, the Company and its relevant subsidiaries sold receivables to the corresponding BD subsidiary in the same jurisdiction and such BD subsidiary collected the receivables from Company's customers. The BD subsidiary assumed the credit risk in respect of the receivables, and accordingly deducted a factoring fee from the purchase price of such receivables. Accordingly, Embecta accounted for the transfer as sales of trade receivables by recognizing an increase to </w:t>
      </w:r>
      <w:r>
        <w:rPr>
          <w:rFonts w:ascii="Times New Roman" w:cs="Times New Roman" w:eastAsia="Times New Roman" w:hAnsi="Times New Roman"/>
          <w:sz w:val="18"/>
          <w:szCs w:val="18"/>
          <w:i w:val="1"/>
          <w:iCs w:val="1"/>
          <w:color w:val="000000"/>
        </w:rPr>
        <w:t>Cash and equivalents</w:t>
      </w:r>
      <w:r>
        <w:rPr>
          <w:rFonts w:ascii="Times New Roman" w:cs="Times New Roman" w:eastAsia="Times New Roman" w:hAnsi="Times New Roman"/>
          <w:sz w:val="18"/>
          <w:szCs w:val="18"/>
          <w:color w:val="000000"/>
        </w:rPr>
        <w:t xml:space="preserve"> and a decrease to </w:t>
      </w:r>
      <w:r>
        <w:rPr>
          <w:rFonts w:ascii="Times New Roman" w:cs="Times New Roman" w:eastAsia="Times New Roman" w:hAnsi="Times New Roman"/>
          <w:sz w:val="18"/>
          <w:szCs w:val="18"/>
          <w:i w:val="1"/>
          <w:iCs w:val="1"/>
          <w:color w:val="000000"/>
        </w:rPr>
        <w:t>Trade Receivables, net</w:t>
      </w:r>
      <w:r>
        <w:rPr>
          <w:rFonts w:ascii="Times New Roman" w:cs="Times New Roman" w:eastAsia="Times New Roman" w:hAnsi="Times New Roman"/>
          <w:sz w:val="18"/>
          <w:szCs w:val="18"/>
          <w:color w:val="000000"/>
        </w:rPr>
        <w:t xml:space="preserve"> in the Consolidated Balance Sheets when proceeds from the transactions are received. The transfers are presented in the Consolidated Statements of Cash Flows as operating activities and the related service fee is presented as a component of </w:t>
      </w:r>
      <w:r>
        <w:rPr>
          <w:rFonts w:ascii="Times New Roman" w:cs="Times New Roman" w:eastAsia="Times New Roman" w:hAnsi="Times New Roman"/>
          <w:sz w:val="18"/>
          <w:szCs w:val="18"/>
          <w:i w:val="1"/>
          <w:iCs w:val="1"/>
          <w:color w:val="000000"/>
        </w:rPr>
        <w:t>Other income (expense), net</w:t>
      </w:r>
      <w:r>
        <w:rPr>
          <w:rFonts w:ascii="Times New Roman" w:cs="Times New Roman" w:eastAsia="Times New Roman" w:hAnsi="Times New Roman"/>
          <w:sz w:val="18"/>
          <w:szCs w:val="18"/>
          <w:color w:val="000000"/>
        </w:rPr>
        <w:t xml:space="preserve"> in the Consolidated Statements of Income. The Trade Receivables Factoring Agreements have terminated and expired as a result of the Company's implementation and onboarding of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planning (“ERP”) systems (“Business Continuity Processes”).</w:t>
      </w:r>
    </w:p>
    <w:p>
      <w:pPr>
        <w:spacing w:after="0" w:line="81" w:lineRule="exact"/>
        <w:rPr>
          <w:rFonts w:ascii="Times New Roman" w:cs="Times New Roman" w:eastAsia="Times New Roman" w:hAnsi="Times New Roman"/>
          <w:sz w:val="18"/>
          <w:szCs w:val="18"/>
          <w:color w:val="2B2A29"/>
        </w:rPr>
      </w:pPr>
    </w:p>
    <w:p>
      <w:pPr>
        <w:jc w:val="both"/>
        <w:ind w:left="660" w:hanging="328"/>
        <w:spacing w:after="0" w:line="24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was appointed as a distributor of Embecta or its relevant subsidiaries to support certain commercial operations of the diabetes care business on a transitional basis in these regions for a maximum of two years. The distribution agreements each continued 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 years, except certain such agreements may be extended in connection with the Extension. Embecta paid BD a return of 1.5% to 2.0% of net revenue for each territory. As it pertains to the Distribution Agreements noted above, Embecta determined it was the principal under these arrangements and was entitled to all the benefits, and was liable for all the risks, related to the inventory and receivables. Additionally, Embecta had latitude in pricing, had the ability to direct BD regarding decisions over inventory, and was responsible for all credit and collections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2" w:name="page63"/>
    <w:bookmarkEnd w:id="62"/>
    <w:p>
      <w:pPr>
        <w:ind w:left="660" w:right="20"/>
        <w:spacing w:after="0" w:line="266" w:lineRule="auto"/>
        <w:rPr>
          <w:sz w:val="20"/>
          <w:szCs w:val="20"/>
          <w:color w:val="auto"/>
        </w:rPr>
      </w:pPr>
      <w:r>
        <w:rPr>
          <w:rFonts w:ascii="Times New Roman" w:cs="Times New Roman" w:eastAsia="Times New Roman" w:hAnsi="Times New Roman"/>
          <w:sz w:val="18"/>
          <w:szCs w:val="18"/>
          <w:color w:val="auto"/>
        </w:rPr>
        <w:t>risks and losses associated with the related receivables when there was no factoring agreement in place. As such, Embecta recognized these sales on a gross basis. All distribution agreements have terminated and expired.</w:t>
      </w:r>
    </w:p>
    <w:p>
      <w:pPr>
        <w:spacing w:after="0" w:line="68" w:lineRule="exact"/>
        <w:rPr>
          <w:sz w:val="20"/>
          <w:szCs w:val="20"/>
          <w:color w:val="auto"/>
        </w:rPr>
      </w:pPr>
    </w:p>
    <w:p>
      <w:pPr>
        <w:jc w:val="both"/>
        <w:ind w:left="660" w:hanging="328"/>
        <w:spacing w:after="0" w:line="24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products currently under development. BD retains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has the 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the employee matters agreement ("EMA"), an intellectual property matters agreement, local support services agreements, certain other manufacturing arrangements and a process services agreement and lease agreement for a manufacturing facility located in Holdrege, Nebraska. See Note 18 for more information on the lease agreement for Holdrege.</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amounts due from BD under the above agreements were $3.3 million and $12.2 million at September 30, 2025 and are reflected in </w:t>
      </w:r>
      <w:r>
        <w:rPr>
          <w:rFonts w:ascii="Times New Roman" w:cs="Times New Roman" w:eastAsia="Times New Roman" w:hAnsi="Times New Roman"/>
          <w:sz w:val="18"/>
          <w:szCs w:val="18"/>
          <w:i w:val="1"/>
          <w:iCs w:val="1"/>
          <w:color w:val="auto"/>
        </w:rPr>
        <w:t>Amounts due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Becton, Dickinson and Company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Trade receivables, net</w:t>
      </w:r>
      <w:r>
        <w:rPr>
          <w:rFonts w:ascii="Times New Roman" w:cs="Times New Roman" w:eastAsia="Times New Roman" w:hAnsi="Times New Roman"/>
          <w:sz w:val="18"/>
          <w:szCs w:val="18"/>
          <w:color w:val="auto"/>
        </w:rPr>
        <w:t>, respectively. The amount due to BD under these agreements was $16.3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$4.1 million at September 30, 2025 and are included in </w:t>
      </w:r>
      <w:r>
        <w:rPr>
          <w:rFonts w:ascii="Times New Roman" w:cs="Times New Roman" w:eastAsia="Times New Roman" w:hAnsi="Times New Roman"/>
          <w:sz w:val="18"/>
          <w:szCs w:val="18"/>
          <w:i w:val="1"/>
          <w:iCs w:val="1"/>
          <w:color w:val="auto"/>
        </w:rPr>
        <w:t>Amounts due to Becton, Dickinson and 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closing of the transfers of certain assets and liabilities in certain jurisdictions which did not occur at Separation, is complete.</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4 — Business Restructuring Charges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As a result, the Company incurred organizational restructuring plan (the "Patch Pump Restructuring Plan") costs of $34.5 million during the twelve months ended September 30, 2025. This Patch Pump Restructuring Plan is substantially complete as of September 30, 2025. The Company plans to refocus its investment on its core business while looking to optimize free cash flow and strengthen its balance sheet by paying down debt.</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year 2025, the Company initiated a restructuring plan (the "2025 Restructuring Plan") to streamline the organization and optimize resources. As a result, the Company incurred organizational restructuring plan costs of $3.5 million during the twelve months ended September 30, 2025. The 2025 Restructuring Plan is substantially complete as of September 30,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related to the restructuring programs by type of cost for the period ended September 30,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Non-Employee</w:t>
            </w:r>
          </w:p>
        </w:tc>
        <w:tc>
          <w:tcPr>
            <w:tcW w:w="260" w:type="dxa"/>
            <w:vAlign w:val="bottom"/>
          </w:tcPr>
          <w:p>
            <w:pPr>
              <w:spacing w:after="0"/>
              <w:rPr>
                <w:sz w:val="16"/>
                <w:szCs w:val="16"/>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7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termination costs are associated with actual headcount reductions, including involuntary headcount reductions which were probable and could be reasonably estimated.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related costs are associated with termination of contracts and long-lived asset impairments are discussed further in Note 16 and Note 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and spending relating to restructuring program activities for the period ended September 30,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Non-Employee</w:t>
            </w:r>
          </w:p>
        </w:tc>
        <w:tc>
          <w:tcPr>
            <w:tcW w:w="260" w:type="dxa"/>
            <w:vAlign w:val="bottom"/>
          </w:tcPr>
          <w:p>
            <w:pPr>
              <w:spacing w:after="0"/>
              <w:rPr>
                <w:sz w:val="16"/>
                <w:szCs w:val="16"/>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Charged to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60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Balance at September 30, 2025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As of September 30, 2025, $0.5 million is recorded in </w:t>
      </w:r>
      <w:r>
        <w:rPr>
          <w:rFonts w:ascii="Times New Roman" w:cs="Times New Roman" w:eastAsia="Times New Roman" w:hAnsi="Times New Roman"/>
          <w:sz w:val="18"/>
          <w:szCs w:val="18"/>
          <w:i w:val="1"/>
          <w:iCs w:val="1"/>
          <w:color w:val="auto"/>
        </w:rPr>
        <w:t>Salaries, wages and related items</w:t>
      </w:r>
      <w:r>
        <w:rPr>
          <w:rFonts w:ascii="Times New Roman" w:cs="Times New Roman" w:eastAsia="Times New Roman" w:hAnsi="Times New Roman"/>
          <w:sz w:val="18"/>
          <w:szCs w:val="18"/>
          <w:color w:val="auto"/>
        </w:rPr>
        <w:t xml:space="preserve"> and $1.4 million is recorded in </w:t>
      </w:r>
      <w:r>
        <w:rPr>
          <w:rFonts w:ascii="Times New Roman" w:cs="Times New Roman" w:eastAsia="Times New Roman" w:hAnsi="Times New Roman"/>
          <w:sz w:val="18"/>
          <w:szCs w:val="18"/>
          <w:i w:val="1"/>
          <w:iCs w:val="1"/>
          <w:color w:val="auto"/>
        </w:rPr>
        <w:t>Accrued expenses.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82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61</w:t>
            </w:r>
          </w:p>
        </w:tc>
      </w:tr>
      <w:tr>
        <w:trPr>
          <w:trHeight w:val="219"/>
        </w:trPr>
        <w:tc>
          <w:tcPr>
            <w:tcW w:w="6420" w:type="dxa"/>
            <w:vAlign w:val="bottom"/>
            <w:tcBorders>
              <w:bottom w:val="single" w:sz="8" w:color="9A9A9A"/>
            </w:tcBorders>
          </w:tcPr>
          <w:p>
            <w:pPr>
              <w:spacing w:after="0"/>
              <w:rPr>
                <w:sz w:val="19"/>
                <w:szCs w:val="19"/>
                <w:color w:val="auto"/>
              </w:rPr>
            </w:pPr>
          </w:p>
        </w:tc>
        <w:tc>
          <w:tcPr>
            <w:tcW w:w="48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Twelve months ended September 30,</w:t>
            </w:r>
          </w:p>
        </w:tc>
        <w:tc>
          <w:tcPr>
            <w:tcW w:w="110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6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6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7"/>
                <w:szCs w:val="17"/>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both the fiscal years ended September 30, 2025 and 2024, the Company recognized costs associated with the amortization of cloud computing arrangements which is further discussed in Note 11. For the fiscal year ended September 30, 2023, there was no amortization of implementation costs associated with cloud computing arrangements due to the timing of when these projects were placed into service.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September 30, 2025, the Company recognized costs associated with the discontinuation of the patch pump program which is further discussed in Note 4. No such costs were recognized for the fiscal years ended September 30, 2024 and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September 30, 2025, 2024 and 2023, the Company incurred restructuring, business optimization, and severance related costs associated with standing up and optimizing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is subject to potential liabilities under government regulations and various claims and legal actions that are pending or may be asserted from time-to-time. These matters arise in the ordinary course and conduct of the Company’s business and include, for example, commercial, product liability, breach of contract and tort, intellectual property, product liability, environmental, securities and employment matters. The Company intends to continue to defend itself vigorously in such matters and when warranted, take legal action against others. Furthermore, the Company regularly assesses contingencies to determine the degree of probability and range of possible loss for potential accrual in its financial statements.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 estimated loss contingency is accrued in the Company’s Financial Statements if it is probable that a liability has been incurred and the amount of the loss can be reasonably estimated. Based on the Company’s assessment, it has adequately accrued an amount for contingent liabilities currently in existence. The Company does not accrue amounts for liabilities that it does not believe are probable.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September 30, 2025 or September 30, 2024, nor is it a party to any material legal proceedings as of the date of issuance of these Consolidated Financial Statements.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Company's Annual Report on Form 10-K for the fiscal year ended September 30, 2024.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chargebacks,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variable consideration liability include the quantification of inventory that is either in stock at or in transit to the Company’s distributors, as well as the estimated lag time between the sale of product and the payment of corresponding variable consideration.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September 30, 2025 and September 30, 2024 was $113.7 million and $149.6 million, respectively. Sales deductions recorded as a reduction of gross revenues for the fiscal years ended September 30, 2025, 2024 and 2023 were $578.3 million, $525.9 million, and $411.1 million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8.</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Geographic, and Product Information</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operations include four product lines which constitute one operating segment engaged in providing solutions to improve the health and well-being of people living with diabetes. The Company's CODM is the Chief Executive Officer. The CODM assesses performance and decides how to allocate resources for the Company's one operating segment based on consolidated net income that is reported on the Consolidated Statements of Income. The Company has also evaluated the significant segment expenses incurred by our single segment regularly provided to the CODM. The significant expenses provided to the CODM are consistent with those reported on the Consolidated Statements of Income and include cost of products sold, selling and administrative expense, research and development, other operating expenses, interest expense, other income and expense, and income taxes. The CODM uses these metrics to make key operating decisions which include approving the design of key commercialization strategies, decision about key personnel, and approving annual operating and capital budgets. Our CODM considers budget-to-actual variances and year over year performance when making decisions supporting resource allocation. The Company manages assets on a consolidated basis as reported on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12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r>
      <w:tr>
        <w:trPr>
          <w:trHeight w:val="243"/>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w:t>
            </w:r>
          </w:p>
        </w:tc>
      </w:tr>
      <w:tr>
        <w:trPr>
          <w:trHeight w:val="26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1220" w:type="dxa"/>
            <w:vAlign w:val="bottom"/>
            <w:tcBorders>
              <w:bottom w:val="single" w:sz="8" w:color="auto"/>
            </w:tcBorders>
          </w:tcPr>
          <w:p>
            <w:pPr>
              <w:spacing w:after="0"/>
              <w:rPr>
                <w:sz w:val="16"/>
                <w:szCs w:val="16"/>
                <w:color w:val="auto"/>
              </w:rPr>
            </w:pPr>
          </w:p>
        </w:tc>
        <w:tc>
          <w:tcPr>
            <w:tcW w:w="5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94" w:lineRule="exact"/>
        <w:rPr>
          <w:sz w:val="20"/>
          <w:szCs w:val="20"/>
          <w:color w:val="auto"/>
        </w:rPr>
      </w:pPr>
    </w:p>
    <w:p>
      <w:pPr>
        <w:ind w:left="340" w:hanging="332"/>
        <w:spacing w:after="0" w:line="225"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fiscal years ended September 30, 2025, 2024, and 2023 no individual country outside of the United States generated net revenues that represented more than 10.0% of total revenues.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family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12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w:t>
            </w:r>
          </w:p>
        </w:tc>
      </w:tr>
      <w:tr>
        <w:trPr>
          <w:trHeight w:val="21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4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1,120.8</w:t>
            </w: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12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75" w:lineRule="exact"/>
        <w:rPr>
          <w:sz w:val="20"/>
          <w:szCs w:val="20"/>
          <w:color w:val="auto"/>
        </w:rPr>
      </w:pPr>
    </w:p>
    <w:p>
      <w:pPr>
        <w:ind w:left="340" w:right="360" w:hanging="332"/>
        <w:spacing w:after="0" w:line="263"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product sales for swabs and other accessories. Other also reflects the recognition of changes in estimates for the Italian payback measure relating to certain prior fiscal years between 2015 and 2023.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grants stock appreciation rights ("SARs"), time-vested restricted stock units ("TVUs"), performance based restricted stock units ("PSUs") and cash awards pursuant to the 2022 Employee and Director Equity Based Compensation Plan ("the Plan"). A total of 10,189,000 shares of common stock are authorized under the Plan. Under the Plan, the exercise price of awards, if any, is set on the grant date and may not be less than the fair market value per share on that date. Generally SARs have a term of ten years and a three or four year vesting period, subject to limited exceptions.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Total direct and allocated stock-based compensation expense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2025, 2024, and 2023 and the respective income tax benefits recognized by the Company in the Consolidated Statements of Income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33"/>
        </w:trPr>
        <w:tc>
          <w:tcPr>
            <w:tcW w:w="6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33"/>
        </w:trPr>
        <w:tc>
          <w:tcPr>
            <w:tcW w:w="626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Liability Awards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6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
        </w:trPr>
        <w:tc>
          <w:tcPr>
            <w:tcW w:w="6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Company's total stock-based compensation expense by award type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2025, 2024 and 2023:</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6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33"/>
        </w:trPr>
        <w:tc>
          <w:tcPr>
            <w:tcW w:w="6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6"/>
          <w:szCs w:val="16"/>
          <w:color w:val="000000"/>
        </w:rPr>
        <w:t>fiscal</w:t>
      </w:r>
      <w:r>
        <w:rPr>
          <w:rFonts w:ascii="Times New Roman" w:cs="Times New Roman" w:eastAsia="Times New Roman" w:hAnsi="Times New Roman"/>
          <w:sz w:val="18"/>
          <w:szCs w:val="18"/>
          <w:color w:val="2B2A29"/>
        </w:rPr>
        <w:t xml:space="preserve"> year </w:t>
      </w:r>
      <w:r>
        <w:rPr>
          <w:rFonts w:ascii="Times New Roman" w:cs="Times New Roman" w:eastAsia="Times New Roman" w:hAnsi="Times New Roman"/>
          <w:sz w:val="18"/>
          <w:szCs w:val="18"/>
          <w:color w:val="000000"/>
        </w:rPr>
        <w:t>ended September 30, 2025</w:t>
      </w:r>
      <w:r>
        <w:rPr>
          <w:rFonts w:ascii="Times New Roman" w:cs="Times New Roman" w:eastAsia="Times New Roman" w:hAnsi="Times New Roman"/>
          <w:sz w:val="18"/>
          <w:szCs w:val="18"/>
          <w:color w:val="2B2A29"/>
        </w:rPr>
        <w:t xml:space="preserve">, Embecta granted 1,595,839 RSUs in the form of TVUs to employees which vest ratably over three years, subject to continued employment of the recipients. </w:t>
      </w:r>
      <w:r>
        <w:rPr>
          <w:rFonts w:ascii="Times New Roman" w:cs="Times New Roman" w:eastAsia="Times New Roman" w:hAnsi="Times New Roman"/>
          <w:sz w:val="18"/>
          <w:szCs w:val="18"/>
          <w:color w:val="000000"/>
        </w:rPr>
        <w:t>TVUs vest on a graded basis over a period of three years. The related stock-based compensation</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expense is recorded over the requisite service period, which is the vesting period or is based on retirement eligibility. The fair value of all TVUs is based on the market value of the Company’s stock on the date of grant.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TVUs outstanding as of September 30, 2025 and changes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then ended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1,994.9</w:t>
            </w:r>
          </w:p>
        </w:tc>
        <w:tc>
          <w:tcPr>
            <w:tcW w:w="14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distributed include shares withheld for taxes that are not formally issued to the market.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TVUs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units granted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TVUs vested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units vested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weighted average remaining vesting term of TVUs is 0.9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6"/>
          <w:szCs w:val="16"/>
          <w:color w:val="000000"/>
        </w:rPr>
        <w:t>fiscal</w:t>
      </w:r>
      <w:r>
        <w:rPr>
          <w:rFonts w:ascii="Times New Roman" w:cs="Times New Roman" w:eastAsia="Times New Roman" w:hAnsi="Times New Roman"/>
          <w:sz w:val="18"/>
          <w:szCs w:val="18"/>
          <w:color w:val="2B2A29"/>
        </w:rPr>
        <w:t xml:space="preserve"> year </w:t>
      </w:r>
      <w:r>
        <w:rPr>
          <w:rFonts w:ascii="Times New Roman" w:cs="Times New Roman" w:eastAsia="Times New Roman" w:hAnsi="Times New Roman"/>
          <w:sz w:val="18"/>
          <w:szCs w:val="18"/>
          <w:color w:val="000000"/>
        </w:rPr>
        <w:t>ended September 30, 2025</w:t>
      </w:r>
      <w:r>
        <w:rPr>
          <w:rFonts w:ascii="Times New Roman" w:cs="Times New Roman" w:eastAsia="Times New Roman" w:hAnsi="Times New Roman"/>
          <w:sz w:val="18"/>
          <w:szCs w:val="18"/>
          <w:color w:val="2B2A29"/>
        </w:rPr>
        <w:t>, Embecta awarded 530,014 RSUs in the form of PSUs to certain executive officers and employees which cliff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11060" w:val="left"/>
        </w:tabs>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r>
        <w:rPr>
          <w:sz w:val="20"/>
          <w:szCs w:val="20"/>
          <w:color w:val="auto"/>
        </w:rPr>
        <w:tab/>
      </w: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8" w:name="page69"/>
    <w:bookmarkEnd w:id="68"/>
    <w:p>
      <w:pPr>
        <w:jc w:val="both"/>
        <w:spacing w:after="0" w:line="246" w:lineRule="auto"/>
        <w:rPr>
          <w:sz w:val="20"/>
          <w:szCs w:val="20"/>
          <w:color w:val="auto"/>
        </w:rPr>
      </w:pPr>
      <w:r>
        <w:rPr>
          <w:rFonts w:ascii="Times New Roman" w:cs="Times New Roman" w:eastAsia="Times New Roman" w:hAnsi="Times New Roman"/>
          <w:sz w:val="18"/>
          <w:szCs w:val="18"/>
          <w:color w:val="2B2A29"/>
        </w:rPr>
        <w:t xml:space="preserve">date precedes the accounting grant date, the Company recognizes stock-based compensation expense for each separately-vesting tranche over the requisite service period based on the fair value at each reporting </w:t>
      </w:r>
      <w:r>
        <w:rPr>
          <w:rFonts w:ascii="Times New Roman" w:cs="Times New Roman" w:eastAsia="Times New Roman" w:hAnsi="Times New Roman"/>
          <w:sz w:val="18"/>
          <w:szCs w:val="18"/>
          <w:color w:val="000000"/>
        </w:rPr>
        <w:t>date. The requisite service period is equal to the vesting period or is based on retirement eligibility.</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These awards accumulate dividend equivalents, which are provided as additional units and are subject to the same vesting requirements as the underlying grant. As of September 30, 2025, there were 901,360 RSUs in the form of PSUs that have been awarded, inclusive of accumulated dividend equivalents, for which a grant date has not yet been established.</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the Compensation Committee certified the Company achieved certain performance targets set for the PSUs awarded in November 2022 (the “2023 PSUs”). Therefore, applicable employees are entitled to vesting of the 2023 PSUs at 125% of the target shares awarded under the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PSUs outstanding as of September 30, 2025 and changes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then ended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(a)</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distributed include shares withheld for taxes that are not formally issued to the market.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Includes a payout adjustment of 53.8 thousand units due to the actual performance level achieved for PSUs granted in fiscal 2023 that will vest during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PSUs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6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units granted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weighted average remaining vesting term of PSUs is 0.1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three to four years and have a term of ten years. The fair value of awards are estimated on the date of grant using a Black-Scholes-Merton (“BSM”) model. The BSM assumptions include expected dividend yield, risk-free interest rate, volatility, and term of the SARs.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SARs outstanding as of September 30, 2025 and changes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then ended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8"/>
                <w:szCs w:val="18"/>
                <w:color w:val="auto"/>
              </w:rPr>
            </w:pPr>
          </w:p>
        </w:tc>
        <w:tc>
          <w:tcPr>
            <w:tcW w:w="14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September 30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September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SARs exercised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intrinsic value of SARs exercised</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fair value of SARs exercised</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14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81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33"/>
        </w:trPr>
        <w:tc>
          <w:tcPr>
            <w:tcW w:w="63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Unrecognized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as of September 30, 2025, is approximately $27.1 million, which is expected to be recognized over a weighted-average remaining life of approximately 1.7 years. At September 30, 2025, 3.3 million shares were authorized for future grants under the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Amortization Period</w:t>
            </w: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92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4"/>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Intangible asset amortization expense was $1.1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2025, $1.1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2024 and $1.2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2023, respectively. The estimated intangible asset amortization expense for the next five fiscal years and thereafter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1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Cloud Computing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costs to implement cloud computing arrangements and accumulated amortization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80" w:type="dxa"/>
            <w:vAlign w:val="bottom"/>
          </w:tcPr>
          <w:p>
            <w:pPr>
              <w:spacing w:after="0"/>
              <w:rPr>
                <w:sz w:val="18"/>
                <w:szCs w:val="18"/>
                <w:color w:val="auto"/>
              </w:rPr>
            </w:pPr>
          </w:p>
        </w:tc>
        <w:tc>
          <w:tcPr>
            <w:tcW w:w="174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w w:val="99"/>
              </w:rPr>
              <w:t>61.3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60.6</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w w:val="99"/>
              </w:rPr>
              <w:t>71.7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Pr>
          <w:p>
            <w:pPr>
              <w:spacing w:after="0"/>
              <w:rPr>
                <w:sz w:val="18"/>
                <w:szCs w:val="18"/>
                <w:color w:val="auto"/>
              </w:rPr>
            </w:pPr>
          </w:p>
        </w:tc>
        <w:tc>
          <w:tcPr>
            <w:tcW w:w="174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(16.8)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w w:val="99"/>
              </w:rPr>
              <w:t>54.9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64.5</w:t>
            </w:r>
          </w:p>
        </w:tc>
      </w:tr>
      <w:tr>
        <w:trPr>
          <w:trHeight w:val="33"/>
        </w:trPr>
        <w:tc>
          <w:tcPr>
            <w:tcW w:w="7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Costs amortized during the fiscal year ended September 30, 2025 and 2024 were $10.4 million and $6.3 million, respectively, and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2023 there were no costs recognized related to the implementation of these cloud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due to the timing of when these projects were placed into service. As of September 30, 2025, cloud computing arrangement assets in-service have remaining useful lives of up to seven years.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Senior Secured Notes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2022 Embecta issued $500.0 million aggregate principal amount of 5.00% senior secured notes due February 15, 2030 (the “5.00% Notes”).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 Senior Secured Notes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6.75% Related Party Notes at a discount of $3.0 million.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not issued for cash and instead were subject to a debt-for-debt exchange which occurred on April 1, 2022.</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On April 1, 2022, BD transferred the Related Party Notes with a notional value of </w:t>
      </w:r>
      <w:r>
        <w:rPr>
          <w:rFonts w:ascii="Times New Roman" w:cs="Times New Roman" w:eastAsia="Times New Roman" w:hAnsi="Times New Roman"/>
          <w:sz w:val="18"/>
          <w:szCs w:val="18"/>
          <w:color w:val="000000"/>
        </w:rPr>
        <w:t>$200.0 million</w:t>
      </w:r>
      <w:r>
        <w:rPr>
          <w:rFonts w:ascii="Times New Roman" w:cs="Times New Roman" w:eastAsia="Times New Roman" w:hAnsi="Times New Roman"/>
          <w:sz w:val="18"/>
          <w:szCs w:val="18"/>
          <w:color w:val="2B2A29"/>
        </w:rPr>
        <w:t xml:space="preserve"> issued by Embecta to Morgan Stanley in exchange for certain notes of BD that were purchased by Morgan Stanley pursuant to a tender offer. Morgan Stanley then sold the senior secured notes to qualified institutional buyers in the United States pursuant to Rule 144A under the Securities Act of 1933, as amended. As of April 1, 2022, the 6.75% senior secured notes (the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became third party debt of Embecta. Interest payments on the 6.75% Notes are due semi-annually in February and August until maturity. The 6.75% Notes will mature on February 15, 2030.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17" w:lineRule="exact"/>
        <w:rPr>
          <w:sz w:val="20"/>
          <w:szCs w:val="20"/>
          <w:color w:val="auto"/>
        </w:rPr>
      </w:pPr>
    </w:p>
    <w:p>
      <w:pPr>
        <w:jc w:val="both"/>
        <w:ind w:left="900" w:hanging="568"/>
        <w:spacing w:after="0" w:line="264" w:lineRule="auto"/>
        <w:tabs>
          <w:tab w:leader="none" w:pos="895" w:val="left"/>
        </w:tabs>
        <w:numPr>
          <w:ilvl w:val="0"/>
          <w:numId w:val="26"/>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auto"/>
        </w:rPr>
        <w:t xml:space="preserve">a Term Loan B Facility (the "Term Loan") in the amount of $950.0 million, with a </w:t>
      </w:r>
      <w:r>
        <w:rPr>
          <w:rFonts w:ascii="Times New Roman" w:cs="Times New Roman" w:eastAsia="Times New Roman" w:hAnsi="Times New Roman"/>
          <w:sz w:val="17"/>
          <w:szCs w:val="17"/>
          <w:color w:val="2B2A29"/>
        </w:rPr>
        <w:t>seven</w:t>
      </w:r>
      <w:r>
        <w:rPr>
          <w:rFonts w:ascii="Times New Roman" w:cs="Times New Roman" w:eastAsia="Times New Roman" w:hAnsi="Times New Roman"/>
          <w:sz w:val="17"/>
          <w:szCs w:val="17"/>
          <w:color w:val="auto"/>
        </w:rPr>
        <w:t xml:space="preserve">-year </w:t>
      </w:r>
      <w:r>
        <w:rPr>
          <w:rFonts w:ascii="Times New Roman" w:cs="Times New Roman" w:eastAsia="Times New Roman" w:hAnsi="Times New Roman"/>
          <w:sz w:val="17"/>
          <w:szCs w:val="17"/>
          <w:color w:val="2B2A29"/>
        </w:rPr>
        <w:t>term that matures in March 2029. The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Per the terms of the Credit Agreement, the Company may from time to time voluntarily prepay the Term Loan in whole or in part without premium or penalty subject to certain exceptions.</w:t>
      </w:r>
    </w:p>
    <w:p>
      <w:pPr>
        <w:spacing w:after="0" w:line="58" w:lineRule="exact"/>
        <w:rPr>
          <w:rFonts w:ascii="Times New Roman" w:cs="Times New Roman" w:eastAsia="Times New Roman" w:hAnsi="Times New Roman"/>
          <w:sz w:val="17"/>
          <w:szCs w:val="17"/>
          <w:color w:val="2B2A29"/>
        </w:rPr>
      </w:pPr>
    </w:p>
    <w:p>
      <w:pPr>
        <w:jc w:val="both"/>
        <w:ind w:left="900" w:hanging="568"/>
        <w:spacing w:after="0" w:line="247" w:lineRule="auto"/>
        <w:tabs>
          <w:tab w:leader="none" w:pos="895" w:val="left"/>
        </w:tabs>
        <w:numPr>
          <w:ilvl w:val="0"/>
          <w:numId w:val="26"/>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September 30, 2025,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Notes and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 As of September 30, 2025, the Company was in compliance with all of such covenants. The credit agreement and the senior secured notes are secured by substantially all assets of Embecta and each subsidiary guarantor, subject to certain exceptions.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716.8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1,416.8</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1,388.7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debt issuance costs on the Term Loan, 5.00% Notes, 6.75% Notes and the discount on the Term Loan are reported in the Consolidated Balance Sheets as a reduction of debt and are amortized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over the term of the related debt using the effective interest method. Amounts amortized during the years ended September 30,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2025, 2024 and 2023 were $9.1 million, $6.9 million and $6.4 million, respectively.</w:t>
      </w:r>
    </w:p>
    <w:p>
      <w:pPr>
        <w:spacing w:after="0" w:line="1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September 30, 2025, </w:t>
      </w:r>
      <w:r>
        <w:rPr>
          <w:rFonts w:ascii="Times New Roman" w:cs="Times New Roman" w:eastAsia="Times New Roman" w:hAnsi="Times New Roman"/>
          <w:sz w:val="18"/>
          <w:szCs w:val="18"/>
          <w:color w:val="2B2A29"/>
        </w:rPr>
        <w:t>the Company paid an aggregate principal amount of approximately</w:t>
      </w:r>
      <w:r>
        <w:rPr>
          <w:rFonts w:ascii="Times New Roman" w:cs="Times New Roman" w:eastAsia="Times New Roman" w:hAnsi="Times New Roman"/>
          <w:sz w:val="18"/>
          <w:szCs w:val="18"/>
          <w:color w:val="auto"/>
        </w:rPr>
        <w:t xml:space="preserve"> $184.6 million </w:t>
      </w:r>
      <w:r>
        <w:rPr>
          <w:rFonts w:ascii="Times New Roman" w:cs="Times New Roman" w:eastAsia="Times New Roman" w:hAnsi="Times New Roman"/>
          <w:sz w:val="18"/>
          <w:szCs w:val="18"/>
          <w:color w:val="2B2A29"/>
        </w:rPr>
        <w:t>on the Term Loan, of which</w:t>
      </w:r>
      <w:r>
        <w:rPr>
          <w:rFonts w:ascii="Times New Roman" w:cs="Times New Roman" w:eastAsia="Times New Roman" w:hAnsi="Times New Roman"/>
          <w:sz w:val="18"/>
          <w:szCs w:val="18"/>
          <w:color w:val="auto"/>
        </w:rPr>
        <w:t xml:space="preserve"> $175.1 million </w:t>
      </w:r>
      <w:r>
        <w:rPr>
          <w:rFonts w:ascii="Times New Roman" w:cs="Times New Roman" w:eastAsia="Times New Roman" w:hAnsi="Times New Roman"/>
          <w:sz w:val="18"/>
          <w:szCs w:val="18"/>
          <w:color w:val="2B2A29"/>
        </w:rPr>
        <w:t>was discretionary. Debt extinguishment charges as a result of these discretionary prepayments were not material to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interest payments of $103.8 million related to its debt outstanding during the fiscal year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September 30, 2025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1,398.2</w:t>
            </w:r>
          </w:p>
        </w:tc>
      </w:tr>
      <w:tr>
        <w:trPr>
          <w:trHeight w:val="149"/>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r>
    </w:tbl>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September 30, 2025 was $1,387.0 million compared with a carrying value (which includes a reduction for unamortized debt issuance costs and discounts) of $1,398.2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years ended September 30, 2025, 2024 and 2023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57,248</w:t>
            </w: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57,758</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24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computation of earnings per diluted share excludes the effect of the potential exercise of stock-based awards, when the effect of the potential exercise would be anti-dilutive. PSUs vest based upon achievement of performance targets and are excluded from the diluted shares outstanding unless the performance targets have been met as of the end of the applicable reporting period regardless of whether such performance targets are probable of achievement.</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2024, and 2023, 2.3 million, 2.8 million, and 1.8 million dilutive share equivalents issuable under stock-based compensation plans were excluded from the diluted shares outstanding calculation because the result would have been antidilutive.</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consisted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(100.9)</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rPr>
              <w:t>206.6</w:t>
            </w: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105.7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fiscal years ended September 30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09"/>
        </w:trPr>
        <w:tc>
          <w:tcPr>
            <w:tcW w:w="54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19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9"/>
        </w:trPr>
        <w:tc>
          <w:tcPr>
            <w:tcW w:w="54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
        </w:trPr>
        <w:tc>
          <w:tcPr>
            <w:tcW w:w="5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federal statutory tax rate to the Company's effective income tax rate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gridSpan w:val="2"/>
          </w:tcPr>
          <w:p>
            <w:pPr>
              <w:ind w:left="59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19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tax rate</w:t>
            </w: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8"/>
                <w:szCs w:val="18"/>
                <w:color w:val="auto"/>
              </w:rPr>
            </w:pPr>
          </w:p>
        </w:tc>
        <w:tc>
          <w:tcPr>
            <w:tcW w:w="1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 at rates other than 21%</w:t>
            </w: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tax on foreign earnings</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8"/>
                <w:szCs w:val="18"/>
                <w:color w:val="auto"/>
              </w:rPr>
            </w:pPr>
          </w:p>
        </w:tc>
        <w:tc>
          <w:tcPr>
            <w:tcW w:w="1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(40.6)</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reserves</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24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law changes</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(65.0)</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Nontaxable items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basis adjustments</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216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   —</w:t>
            </w:r>
          </w:p>
        </w:tc>
        <w:tc>
          <w:tcPr>
            <w:tcW w:w="1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r>
      <w:tr>
        <w:trPr>
          <w:trHeight w:val="20"/>
        </w:trPr>
        <w:tc>
          <w:tcPr>
            <w:tcW w:w="5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the Company's effective income tax rate for fiscal year 2025 as compared to fiscal year 2024 was primarily due to the absence of 2024 tax benefits from the recognition of deferred tax assets related to tax reform in Switzerland, the absence of 2024 tax benefits from the reduction of withholding tax accruals on unremitted foreign earnings resulting from the expiration of certain stock ownership holding period requirements, fewer nontaxable items of income and the correlative tax impacts of these changes on higher overall earnings in 2025; partially offset by approximately $5.1 million of tax benefits from various tax return true ups for filings made during 2025 which are reflected above in the Other, net category.</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3" w:name="page74"/>
    <w:bookmarkEnd w:id="73"/>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the Company's effective income tax rate for fiscal year 2024 as compared to fiscal year 2023 was primarily due to a reduction in withholding taxes on unremitted earnings of foreign subsidiaries related to the expiration of a two-year stock holding period requirement in Switzerland, the recognition of deferred tax assets from Switzerland tax reform, changes in the geographical mix of earnings and overall lower pre-tax earnings; partially offset by an increase in uncertain tax positions and non-deductible expenses.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developed major reform of the international tax system with respect to a global minimum 15% tax rate. European Union member states agreed to adopt the OECD’s minimum tax rules, which went into effect for tax years beginning on January 1, 2024 or later. Certain countries have enacted the law changes and other countries are considering changes to their tax laws. The impact of the changes went into effect for the Company beginning in fiscal year 2025. The global minimum tax rules did not have a material impact to our provision for income taxes for the fiscal year ended September 30, 2025.</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U.S. One Big Beautiful Bill Act ("OBBBA") was enacted which includes permanent extensions of certain expiring provisions of the Tax Cuts and Jobs Act and makes significant modifications to the U.S. international tax framework. The legislation has multiple effective dates, with certain provisions effective beginning in fiscal year ended September 30, 2025 and others becoming effective through the fiscal year ended September 30, 2027. OBBBA did not have a material impact to our provision for income taxes for the fiscal year ended September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at September 30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carryforwards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loss and credit carryforwards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deferred tax assets before valuation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39"/>
        </w:trPr>
        <w:tc>
          <w:tcPr>
            <w:tcW w:w="8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cloud computing costs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07"/>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assets (liabilities) (i)</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r>
    </w:tbl>
    <w:p>
      <w:pPr>
        <w:spacing w:after="0" w:line="236" w:lineRule="exact"/>
        <w:rPr>
          <w:sz w:val="20"/>
          <w:szCs w:val="20"/>
          <w:color w:val="auto"/>
        </w:rPr>
      </w:pPr>
    </w:p>
    <w:p>
      <w:pPr>
        <w:ind w:left="660" w:right="20" w:hanging="328"/>
        <w:spacing w:after="0" w:line="268" w:lineRule="auto"/>
        <w:tabs>
          <w:tab w:leader="none" w:pos="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deferred tax assets are included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and net deferred tax liabilities are included in </w:t>
      </w:r>
      <w:r>
        <w:rPr>
          <w:rFonts w:ascii="Times New Roman" w:cs="Times New Roman" w:eastAsia="Times New Roman" w:hAnsi="Times New Roman"/>
          <w:sz w:val="18"/>
          <w:szCs w:val="18"/>
          <w:i w:val="1"/>
          <w:iCs w:val="1"/>
          <w:color w:val="auto"/>
        </w:rPr>
        <w:t>Deferred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and Other Liabilities </w:t>
      </w:r>
      <w:r>
        <w:rPr>
          <w:rFonts w:ascii="Times New Roman" w:cs="Times New Roman" w:eastAsia="Times New Roman" w:hAnsi="Times New Roman"/>
          <w:sz w:val="18"/>
          <w:szCs w:val="18"/>
          <w:color w:val="auto"/>
        </w:rPr>
        <w:t>in the Consolidated Balance Sheets.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netted in the Consolidated Balance Sheets by separate tax jurisdictions.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September 30, 2024, the Company has recorded deferred taxes on undistributed earnings of its foreign subsidiaries.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fiscal year 2025, the Company recorded a deferred tax asset of approximately $23.8 million related to tax losses incurred in connection with an internal restructuring which is fully offset by a valuation allowance. As of September 30, 2025, the Company has recorded valuation allowances of approximately $90.7 million due to uncertainty that exists regarding the future realizability of certain deferred tax assets, primarily for interest expense carryforwards in the 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related to limitations on the annual deductibility of such interest, tax loss carryforwards, annual limitations on utilization of amortization deductions and tax credits in Switzerland and deferred tax assets related to certain foreign manufacturing operations.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fiscal year 2024, the Company recorded a tax benefit of approximately $16.8 million related to a reversal of taxes on unremitted foreign earnings due to the expiration of certain holding period requirements for stock ownership in its foreign affiliates. In addition, the Company recorded a tax benefit of approximately $28.7 million (before valuation allowance) related to the recognition of deferred tax assets for future amortization deductions and tax credits resulting from tax law changes in Switzerland. As of September 30, 2024, the Company has recorded valuation allowances of $50.2 million due to uncertainty that exists regarding the future realizability of certain deferred tax assets, primarily for interest expense carryforwards in the U.S. related to limitations on the annual deductibility of such interest, annual limitations on utilization of amortization deductions and tax credits in Switzerland, state tax credits and deferred tax assets related to certain foreign manufacturing operations.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fiscal year 2025, the Company no longer receives tax benefits related to tax holidays. For fiscal year 2024, the approximate tax benefit related to a tax holiday in Switzerland was $0.7 million and $0.01 impact on diluted earnings per share.</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2025, the Company had tax loss and credit carryforwards of approximately $2.9 million of state income tax credit carryforwards, $4.2 million of Switzerland cantonal tax credit carryforwards and $27.9 million in net operating loss carryforwards in various jurisdictions. Approximately $0.4 million of net operating loss carryforwards will not expire and the remaining carryforwards expire in varying amounts from 2026 through 2045.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gross amounts of unrecognized tax benefits without regard to reduction in tax liabilities or additions to deferred tax assets and liabilities if such unrecognized tax benefits were settled.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due to current year tax positions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prior year tax positions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prior year tax positions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due to settlements with tax authorities</w:t>
            </w:r>
          </w:p>
        </w:tc>
        <w:tc>
          <w:tcPr>
            <w:tcW w:w="1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lapse of statute of limitations</w:t>
            </w:r>
          </w:p>
        </w:tc>
        <w:tc>
          <w:tcPr>
            <w:tcW w:w="12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28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Unrecognized tax benefits including interest and penalties that would affect the</w:t>
            </w:r>
          </w:p>
        </w:tc>
        <w:tc>
          <w:tcPr>
            <w:tcW w:w="1280" w:type="dxa"/>
            <w:vAlign w:val="bottom"/>
            <w:vMerge w:val="restart"/>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2"/>
                <w:szCs w:val="12"/>
                <w:color w:val="auto"/>
              </w:rPr>
            </w:pPr>
          </w:p>
        </w:tc>
        <w:tc>
          <w:tcPr>
            <w:tcW w:w="1300" w:type="dxa"/>
            <w:vAlign w:val="bottom"/>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2"/>
                <w:szCs w:val="12"/>
                <w:color w:val="auto"/>
              </w:rPr>
            </w:pPr>
          </w:p>
        </w:tc>
        <w:tc>
          <w:tcPr>
            <w:tcW w:w="4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 if recognized</w:t>
            </w:r>
          </w:p>
        </w:tc>
        <w:tc>
          <w:tcPr>
            <w:tcW w:w="12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conducts business and files tax returns in numerous countries and currently has no tax audits in progress as of September 30, 2025.</w:t>
      </w:r>
    </w:p>
    <w:p>
      <w:pPr>
        <w:spacing w:after="0" w:line="11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following were included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as a component of </w:t>
      </w:r>
      <w:r>
        <w:rPr>
          <w:rFonts w:ascii="Times New Roman" w:cs="Times New Roman" w:eastAsia="Times New Roman" w:hAnsi="Times New Roman"/>
          <w:sz w:val="18"/>
          <w:szCs w:val="18"/>
          <w:i w:val="1"/>
          <w:iCs w:val="1"/>
          <w:color w:val="auto"/>
        </w:rPr>
        <w:t>Income tax provision (benefit)</w:t>
      </w:r>
      <w:r>
        <w:rPr>
          <w:rFonts w:ascii="Times New Roman" w:cs="Times New Roman" w:eastAsia="Times New Roman" w:hAnsi="Times New Roman"/>
          <w:sz w:val="18"/>
          <w:szCs w:val="18"/>
          <w:color w:val="auto"/>
        </w:rPr>
        <w:t xml:space="preserve"> in the Consolidated Statements of Income and the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45"/>
        </w:trPr>
        <w:tc>
          <w:tcPr>
            <w:tcW w:w="5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 and penalties expense (benefit) associated with unrecognized tax benefits</w:t>
            </w:r>
          </w:p>
        </w:tc>
        <w:tc>
          <w:tcPr>
            <w:tcW w:w="1320" w:type="dxa"/>
            <w:vAlign w:val="bottom"/>
            <w:vMerge w:val="restart"/>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the Consolidated Statements of Income</w:t>
            </w:r>
          </w:p>
        </w:tc>
        <w:tc>
          <w:tcPr>
            <w:tcW w:w="132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and penalties associated with unrecognized tax benefits on the</w:t>
            </w:r>
          </w:p>
        </w:tc>
        <w:tc>
          <w:tcPr>
            <w:tcW w:w="13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3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Receivables Sale Agreement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third quarter of fiscal year 2025, the Company entered into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receivables sale agreement, $63.2 million of trade receivables were sold during fiscal year 2025, resulting in derecognition of the receivables from the Company's Consolidated Balance Sheets. Discounts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recognized on the sale of trade receivables were not material to the Company's Consolidated Statements of Income. The cash received on the sale of trade receivables during fiscal year 2025 is presented in changes in trade receivables, net within operating activities in the Consolidated Statement of Cash Flows.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Financial Instruments and Fair Value Measurements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Consolidated Balance Sheets as of September 30, 2025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to the total amounts shown in the 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Cash and equivalents </w:t>
      </w:r>
      <w:r>
        <w:rPr>
          <w:rFonts w:ascii="Times New Roman" w:cs="Times New Roman" w:eastAsia="Times New Roman" w:hAnsi="Times New Roman"/>
          <w:sz w:val="18"/>
          <w:szCs w:val="18"/>
          <w:color w:val="auto"/>
        </w:rPr>
        <w:t>includes cash held in money market funds and other cash equivalents. All cash and equivalents are Level 1 in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$6.0 million, $12.0 million, and $9.4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2025, 2024, and 2023 respectively,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 primarily pledged as collateral for bank guarantees related to certain customer performance guarantees and property leases internationally.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238" w:lineRule="exact"/>
        <w:rPr>
          <w:sz w:val="20"/>
          <w:szCs w:val="20"/>
          <w:color w:val="auto"/>
        </w:rPr>
      </w:pPr>
    </w:p>
    <w:p>
      <w:pPr>
        <w:jc w:val="both"/>
        <w:ind w:left="660" w:hanging="328"/>
        <w:spacing w:after="0" w:line="250"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and third-party transactions.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the fiscal year ended September 30, 2025, the Company recorded non-cash asset impairment charges of $10.6 million to write down the carrying value of certain property and equipment as a result of the Company's plan to discontinue the patch pump program. $6.3 million was recorded to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 The amount recognized was recorded to adjust the carrying amount of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fair values, which were estimated, based upon a market participant's perspective, using Level 3 measurements, including values estimated using the income approach.</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fiscal year ended September 30, 2023, the Company recorded impairment charges of $2.5 million related to the abandonment of certain manufacturing equipment in China that is no longer in use that was inherited as part of the Separation from BD. These assets were previously included as a component of </w:t>
      </w:r>
      <w:r>
        <w:rPr>
          <w:rFonts w:ascii="Times New Roman" w:cs="Times New Roman" w:eastAsia="Times New Roman" w:hAnsi="Times New Roman"/>
          <w:sz w:val="18"/>
          <w:szCs w:val="18"/>
          <w:i w:val="1"/>
          <w:iCs w:val="1"/>
          <w:color w:val="auto"/>
        </w:rPr>
        <w:t>Machinery, equipment and fixtures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impairment charges are recognized within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w:t>
      </w:r>
      <w:r>
        <w:rPr>
          <w:rFonts w:ascii="Times New Roman" w:cs="Times New Roman" w:eastAsia="Times New Roman" w:hAnsi="Times New Roman"/>
          <w:sz w:val="18"/>
          <w:szCs w:val="18"/>
          <w:color w:val="auto"/>
        </w:rPr>
        <w:t>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Three of the Company’s customers represented at least 10.0% of total gross revenues individually and, in the aggregate, represented approximately 41.5%, 41.3% and 40.2%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2025, 2024 and 2023 respectively.</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the Company's customers represented at least 10.0% of total gross trade receivables individually and represented approximately 11.2% as of September 30, 2025.</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00" w:type="dxa"/>
            <w:vAlign w:val="bottom"/>
          </w:tcPr>
          <w:p>
            <w:pPr>
              <w:spacing w:after="0"/>
              <w:rPr>
                <w:sz w:val="18"/>
                <w:szCs w:val="18"/>
                <w:color w:val="auto"/>
              </w:rPr>
            </w:pPr>
          </w:p>
        </w:tc>
        <w:tc>
          <w:tcPr>
            <w:tcW w:w="2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r>
      <w:tr>
        <w:trPr>
          <w:trHeight w:val="220"/>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04"/>
        </w:trPr>
        <w:tc>
          <w:tcPr>
            <w:tcW w:w="63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33"/>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fiscal year ended September 30, 2025, the Company recorded non-cash asset impairment charges of $10.6 million to write down the carrying value of certain property and equipment as a result of the Company's plan to discontinue the patch pump program. $6.3 million was recorded to </w:t>
      </w:r>
      <w:r>
        <w:rPr>
          <w:rFonts w:ascii="Times New Roman" w:cs="Times New Roman" w:eastAsia="Times New Roman" w:hAnsi="Times New Roman"/>
          <w:sz w:val="18"/>
          <w:szCs w:val="18"/>
          <w:i w:val="1"/>
          <w:iCs w:val="1"/>
          <w:color w:val="auto"/>
        </w:rPr>
        <w:t>Cost of</w:t>
      </w: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products 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and an option for the Company to extend the lease term for an additional period of up to five years. This lease is classified as a finance lease.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 The Company entered into a real estate lease for a new Corporate Headquarters located in Parsippany, NJ which commenced during the second quarter of fiscal year 2023 for an initial term of ten years. The Company has options to extend the lease for additional period of six years and to extend for a subsequent additional period of four years, after the expiration of the first extension period.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Consolidated Balance Sheets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6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40" w:type="dxa"/>
            <w:vAlign w:val="bottom"/>
          </w:tcPr>
          <w:p>
            <w:pPr>
              <w:spacing w:after="0"/>
              <w:rPr>
                <w:sz w:val="18"/>
                <w:szCs w:val="18"/>
                <w:color w:val="auto"/>
              </w:rPr>
            </w:pPr>
          </w:p>
        </w:tc>
        <w:tc>
          <w:tcPr>
            <w:tcW w:w="23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3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33"/>
        </w:trPr>
        <w:tc>
          <w:tcPr>
            <w:tcW w:w="2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204"/>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3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33"/>
        </w:trPr>
        <w:tc>
          <w:tcPr>
            <w:tcW w:w="2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
        </w:trPr>
        <w:tc>
          <w:tcPr>
            <w:tcW w:w="2620" w:type="dxa"/>
            <w:vAlign w:val="bottom"/>
            <w:shd w:val="clear" w:color="auto" w:fill="CCEEFF"/>
          </w:tcPr>
          <w:p>
            <w:pPr>
              <w:spacing w:after="0"/>
              <w:rPr>
                <w:sz w:val="6"/>
                <w:szCs w:val="6"/>
                <w:color w:val="auto"/>
              </w:rPr>
            </w:pPr>
          </w:p>
        </w:tc>
        <w:tc>
          <w:tcPr>
            <w:tcW w:w="30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2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r>
      <w:tr>
        <w:trPr>
          <w:trHeight w:val="204"/>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3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r>
      <w:tr>
        <w:trPr>
          <w:trHeight w:val="33"/>
        </w:trPr>
        <w:tc>
          <w:tcPr>
            <w:tcW w:w="56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26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33"/>
        </w:trPr>
        <w:tc>
          <w:tcPr>
            <w:tcW w:w="2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3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108"/>
        </w:trPr>
        <w:tc>
          <w:tcPr>
            <w:tcW w:w="26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1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6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26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2"/>
        </w:trPr>
        <w:tc>
          <w:tcPr>
            <w:tcW w:w="2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3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26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3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26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1"/>
        </w:trPr>
        <w:tc>
          <w:tcPr>
            <w:tcW w:w="2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r>
      <w:tr>
        <w:trPr>
          <w:trHeight w:val="20"/>
        </w:trPr>
        <w:tc>
          <w:tcPr>
            <w:tcW w:w="562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26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54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Lease costs incurred are as follows:</w:t>
            </w:r>
          </w:p>
        </w:tc>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6"/>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3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Selling and administrative and Research and</w:t>
            </w: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35"/>
        </w:trPr>
        <w:tc>
          <w:tcPr>
            <w:tcW w:w="26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5"/>
                <w:szCs w:val="15"/>
                <w:color w:val="auto"/>
              </w:rPr>
              <w:t>Development expense</w:t>
            </w:r>
          </w:p>
        </w:tc>
        <w:tc>
          <w:tcPr>
            <w:tcW w:w="6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of lease assets</w:t>
            </w:r>
          </w:p>
        </w:tc>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Cost of products sold</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0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Interest expense, net</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3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as of September 30, 2025,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w:t>
            </w:r>
          </w:p>
        </w:tc>
        <w:tc>
          <w:tcPr>
            <w:tcW w:w="1540" w:type="dxa"/>
            <w:vAlign w:val="bottom"/>
            <w:tcBorders>
              <w:bottom w:val="single" w:sz="8" w:color="CCEEFF"/>
            </w:tcBorders>
            <w:shd w:val="clear" w:color="auto" w:fill="CCEEFF"/>
          </w:tcPr>
          <w:p>
            <w:pPr>
              <w:jc w:val="right"/>
              <w:ind w:right="13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13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11060" w:val="left"/>
        </w:tabs>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r>
        <w:rPr>
          <w:sz w:val="20"/>
          <w:szCs w:val="20"/>
          <w:color w:val="auto"/>
        </w:rPr>
        <w:tab/>
      </w: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September 30, 2025 by fiscal year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2030</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0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Benefit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retiree benefit plans include defined benefit plans for employees in its affiliates in Switzerland (the "Swiss Plan") as well as other insignificant defined benefit plans in other countries where the Company maintains an operating presence. These Consolidated Financial Statements reflect the periodic benefit costs and funded status of such plans. The Company uses September 30 as the year-end measurement date.</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Swiss Plan is a government-mandated retirement account balance plan. Companies within the Swiss regulatory environment have substantial freedom in setting their pension plan design (e.g. with regards to the salary covered, level of retirement benefits, or overall benefit design) provided the benefits are always at least equal to the minimum requirements as defined by law. Most employers provide higher benefits than those required by law, which is the case for Embecta. The minimum level of retirement benefit is expressed by an account balance formula with age-related contribution rates based on an insured salary defined by law, and a minimum required interest crediting rate which is set by the government (1.25% in 2025 and 2024 and 1.00% in 2023). The sum of the Company's contributions should be at least equal to the sum of employee contributions. Contributions to the Swiss Plan are invested into a diversified fund managed by an investment fiduciary. As of September 30, 2025 and 2024, the Swiss plan had an unfunded net pension obligation of $3.9 million and $4.0 million, respectively, and plan assets that totaled $21.1 million, and $18.4 million, respectively. Net periodic benefit cost was not material to the Company's Consolidated Statements of Income for any period presented.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defined contribution savings plans that cover substantially all employees in the United States, Ireland, and Japan. The Company matches a certain percentage of each employee’s contributions as per the provisions of the plans. Total employer contributions by the Company to the plans were $14.3 million, $15.1 million and $14.1 million for the fiscal years ended September 30, 2025, 2024 and 2023,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a Deferred Compensation Plan in which certain directors and employees of the Company may defer the payment and taxation of up to 75% of their base salary and up to 100% of bonus amounts and other eligible cash compensation. A participant's deferrals are “invested” at the direction of the employee in a hypothetical portfolio of investments which are tracked by an administrator. The amounts accrued under this plan were $12.1 million and $10.0 million as of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20 — Supplemental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amounts recognized in fiscal years 2025, 2024 and 2023 relating to allowances for doubtful accounts and cash discounts, which are netted against trade receivables, are provided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Allowance for Doubtful</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Allowance for Cash</w:t>
            </w:r>
          </w:p>
        </w:tc>
        <w:tc>
          <w:tcPr>
            <w:tcW w:w="420" w:type="dxa"/>
            <w:vAlign w:val="bottom"/>
          </w:tcPr>
          <w:p>
            <w:pPr>
              <w:spacing w:after="0"/>
              <w:rPr>
                <w:sz w:val="16"/>
                <w:szCs w:val="16"/>
                <w:color w:val="auto"/>
              </w:rPr>
            </w:pPr>
          </w:p>
        </w:tc>
        <w:tc>
          <w:tcPr>
            <w:tcW w:w="1440" w:type="dxa"/>
            <w:vAlign w:val="bottom"/>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Discounts</w:t>
            </w:r>
          </w:p>
        </w:tc>
        <w:tc>
          <w:tcPr>
            <w:tcW w:w="4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CCEEFF"/>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7"/>
              </w:rPr>
              <w:t>(1.3)</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360" w:type="dxa"/>
            <w:vAlign w:val="bottom"/>
          </w:tcPr>
          <w:p>
            <w:pPr>
              <w:spacing w:after="0"/>
              <w:rPr>
                <w:sz w:val="18"/>
                <w:szCs w:val="18"/>
                <w:color w:val="auto"/>
              </w:rPr>
            </w:pPr>
          </w:p>
        </w:tc>
        <w:tc>
          <w:tcPr>
            <w:tcW w:w="148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7"/>
              </w:rPr>
              <w:t>(0.2)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0.5</w:t>
            </w:r>
          </w:p>
        </w:tc>
        <w:tc>
          <w:tcPr>
            <w:tcW w:w="54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w w:val="97"/>
              </w:rPr>
              <w:t>(1.0)</w:t>
            </w:r>
          </w:p>
        </w:tc>
        <w:tc>
          <w:tcPr>
            <w:tcW w:w="3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3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7"/>
              </w:rPr>
              <w:t>(2.2)</w:t>
            </w: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360" w:type="dxa"/>
            <w:vAlign w:val="bottom"/>
          </w:tcPr>
          <w:p>
            <w:pPr>
              <w:spacing w:after="0"/>
              <w:rPr>
                <w:sz w:val="18"/>
                <w:szCs w:val="18"/>
                <w:color w:val="auto"/>
              </w:rPr>
            </w:pPr>
          </w:p>
        </w:tc>
        <w:tc>
          <w:tcPr>
            <w:tcW w:w="148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9"/>
              </w:rPr>
              <w:t>0.4</w:t>
            </w:r>
          </w:p>
        </w:tc>
        <w:tc>
          <w:tcPr>
            <w:tcW w:w="5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7"/>
              </w:rPr>
              <w:t>(2.8)</w:t>
            </w: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360" w:type="dxa"/>
            <w:vAlign w:val="bottom"/>
          </w:tcPr>
          <w:p>
            <w:pPr>
              <w:spacing w:after="0"/>
              <w:rPr>
                <w:sz w:val="18"/>
                <w:szCs w:val="18"/>
                <w:color w:val="auto"/>
              </w:rPr>
            </w:pPr>
          </w:p>
        </w:tc>
        <w:tc>
          <w:tcPr>
            <w:tcW w:w="148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7"/>
              </w:rPr>
              <w:t>(1.0)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2.0</w:t>
            </w:r>
          </w:p>
        </w:tc>
        <w:tc>
          <w:tcPr>
            <w:tcW w:w="54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w w:val="97"/>
              </w:rPr>
              <w:t>(1.8)</w:t>
            </w:r>
          </w:p>
        </w:tc>
        <w:tc>
          <w:tcPr>
            <w:tcW w:w="3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0" w:type="dxa"/>
            <w:vAlign w:val="bottom"/>
          </w:tcPr>
          <w:p>
            <w:pPr>
              <w:spacing w:after="0"/>
              <w:rPr>
                <w:sz w:val="17"/>
                <w:szCs w:val="17"/>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Accounts written off</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Long-lived assets, which include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Goodwill and Other Intangibles, net,</w:t>
      </w:r>
      <w:r>
        <w:rPr>
          <w:rFonts w:ascii="Times New Roman" w:cs="Times New Roman" w:eastAsia="Times New Roman" w:hAnsi="Times New Roman"/>
          <w:sz w:val="18"/>
          <w:szCs w:val="18"/>
          <w:color w:val="auto"/>
        </w:rPr>
        <w:t xml:space="preserve"> by geographic area where located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7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Assets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November 2025, the Company executed an agreement with a third party to sell certain intellectual property rights and long-lived assets associated with the patch pump program for $10.0 million.</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Exchange Act), as amended. Based upon that evaluation as of September 30, 2025, the Company’s Chief Executive Officer and Chief Financial Officer each concluded that the design and operation of these disclosure controls and procedures were, as of the end of the period covered by this Annual Report on Form 10-K, effective and ensure that material information relating to Embecta and its consolidated subsidiaries would be made known to them by others within these entities.</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2022, the Company commenced the process of implementing a new ERP system and other Business Continuity Processes to replace the existing systems provided by BD. The ERP system is designed to accurately maintain the Company's financial records used to report operating results. The implementation of the ERP system and other Business Continuity Processes is highly complex and has occurred in phases across geographies. The implementations of North America, EMEA, Asia and Greater China were completed in phases within fiscal years 2023 and 2024. The Latin America implementation was completed in the first quarter of fiscal year 2025 and the implementation for India, the final phase, was completed in the third quarter of fiscal year 2025. A standardized internal control framework was implemented with each phase as the Company moved away from relying on BD’s systems and controls.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financial statements included in Item 8 of this Annual Report on Form 10-K have been prepared by the Company's management in conformity with U.S. generally accepted accounting principles and include, where required, amounts based on the best estimates and judgments of management. The integrity and objectivity of data in the financial statements and elsewhere in this Annual Report on Form 10-K are the responsibility of the Company's management.</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fulfilling its responsibilities for the integrity of the data presented and to safeguard the Company’s assets, management employs a system of internal accounting controls designed to provide reasonable assurance, at appropriate cost, that the Company’s assets are protected and that transactions are appropriately authorized, recorded and summarized. This system of control is supported by the selection of qualified personnel, by organizational assignments that provide appropriate delegation of authority and division of responsibilities, and by the dissemination of written policies and procedures. This control structure is further reinforced by a program of internal audits, including a policy that requires responsive action by management.</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Board of Directors monitors the internal control system, including internal accounting and financial reporting controls, through its Audit Committee, which consists of three independent Directors. The Audit Committee meets periodically with the independent registered public accounting firm, the internal auditors and management to review the work of each and to satisfy itself that they are properly discharging their responsibilities. The independent registered public accounting firm and the internal auditors have full and free access to the Audit Committee and meet with its members, with and without management present, to discuss the scope and results of their audits including internal control, auditing and financial reporting matters.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as amended. Management conducted an assessment of the effectiveness of internal control over financial reporting based on the criteria established in Internal Control-Integrated Framework issued by the Committee of Sponsoring Organizations of the Treadway Commission (2013 framework).</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preparation and filing of this Annual Report on Form 10-K, the Company’s management, including the Chief Executive Officer and Chief Financial Officer, conducted an evaluation of the effectiveness of its internal control over financial reporting as of September 30, 2025. Based on this evaluation, management concluded that the Company's internal control over financial reporting was effective as of September 30, 2025.</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included in this Annual Report on Form 10-K and the effectiveness of the Company's internal control over financial reporting as of September 30, 2025 have been audited by Ernst &amp; Young LLP, an independent registered public accounting firm, as stated in their report included in this Annual Report on Form 10-K. See “Report of Independent Registered Public Accounting Firm” which is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w:t>
      </w:r>
    </w:p>
    <w:p>
      <w:pPr>
        <w:spacing w:after="0" w:line="1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previously disclosed in Embecta’s Annual Report on Form 10-K for the year ended September 30, 2024, the Company had identified a material weakness in the internal control over financial reporting related to the design and operation of certain process and management review controls, including management's review activities for account reconciliations and analyses that were executed subsequent to the completion phases of the Company's ERP system implementation which are further described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implemented the following activities to remediate the material weakness:</w:t>
      </w:r>
    </w:p>
    <w:p>
      <w:pPr>
        <w:spacing w:after="0" w:line="10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of processes and internal controls related to account reconciliations affected by the material weakness;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robust and formal training program regarding diligence in control performance and Sarbanes-Oxley Act requirements and emphasis of certain finance policies;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enhanced oversight and governance over account reconciliations and financial analyses;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control design and related documentation to include additional procedures regarding confirmation of the completeness and accuracy of data used to perform controls and additional documentation around the precision of control activities;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existing technology to develop enhanced reporting and to drive process efficiencies and automation.</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management has completed testing of the design and operating effectiveness of the Company’s internal control over financial reporting following execution of the remediation steps described above. Accordingly, management has concluded that the previously identified material weakness is remediated as of September 30,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the remediation of the material weakness described above, there have been no changes in its internal control over financial reporting during the fourth quarter of fiscal year 2025, that have materially affected, or that are reasonably likely to materially affect, the Company's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has a Code of Conduct applicable to all employees, including the principal executive officer, principal financial officer, principal accounting officer, and controller, and all directors. The Code of Conduct is available at https://investors.embecta.com/corporate-governance/documents-charters. To the extent required by the rules of the SEC or The Nasdaq Stock Market LLC, Embecta intends to satisfy the disclosure requirements regarding any amendment or waiver of our Code of Conduct by posting such information on our website.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required by this item will be included in the 2026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information required by this item will be included in the 2026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4" w:lineRule="exact"/>
        <w:rPr>
          <w:sz w:val="20"/>
          <w:szCs w:val="20"/>
          <w:color w:val="auto"/>
        </w:rPr>
      </w:pPr>
    </w:p>
    <w:p>
      <w:pPr>
        <w:ind w:left="640" w:hanging="470"/>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65" w:lineRule="exact"/>
        <w:rPr>
          <w:rFonts w:ascii="Times New Roman" w:cs="Times New Roman" w:eastAsia="Times New Roman" w:hAnsi="Times New Roman"/>
          <w:sz w:val="18"/>
          <w:szCs w:val="18"/>
          <w:b w:val="1"/>
          <w:bCs w:val="1"/>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Embecta are included in Item 8 of this Annual Report on Form 10-K:</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 Fiscal years ended September 30, 2025, 2024 and 2023</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 Fiscal years ended September 30, 2025, 2024 and 2023</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September 30, 2025 and 2024</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Equity — Fiscal years ended September 30, 2025, 2024 and 2023</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Fiscal years ended September 30, 2025, 2024 and 2023</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4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6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20 to the Consolidated Financial Statements included in Item 8. Financial Statements and Supplementary Data.</w:t>
      </w:r>
    </w:p>
    <w:p>
      <w:pPr>
        <w:spacing w:after="0" w:line="209"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10"/>
          </w:tcPr>
          <w:p>
            <w:pPr>
              <w:spacing w:after="0" w:line="18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Separation and Distribution Agreement, dated as of March 31, 2022, by and between the Company and BD. (Incorporated by reference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to the Company’s Current Report on Form 8-K filed on April 6, 2022.) **</w:t>
              </w:r>
            </w:hyperlink>
          </w:p>
        </w:tc>
        <w:tc>
          <w:tcPr>
            <w:tcW w:w="440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Certificate of Incorporation of the Company. (Incorporated by reference to the Company’s Current Report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8-K filed on April 6,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Bylaws of the Company adopted effective as of August 2, 2023. (Incorporated by reference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Current Report on Form 8-K filed on August 3, 2023.)</w:t>
              </w:r>
            </w:hyperlink>
          </w:p>
        </w:tc>
        <w:tc>
          <w:tcPr>
            <w:tcW w:w="568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Indenture, dated February 10, 2022, by and between the Company and U.S. Bank Trust Company, National Association, as trustee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as notes collateral agent, including the form of 5.000% Senior Secured Notes due 2030. (Incorporated by reference to the Company’s</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Current Report on Form 8-K filed on February 11, 2022.)</w:t>
              </w:r>
            </w:hyperlink>
          </w:p>
        </w:tc>
        <w:tc>
          <w:tcPr>
            <w:tcW w:w="5440" w:type="dxa"/>
            <w:vAlign w:val="bottom"/>
            <w:tcBorders>
              <w:top w:val="single" w:sz="8" w:color="0000FF"/>
            </w:tcBorders>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35" w:right="33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4.2</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First Supplemental Indenture, dated as of April 1, 2022, to the Indenture dated as of February 10, 2022, by and between the Company</w:t>
        </w:r>
      </w:hyperlink>
    </w:p>
    <w:p>
      <w:pPr>
        <w:spacing w:after="0" w:line="2" w:lineRule="exact"/>
        <w:rPr>
          <w:sz w:val="20"/>
          <w:szCs w:val="20"/>
          <w:color w:val="auto"/>
        </w:rPr>
      </w:pPr>
    </w:p>
    <w:p>
      <w:pPr>
        <w:ind w:right="720"/>
        <w:spacing w:after="0" w:line="22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and U.S. Bank Trust Company, National Association, as trustee and as notes collateral agent. (Incorporated by reference to the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90" w:lineRule="exact"/>
        <w:rPr>
          <w:sz w:val="20"/>
          <w:szCs w:val="20"/>
          <w:color w:val="auto"/>
        </w:rPr>
      </w:pPr>
    </w:p>
    <w:p>
      <w:pPr>
        <w:jc w:val="both"/>
        <w:ind w:right="40"/>
        <w:spacing w:after="0" w:line="258"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Indenture, dated as of March 31, 2022, by and between the Company and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and as notes collateral agent, including the form of 6.750% Senior Secured Notes due 2030. (Incorporated by reference to the</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34"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First Supplemental Indenture, dated as of April 1, 2022, to the Indenture dated as of March 31, 2022, by and between the Company and</w:t>
        </w:r>
      </w:hyperlink>
    </w:p>
    <w:p>
      <w:pPr>
        <w:spacing w:after="0" w:line="2" w:lineRule="exact"/>
        <w:rPr>
          <w:rFonts w:ascii="Times New Roman" w:cs="Times New Roman" w:eastAsia="Times New Roman" w:hAnsi="Times New Roman"/>
          <w:sz w:val="18"/>
          <w:szCs w:val="18"/>
          <w:u w:val="single" w:color="auto"/>
          <w:color w:val="0000FF"/>
        </w:rPr>
      </w:pPr>
    </w:p>
    <w:p>
      <w:pPr>
        <w:ind w:right="160"/>
        <w:spacing w:after="0" w:line="22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U.S. Bank Trust Company, National Association, as trustee and as notes collateral agent. (Incorporated by reference to the Company’s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Current Report on Form 8-K on April 6, 2022.)</w:t>
        </w:r>
      </w:hyperlink>
    </w:p>
    <w:p>
      <w:pPr>
        <w:spacing w:after="0" w:line="1" w:lineRule="exact"/>
        <w:rPr>
          <w:sz w:val="20"/>
          <w:szCs w:val="20"/>
          <w:color w:val="auto"/>
        </w:rPr>
      </w:pPr>
    </w:p>
    <w:p>
      <w:pPr>
        <w:sectPr>
          <w:pgSz w:w="11900" w:h="16838" w:orient="portrait"/>
          <w:cols w:equalWidth="0" w:num="2">
            <w:col w:w="700" w:space="720"/>
            <w:col w:w="982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480" w:type="dxa"/>
            <w:vAlign w:val="bottom"/>
            <w:tcBorders>
              <w:bottom w:val="single" w:sz="8" w:color="0000FF"/>
            </w:tcBorders>
            <w:gridSpan w:val="5"/>
          </w:tcPr>
          <w:p>
            <w:pPr>
              <w:spacing w:after="0" w:line="18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Description of Securities. (Incorporated by reference to the Company’s Annual Report on Form 10-K filed on November 29, 2023.)</w:t>
              </w:r>
            </w:hyperlink>
          </w:p>
        </w:tc>
        <w:tc>
          <w:tcPr>
            <w:tcW w:w="340" w:type="dxa"/>
            <w:vAlign w:val="bottom"/>
            <w:gridSpan w:val="4"/>
          </w:tcPr>
          <w:p>
            <w:pPr>
              <w:spacing w:after="0"/>
              <w:rPr>
                <w:sz w:val="16"/>
                <w:szCs w:val="16"/>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Transition Services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95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Company’s Current Report on Form 8-K filed on April 6, 2022.) **</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1 to Transition Services Agreement, dated as of July 1, 2022, by and between BD and the Company. (Incorporated by</w:t>
              </w:r>
            </w:hyperlink>
          </w:p>
        </w:tc>
      </w:tr>
      <w:tr>
        <w:trPr>
          <w:trHeight w:val="169"/>
        </w:trPr>
        <w:tc>
          <w:tcPr>
            <w:tcW w:w="142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reference to the Company’s Annual Report on Form 10-K filed on December 22, 2022.) **</w:t>
              </w:r>
            </w:hyperlink>
          </w:p>
        </w:tc>
        <w:tc>
          <w:tcPr>
            <w:tcW w:w="31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2 to Transition Services Agreement, dated as of March 28, 2024, by and between BD and the Company (Incorporated</w:t>
              </w:r>
            </w:hyperlink>
          </w:p>
        </w:tc>
      </w:tr>
      <w:tr>
        <w:trPr>
          <w:trHeight w:val="169"/>
        </w:trPr>
        <w:tc>
          <w:tcPr>
            <w:tcW w:w="142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by reference to the Company’s Current Report on Form 8-K filed on March 28, 2024.) **</w:t>
              </w:r>
            </w:hyperlink>
          </w:p>
        </w:tc>
        <w:tc>
          <w:tcPr>
            <w:tcW w:w="328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Tax Matters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904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Company’s Current Report on Form 8-K filed on April 6, 2022.) **</w:t>
              </w:r>
            </w:hyperlink>
          </w:p>
        </w:tc>
        <w:tc>
          <w:tcPr>
            <w:tcW w:w="780" w:type="dxa"/>
            <w:vAlign w:val="bottom"/>
            <w:gridSpan w:val="5"/>
          </w:tcPr>
          <w:p>
            <w:pPr>
              <w:spacing w:after="0"/>
              <w:rPr>
                <w:sz w:val="14"/>
                <w:szCs w:val="14"/>
                <w:color w:val="auto"/>
              </w:rPr>
            </w:pPr>
          </w:p>
        </w:tc>
      </w:tr>
      <w:tr>
        <w:trPr>
          <w:trHeight w:val="915"/>
        </w:trPr>
        <w:tc>
          <w:tcPr>
            <w:tcW w:w="1420" w:type="dxa"/>
            <w:vAlign w:val="bottom"/>
          </w:tcPr>
          <w:p>
            <w:pPr>
              <w:spacing w:after="0"/>
              <w:rPr>
                <w:sz w:val="24"/>
                <w:szCs w:val="24"/>
                <w:color w:val="auto"/>
              </w:rPr>
            </w:pPr>
          </w:p>
        </w:tc>
        <w:tc>
          <w:tcPr>
            <w:tcW w:w="4860" w:type="dxa"/>
            <w:vAlign w:val="bottom"/>
            <w:tcBorders>
              <w:top w:val="single" w:sz="8" w:color="0000FF"/>
            </w:tcBorders>
          </w:tcPr>
          <w:p>
            <w:pPr>
              <w:ind w:left="4140"/>
              <w:spacing w:after="0"/>
              <w:rPr>
                <w:sz w:val="20"/>
                <w:szCs w:val="20"/>
                <w:color w:val="auto"/>
              </w:rPr>
            </w:pPr>
            <w:r>
              <w:rPr>
                <w:rFonts w:ascii="Times New Roman" w:cs="Times New Roman" w:eastAsia="Times New Roman" w:hAnsi="Times New Roman"/>
                <w:sz w:val="14"/>
                <w:szCs w:val="14"/>
                <w:color w:val="auto"/>
              </w:rPr>
              <w:t>81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14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Employee Matters Agreement, dated as of March 31, 2022, by and between BD and the Company. (Incorporated by reference to the</w:t>
              </w:r>
            </w:hyperlink>
          </w:p>
        </w:tc>
      </w:tr>
      <w:tr>
        <w:trPr>
          <w:trHeight w:val="156"/>
        </w:trPr>
        <w:tc>
          <w:tcPr>
            <w:tcW w:w="1440" w:type="dxa"/>
            <w:vAlign w:val="bottom"/>
          </w:tcPr>
          <w:p>
            <w:pPr>
              <w:spacing w:after="0"/>
              <w:rPr>
                <w:sz w:val="13"/>
                <w:szCs w:val="13"/>
                <w:color w:val="auto"/>
              </w:rPr>
            </w:pPr>
          </w:p>
        </w:tc>
        <w:tc>
          <w:tcPr>
            <w:tcW w:w="95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Current Report on Form 8-K filed on April 6, 2022.)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Embecta 2022 Employee and Director Equity-Based Compensation Plan. (Incorporated by reference to the Company’s Current Report</w:t>
              </w:r>
            </w:hyperlink>
          </w:p>
        </w:tc>
      </w:tr>
      <w:tr>
        <w:trPr>
          <w:trHeight w:val="156"/>
        </w:trPr>
        <w:tc>
          <w:tcPr>
            <w:tcW w:w="144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on Form 8-K filed on April 6, 2022.) (+)</w:t>
              </w:r>
            </w:hyperlink>
          </w:p>
        </w:tc>
        <w:tc>
          <w:tcPr>
            <w:tcW w:w="678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1 to the Embecta Corp. 2022 Employee and Director Equity-Based Compensation Plan (Incorporated by reference to</w:t>
              </w:r>
            </w:hyperlink>
          </w:p>
        </w:tc>
      </w:tr>
      <w:tr>
        <w:trPr>
          <w:trHeight w:val="156"/>
        </w:trPr>
        <w:tc>
          <w:tcPr>
            <w:tcW w:w="144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the Company’s Quarterly Report on Form 10-Q filed on February 9, 2024.) (+)</w:t>
              </w:r>
            </w:hyperlink>
          </w:p>
        </w:tc>
        <w:tc>
          <w:tcPr>
            <w:tcW w:w="39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gridSpan w:val="46"/>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Embecta Corp. Executive Severance and Change in Control Plan. (Incorporated by reference to the Company’s Current Report on Form</w:t>
              </w:r>
            </w:hyperlink>
          </w:p>
        </w:tc>
      </w:tr>
      <w:tr>
        <w:trPr>
          <w:trHeight w:val="156"/>
        </w:trPr>
        <w:tc>
          <w:tcPr>
            <w:tcW w:w="144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8-K filed on April 6, 2022.) (+)</w:t>
              </w:r>
            </w:hyperlink>
          </w:p>
        </w:tc>
        <w:tc>
          <w:tcPr>
            <w:tcW w:w="7520" w:type="dxa"/>
            <w:vAlign w:val="bottom"/>
            <w:tcBorders>
              <w:top w:val="single" w:sz="8" w:color="0000FF"/>
            </w:tcBorders>
            <w:gridSpan w:val="38"/>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Embecta Deferred Compensation Plan. (Incorporated by reference to the Company’s Current Report on Form 8-K filed on April 6,</w:t>
              </w:r>
            </w:hyperlink>
          </w:p>
        </w:tc>
      </w:tr>
      <w:tr>
        <w:trPr>
          <w:trHeight w:val="155"/>
        </w:trPr>
        <w:tc>
          <w:tcPr>
            <w:tcW w:w="144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142">
              <w:r>
                <w:rPr>
                  <w:rFonts w:ascii="Times New Roman" w:cs="Times New Roman" w:eastAsia="Times New Roman" w:hAnsi="Times New Roman"/>
                  <w:sz w:val="18"/>
                  <w:szCs w:val="18"/>
                  <w:color w:val="0000FF"/>
                  <w:w w:val="92"/>
                </w:rPr>
                <w:t>2022.</w:t>
              </w:r>
              <w:r>
                <w:rPr>
                  <w:rFonts w:ascii="Times New Roman" w:cs="Times New Roman" w:eastAsia="Times New Roman" w:hAnsi="Times New Roman"/>
                  <w:sz w:val="18"/>
                  <w:szCs w:val="18"/>
                  <w:u w:val="single" w:color="auto"/>
                  <w:color w:val="0000FF"/>
                  <w:w w:val="92"/>
                </w:rPr>
                <w:t>)</w:t>
              </w:r>
              <w:r>
                <w:rPr>
                  <w:rFonts w:ascii="Times New Roman" w:cs="Times New Roman" w:eastAsia="Times New Roman" w:hAnsi="Times New Roman"/>
                  <w:sz w:val="18"/>
                  <w:szCs w:val="18"/>
                  <w:color w:val="0000FF"/>
                  <w:w w:val="92"/>
                </w:rPr>
                <w:t xml:space="preserve"> (+)</w:t>
              </w:r>
            </w:hyperlink>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Embecta Corp. Directors’ Deferral Plan. (Incorporated by reference to the Company’s Annual Report on Form 10-K filed on December</w:t>
              </w:r>
            </w:hyperlink>
          </w:p>
        </w:tc>
      </w:tr>
      <w:tr>
        <w:trPr>
          <w:trHeight w:val="156"/>
        </w:trPr>
        <w:tc>
          <w:tcPr>
            <w:tcW w:w="144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5"/>
              </w:rPr>
            </w:pPr>
            <w:hyperlink r:id="rId143">
              <w:r>
                <w:rPr>
                  <w:rFonts w:ascii="Times New Roman" w:cs="Times New Roman" w:eastAsia="Times New Roman" w:hAnsi="Times New Roman"/>
                  <w:sz w:val="18"/>
                  <w:szCs w:val="18"/>
                  <w:color w:val="0000FF"/>
                  <w:w w:val="95"/>
                </w:rPr>
                <w:t>22, 2022.) (+)</w:t>
              </w:r>
            </w:hyperlink>
          </w:p>
        </w:tc>
        <w:tc>
          <w:tcPr>
            <w:tcW w:w="3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Founders Grants under the Embecta Corp. 2022 Employee and Director Equity-Based Compensation Plan Terms and</w:t>
              </w:r>
            </w:hyperlink>
          </w:p>
        </w:tc>
      </w:tr>
      <w:tr>
        <w:trPr>
          <w:trHeight w:val="20"/>
        </w:trPr>
        <w:tc>
          <w:tcPr>
            <w:tcW w:w="144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9800" w:type="dxa"/>
            <w:vAlign w:val="bottom"/>
            <w:gridSpan w:val="46"/>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Conditions of Awards (April 1, 2022) (Incorporated by reference to the Company’s Annual Report on Form 10-K filed on December</w:t>
              </w:r>
            </w:hyperlink>
          </w:p>
        </w:tc>
      </w:tr>
      <w:tr>
        <w:trPr>
          <w:trHeight w:val="169"/>
        </w:trPr>
        <w:tc>
          <w:tcPr>
            <w:tcW w:w="144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22, 2022) (+)</w:t>
              </w:r>
            </w:hyperlink>
          </w:p>
        </w:tc>
        <w:tc>
          <w:tcPr>
            <w:tcW w:w="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Non-Employee Directors RSU Award under the Embecta Corp. 2022 Employee and Director Equity-Based Compensation</w:t>
              </w:r>
            </w:hyperlink>
          </w:p>
        </w:tc>
      </w:tr>
      <w:tr>
        <w:trPr>
          <w:trHeight w:val="156"/>
        </w:trPr>
        <w:tc>
          <w:tcPr>
            <w:tcW w:w="1440" w:type="dxa"/>
            <w:vAlign w:val="bottom"/>
          </w:tcPr>
          <w:p>
            <w:pPr>
              <w:spacing w:after="0"/>
              <w:rPr>
                <w:sz w:val="13"/>
                <w:szCs w:val="13"/>
                <w:color w:val="auto"/>
              </w:rPr>
            </w:pPr>
          </w:p>
        </w:tc>
        <w:tc>
          <w:tcPr>
            <w:tcW w:w="94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Plan Terms and Conditions of Awards (April 1, 2022) (Incorporated by reference to the Company’s Annual Report on Form 10-K</w:t>
              </w:r>
            </w:hyperlink>
          </w:p>
        </w:tc>
        <w:tc>
          <w:tcPr>
            <w:tcW w:w="340" w:type="dxa"/>
            <w:vAlign w:val="bottom"/>
            <w:gridSpan w:val="15"/>
          </w:tcPr>
          <w:p>
            <w:pPr>
              <w:spacing w:after="0" w:line="156"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filed</w:t>
              </w:r>
            </w:hyperlink>
          </w:p>
        </w:tc>
      </w:tr>
      <w:tr>
        <w:trPr>
          <w:trHeight w:val="169"/>
        </w:trPr>
        <w:tc>
          <w:tcPr>
            <w:tcW w:w="1440" w:type="dxa"/>
            <w:vAlign w:val="bottom"/>
          </w:tcPr>
          <w:p>
            <w:pPr>
              <w:spacing w:after="0"/>
              <w:rPr>
                <w:sz w:val="14"/>
                <w:szCs w:val="14"/>
                <w:color w:val="auto"/>
              </w:rPr>
            </w:pPr>
          </w:p>
        </w:tc>
        <w:tc>
          <w:tcPr>
            <w:tcW w:w="970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on December 22, 2022) (+)</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Employee and Director PSU and RSU Awards under the 2022 Employee and Director Equity Based Compensation Plan and</w:t>
              </w:r>
            </w:hyperlink>
          </w:p>
        </w:tc>
      </w:tr>
      <w:tr>
        <w:trPr>
          <w:trHeight w:val="156"/>
        </w:trPr>
        <w:tc>
          <w:tcPr>
            <w:tcW w:w="1440" w:type="dxa"/>
            <w:vAlign w:val="bottom"/>
          </w:tcPr>
          <w:p>
            <w:pPr>
              <w:spacing w:after="0"/>
              <w:rPr>
                <w:sz w:val="13"/>
                <w:szCs w:val="13"/>
                <w:color w:val="auto"/>
              </w:rPr>
            </w:pPr>
          </w:p>
        </w:tc>
        <w:tc>
          <w:tcPr>
            <w:tcW w:w="95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Conditions of Awards (November 26, 2022). (Incorporated by reference to the Company’s Quarterly Report on Form 10-Q filed on</w:t>
              </w:r>
            </w:hyperlink>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May 12, 2023.) (+)</w:t>
              </w:r>
            </w:hyperlink>
          </w:p>
        </w:tc>
        <w:tc>
          <w:tcPr>
            <w:tcW w:w="808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November 2024 Employee and Director PSU and RSU Awards under the 2022 Employee and Director Equity-Based</w:t>
              </w:r>
            </w:hyperlink>
          </w:p>
        </w:tc>
      </w:tr>
      <w:tr>
        <w:trPr>
          <w:trHeight w:val="20"/>
        </w:trPr>
        <w:tc>
          <w:tcPr>
            <w:tcW w:w="144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56"/>
        </w:trPr>
        <w:tc>
          <w:tcPr>
            <w:tcW w:w="1440" w:type="dxa"/>
            <w:vAlign w:val="bottom"/>
          </w:tcPr>
          <w:p>
            <w:pPr>
              <w:spacing w:after="0"/>
              <w:rPr>
                <w:sz w:val="13"/>
                <w:szCs w:val="13"/>
                <w:color w:val="auto"/>
              </w:rPr>
            </w:pPr>
          </w:p>
        </w:tc>
        <w:tc>
          <w:tcPr>
            <w:tcW w:w="9800" w:type="dxa"/>
            <w:vAlign w:val="bottom"/>
            <w:gridSpan w:val="46"/>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Compensation Plan and Conditions of Awards. (Incorporated by reference to the Company's Annual Report on Form 10-K filed on</w:t>
              </w:r>
            </w:hyperlink>
          </w:p>
        </w:tc>
      </w:tr>
      <w:tr>
        <w:trPr>
          <w:trHeight w:val="169"/>
        </w:trPr>
        <w:tc>
          <w:tcPr>
            <w:tcW w:w="144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December 11, 2024) (+)</w:t>
              </w:r>
            </w:hyperlink>
          </w:p>
        </w:tc>
        <w:tc>
          <w:tcPr>
            <w:tcW w:w="76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Letter Agreement, dated as of January 25, 2021, by and between BD and Devdatt Kurdikar. (Incorporated by reference to the</w:t>
              </w:r>
            </w:hyperlink>
          </w:p>
        </w:tc>
      </w:tr>
      <w:tr>
        <w:trPr>
          <w:trHeight w:val="156"/>
        </w:trPr>
        <w:tc>
          <w:tcPr>
            <w:tcW w:w="144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Company’s Information Statement on Form 10 filed December 21, 2021.) (+)</w:t>
              </w:r>
            </w:hyperlink>
          </w:p>
        </w:tc>
        <w:tc>
          <w:tcPr>
            <w:tcW w:w="34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Letter Agreement, dated as of April 9, 2021, by and between BD and Jacob Elguicze. (Incorporated by reference to the Company’s</w:t>
              </w:r>
            </w:hyperlink>
          </w:p>
        </w:tc>
      </w:tr>
      <w:tr>
        <w:trPr>
          <w:trHeight w:val="155"/>
        </w:trPr>
        <w:tc>
          <w:tcPr>
            <w:tcW w:w="144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Information Statement on Form 10 filed December 21, 2021.) (+)</w:t>
              </w:r>
            </w:hyperlink>
          </w:p>
        </w:tc>
        <w:tc>
          <w:tcPr>
            <w:tcW w:w="470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Letter Agreement, dated as of August 13, 2021, by and between BD and Shaun Curtis. (Incorporated by reference to the Company’s</w:t>
              </w:r>
            </w:hyperlink>
          </w:p>
        </w:tc>
      </w:tr>
      <w:tr>
        <w:trPr>
          <w:trHeight w:val="155"/>
        </w:trPr>
        <w:tc>
          <w:tcPr>
            <w:tcW w:w="14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Information Statement on Form 10 filed December 21, 2021.) (+)</w:t>
              </w:r>
            </w:hyperlink>
          </w:p>
        </w:tc>
        <w:tc>
          <w:tcPr>
            <w:tcW w:w="48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Letter Agreement, dated as of May 26, 2021, by and between BD and Jeff Mann. (Incorporated by reference to the Company’s</w:t>
              </w:r>
            </w:hyperlink>
          </w:p>
        </w:tc>
      </w:tr>
      <w:tr>
        <w:trPr>
          <w:trHeight w:val="156"/>
        </w:trPr>
        <w:tc>
          <w:tcPr>
            <w:tcW w:w="1440" w:type="dxa"/>
            <w:vAlign w:val="bottom"/>
          </w:tcPr>
          <w:p>
            <w:pPr>
              <w:spacing w:after="0"/>
              <w:rPr>
                <w:sz w:val="13"/>
                <w:szCs w:val="13"/>
                <w:color w:val="auto"/>
              </w:rPr>
            </w:pPr>
          </w:p>
        </w:tc>
        <w:tc>
          <w:tcPr>
            <w:tcW w:w="9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Information Statement on Form 10 filed December 21, 2021.) (+)</w:t>
              </w:r>
            </w:hyperlink>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Borders>
              <w:right w:val="single" w:sz="8" w:color="0000FF"/>
            </w:tcBorders>
          </w:tcPr>
          <w:p>
            <w:pPr>
              <w:spacing w:after="0" w:line="20" w:lineRule="exact"/>
              <w:rPr>
                <w:sz w:val="1"/>
                <w:szCs w:val="1"/>
                <w:color w:val="auto"/>
              </w:rPr>
            </w:pPr>
          </w:p>
        </w:tc>
        <w:tc>
          <w:tcPr>
            <w:tcW w:w="4160" w:type="dxa"/>
            <w:vAlign w:val="bottom"/>
            <w:gridSpan w:val="9"/>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Change in Control Employment Agreement, dated as of February 10, 2021, by and between BD and Devdatt Kurdikar. (Incorporated</w:t>
              </w:r>
            </w:hyperlink>
          </w:p>
        </w:tc>
      </w:tr>
      <w:tr>
        <w:trPr>
          <w:trHeight w:val="155"/>
        </w:trPr>
        <w:tc>
          <w:tcPr>
            <w:tcW w:w="1440" w:type="dxa"/>
            <w:vAlign w:val="bottom"/>
          </w:tcPr>
          <w:p>
            <w:pPr>
              <w:spacing w:after="0"/>
              <w:rPr>
                <w:sz w:val="13"/>
                <w:szCs w:val="13"/>
                <w:color w:val="auto"/>
              </w:rPr>
            </w:pPr>
          </w:p>
        </w:tc>
        <w:tc>
          <w:tcPr>
            <w:tcW w:w="95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by reference to the Company’s Information Statement on Form 10 filed December 21, 2021.) (+)</w:t>
              </w:r>
            </w:hyperlink>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9"/>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Cannula Supply Agreement, dated as of March 31, 2022, by and between BD and the Company. (Incorporated by reference to the</w:t>
              </w:r>
            </w:hyperlink>
          </w:p>
        </w:tc>
      </w:tr>
      <w:tr>
        <w:trPr>
          <w:trHeight w:val="155"/>
        </w:trPr>
        <w:tc>
          <w:tcPr>
            <w:tcW w:w="144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Company’s Current Report on Form 8-K filed on April 6, 2022.) *, **</w:t>
              </w:r>
            </w:hyperlink>
          </w:p>
        </w:tc>
        <w:tc>
          <w:tcPr>
            <w:tcW w:w="6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9"/>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Contract Manufacturing Agreement, dated as of March 31, 2022, by and between BD and the Company. (Incorporated by</w:t>
              </w:r>
            </w:hyperlink>
          </w:p>
        </w:tc>
      </w:tr>
      <w:tr>
        <w:trPr>
          <w:trHeight w:val="156"/>
        </w:trPr>
        <w:tc>
          <w:tcPr>
            <w:tcW w:w="144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reference to the Company’s Current Report on Form 8-K filed on April 6, 2022.) **</w:t>
              </w:r>
            </w:hyperlink>
          </w:p>
        </w:tc>
        <w:tc>
          <w:tcPr>
            <w:tcW w:w="3340" w:type="dxa"/>
            <w:vAlign w:val="bottom"/>
            <w:tcBorders>
              <w:top w:val="single" w:sz="8" w:color="0000FF"/>
            </w:tcBorders>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Lease Agreement, dated as of March 31, 2022, by and between BD and the Company. (Incorporated by reference to the Company’s</w:t>
              </w:r>
            </w:hyperlink>
          </w:p>
        </w:tc>
      </w:tr>
      <w:tr>
        <w:trPr>
          <w:trHeight w:val="155"/>
        </w:trPr>
        <w:tc>
          <w:tcPr>
            <w:tcW w:w="1440" w:type="dxa"/>
            <w:vAlign w:val="bottom"/>
          </w:tcPr>
          <w:p>
            <w:pPr>
              <w:spacing w:after="0"/>
              <w:rPr>
                <w:sz w:val="13"/>
                <w:szCs w:val="13"/>
                <w:color w:val="auto"/>
              </w:rPr>
            </w:pPr>
          </w:p>
        </w:tc>
        <w:tc>
          <w:tcPr>
            <w:tcW w:w="94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Current Report on Form 8-K filed on April 6, 2022.) *, **</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9"/>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Intellectual Property Matters Agreement, dated as of March 31, 2022, by and between BD and the Company. (Incorporated by</w:t>
              </w:r>
            </w:hyperlink>
          </w:p>
        </w:tc>
      </w:tr>
      <w:tr>
        <w:trPr>
          <w:trHeight w:val="155"/>
        </w:trPr>
        <w:tc>
          <w:tcPr>
            <w:tcW w:w="144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reference to the Company’s Current Report on Form 8-K filed on April 6, 2022.) *, **</w:t>
              </w:r>
            </w:hyperlink>
          </w:p>
        </w:tc>
        <w:tc>
          <w:tcPr>
            <w:tcW w:w="2840" w:type="dxa"/>
            <w:vAlign w:val="bottom"/>
            <w:tcBorders>
              <w:top w:val="single" w:sz="8" w:color="0000FF"/>
            </w:tcBorders>
            <w:gridSpan w:val="4"/>
          </w:tcPr>
          <w:p>
            <w:pPr>
              <w:spacing w:after="0"/>
              <w:rPr>
                <w:sz w:val="13"/>
                <w:szCs w:val="13"/>
                <w:color w:val="auto"/>
              </w:rPr>
            </w:pPr>
          </w:p>
        </w:tc>
        <w:tc>
          <w:tcPr>
            <w:tcW w:w="44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Logistics Services Agreement, dated as of January 1, 2022, by and between BD and the Company. (Incorporated by reference to the</w:t>
              </w:r>
            </w:hyperlink>
          </w:p>
        </w:tc>
      </w:tr>
      <w:tr>
        <w:trPr>
          <w:trHeight w:val="156"/>
        </w:trPr>
        <w:tc>
          <w:tcPr>
            <w:tcW w:w="1440" w:type="dxa"/>
            <w:vAlign w:val="bottom"/>
          </w:tcPr>
          <w:p>
            <w:pPr>
              <w:spacing w:after="0"/>
              <w:rPr>
                <w:sz w:val="13"/>
                <w:szCs w:val="13"/>
                <w:color w:val="auto"/>
              </w:rPr>
            </w:pPr>
          </w:p>
        </w:tc>
        <w:tc>
          <w:tcPr>
            <w:tcW w:w="95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Company’s Current Report on Form 8-K filed on April 6, 2022.) **</w:t>
              </w:r>
            </w:hyperlink>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840" w:type="dxa"/>
            <w:vAlign w:val="bottom"/>
            <w:gridSpan w:val="13"/>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4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to Logistics Services Agreement, dated as of November 20, 2023, by and between BD and the Company. (Incorporated by</w:t>
              </w:r>
            </w:hyperlink>
          </w:p>
        </w:tc>
      </w:tr>
      <w:tr>
        <w:trPr>
          <w:trHeight w:val="155"/>
        </w:trPr>
        <w:tc>
          <w:tcPr>
            <w:tcW w:w="1440" w:type="dxa"/>
            <w:vAlign w:val="bottom"/>
          </w:tcPr>
          <w:p>
            <w:pPr>
              <w:spacing w:after="0"/>
              <w:rPr>
                <w:sz w:val="13"/>
                <w:szCs w:val="13"/>
                <w:color w:val="auto"/>
              </w:rPr>
            </w:pPr>
          </w:p>
        </w:tc>
        <w:tc>
          <w:tcPr>
            <w:tcW w:w="972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reference to the Company’s Annual Report on Form 10-K filed on November 29, 2023.)</w:t>
              </w:r>
            </w:hyperlink>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6200" w:type="dxa"/>
            <w:vAlign w:val="bottom"/>
            <w:gridSpan w:val="18"/>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4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No. 2 to Logistics Services Agreement, dated as of March 28, 2024, by and between BD and Embecta (Incorporated by</w:t>
              </w:r>
            </w:hyperlink>
          </w:p>
        </w:tc>
      </w:tr>
      <w:tr>
        <w:trPr>
          <w:trHeight w:val="155"/>
        </w:trPr>
        <w:tc>
          <w:tcPr>
            <w:tcW w:w="144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reference to the Company’s Current Report on Form 8-K filed on March 28, 2024.) **</w:t>
              </w:r>
            </w:hyperlink>
          </w:p>
        </w:tc>
        <w:tc>
          <w:tcPr>
            <w:tcW w:w="3360" w:type="dxa"/>
            <w:vAlign w:val="bottom"/>
            <w:tcBorders>
              <w:top w:val="single" w:sz="8" w:color="0000FF"/>
            </w:tcBorders>
            <w:gridSpan w:val="18"/>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Distribution Agreement, dated as of March 31, 2022, by and between BD and the Company. (Incorporated by reference to the</w:t>
              </w:r>
            </w:hyperlink>
          </w:p>
        </w:tc>
      </w:tr>
      <w:tr>
        <w:trPr>
          <w:trHeight w:val="156"/>
        </w:trPr>
        <w:tc>
          <w:tcPr>
            <w:tcW w:w="1440" w:type="dxa"/>
            <w:vAlign w:val="bottom"/>
          </w:tcPr>
          <w:p>
            <w:pPr>
              <w:spacing w:after="0"/>
              <w:rPr>
                <w:sz w:val="13"/>
                <w:szCs w:val="13"/>
                <w:color w:val="auto"/>
              </w:rPr>
            </w:pPr>
          </w:p>
        </w:tc>
        <w:tc>
          <w:tcPr>
            <w:tcW w:w="96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Company’s Current Report on Form 8-K filed on April 6, 2022.) **</w:t>
              </w:r>
            </w:hyperlink>
          </w:p>
        </w:tc>
        <w:tc>
          <w:tcPr>
            <w:tcW w:w="140" w:type="dxa"/>
            <w:vAlign w:val="bottom"/>
            <w:gridSpan w:val="6"/>
          </w:tcPr>
          <w:p>
            <w:pPr>
              <w:spacing w:after="0"/>
              <w:rPr>
                <w:sz w:val="13"/>
                <w:szCs w:val="13"/>
                <w:color w:val="auto"/>
              </w:rPr>
            </w:pPr>
          </w:p>
        </w:tc>
      </w:tr>
      <w:tr>
        <w:trPr>
          <w:trHeight w:val="929"/>
        </w:trPr>
        <w:tc>
          <w:tcPr>
            <w:tcW w:w="1440" w:type="dxa"/>
            <w:vAlign w:val="bottom"/>
          </w:tcPr>
          <w:p>
            <w:pPr>
              <w:spacing w:after="0"/>
              <w:rPr>
                <w:sz w:val="24"/>
                <w:szCs w:val="24"/>
                <w:color w:val="auto"/>
              </w:rPr>
            </w:pPr>
          </w:p>
        </w:tc>
        <w:tc>
          <w:tcPr>
            <w:tcW w:w="4680" w:type="dxa"/>
            <w:vAlign w:val="bottom"/>
            <w:tcBorders>
              <w:top w:val="single" w:sz="8" w:color="0000FF"/>
            </w:tcBorders>
            <w:gridSpan w:val="10"/>
          </w:tcPr>
          <w:p>
            <w:pPr>
              <w:jc w:val="right"/>
              <w:ind w:right="420"/>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1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5" w:name="page86"/>
    <w:bookmarkEnd w:id="85"/>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3"/>
              </w:rPr>
              <w:t>10.28</w:t>
            </w:r>
          </w:p>
        </w:tc>
        <w:tc>
          <w:tcPr>
            <w:tcW w:w="93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Credit Agreement, dated as of March 31, 2022, by and among the Company, the lenders and other parties from time to time party</w:t>
              </w:r>
            </w:hyperlink>
          </w:p>
        </w:tc>
        <w:tc>
          <w:tcPr>
            <w:tcW w:w="480" w:type="dxa"/>
            <w:vAlign w:val="bottom"/>
          </w:tcPr>
          <w:p>
            <w:pPr>
              <w:spacing w:after="0"/>
              <w:rPr>
                <w:sz w:val="17"/>
                <w:szCs w:val="17"/>
                <w:color w:val="auto"/>
              </w:rPr>
            </w:pPr>
          </w:p>
        </w:tc>
      </w:tr>
      <w:tr>
        <w:trPr>
          <w:trHeight w:val="155"/>
        </w:trPr>
        <w:tc>
          <w:tcPr>
            <w:tcW w:w="1380" w:type="dxa"/>
            <w:vAlign w:val="bottom"/>
          </w:tcPr>
          <w:p>
            <w:pPr>
              <w:spacing w:after="0"/>
              <w:rPr>
                <w:sz w:val="13"/>
                <w:szCs w:val="13"/>
                <w:color w:val="auto"/>
              </w:rPr>
            </w:pPr>
          </w:p>
        </w:tc>
        <w:tc>
          <w:tcPr>
            <w:tcW w:w="9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thereto and Morgan Stanley Senior Funding, Inc., as administrative agent, collateral agent and an L/C issuer. (Incorporated by reference</w:t>
              </w:r>
            </w:hyperlink>
          </w:p>
        </w:tc>
      </w:tr>
    </w:tbl>
    <w:p>
      <w:pPr>
        <w:ind w:left="142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to the Company’s Current Report on Form 8-K filed on April 6, 2022.) **</w:t>
        </w:r>
      </w:hyperlink>
    </w:p>
    <w:p>
      <w:pPr>
        <w:spacing w:after="0" w:line="9" w:lineRule="exact"/>
        <w:rPr>
          <w:sz w:val="20"/>
          <w:szCs w:val="20"/>
          <w:color w:val="auto"/>
        </w:rPr>
      </w:pPr>
    </w:p>
    <w:p>
      <w:pPr>
        <w:ind w:left="1420" w:right="180" w:hanging="1380"/>
        <w:spacing w:after="0" w:line="234" w:lineRule="auto"/>
        <w:tabs>
          <w:tab w:leader="none" w:pos="1420" w:val="left"/>
        </w:tabs>
        <w:numPr>
          <w:ilvl w:val="0"/>
          <w:numId w:val="31"/>
        </w:numPr>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Embecta Corp. Insider Trading Policy. (Incorporated by reference to the Company's Annual Report on Form 10-K filed on December</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11, 2024.)</w:t>
        </w:r>
      </w:hyperlink>
    </w:p>
    <w:tbl>
      <w:tblPr>
        <w:tblLayout w:type="fixed"/>
        <w:tblInd w:w="40" w:type="dxa"/>
        <w:tblCellMar>
          <w:top w:w="0" w:type="dxa"/>
          <w:left w:w="0" w:type="dxa"/>
          <w:bottom w:w="0" w:type="dxa"/>
          <w:right w:w="0" w:type="dxa"/>
        </w:tblCellMar>
      </w:tblPr>
      <w:tr>
        <w:trPr>
          <w:trHeight w:val="204"/>
        </w:trPr>
        <w:tc>
          <w:tcPr>
            <w:tcW w:w="1380" w:type="dxa"/>
            <w:vAlign w:val="bottom"/>
          </w:tcPr>
          <w:p>
            <w:pPr>
              <w:jc w:val="right"/>
              <w:ind w:right="970"/>
              <w:spacing w:after="0" w:line="204" w:lineRule="exact"/>
              <w:rPr>
                <w:sz w:val="20"/>
                <w:szCs w:val="20"/>
                <w:color w:val="auto"/>
              </w:rPr>
            </w:pPr>
            <w:r>
              <w:rPr>
                <w:rFonts w:ascii="Times New Roman" w:cs="Times New Roman" w:eastAsia="Times New Roman" w:hAnsi="Times New Roman"/>
                <w:sz w:val="18"/>
                <w:szCs w:val="18"/>
                <w:color w:val="auto"/>
                <w:w w:val="95"/>
              </w:rPr>
              <w:t>21.1</w:t>
            </w:r>
          </w:p>
        </w:tc>
        <w:tc>
          <w:tcPr>
            <w:tcW w:w="978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rPr>
              <w:t>List of Subsidiaries of Embecta Corp. (Filed herewith.)</w:t>
            </w:r>
          </w:p>
        </w:tc>
      </w:tr>
      <w:tr>
        <w:trPr>
          <w:trHeight w:val="209"/>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23.1</w:t>
            </w:r>
          </w:p>
        </w:tc>
        <w:tc>
          <w:tcPr>
            <w:tcW w:w="3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(Filed herewith.)</w:t>
            </w:r>
          </w:p>
        </w:tc>
        <w:tc>
          <w:tcPr>
            <w:tcW w:w="400" w:type="dxa"/>
            <w:vAlign w:val="bottom"/>
            <w:tcBorders>
              <w:top w:val="single" w:sz="8" w:color="0000FF"/>
            </w:tcBorders>
          </w:tcPr>
          <w:p>
            <w:pPr>
              <w:spacing w:after="0"/>
              <w:rPr>
                <w:sz w:val="18"/>
                <w:szCs w:val="18"/>
                <w:color w:val="auto"/>
              </w:rPr>
            </w:pPr>
          </w:p>
        </w:tc>
        <w:tc>
          <w:tcPr>
            <w:tcW w:w="5820" w:type="dxa"/>
            <w:vAlign w:val="bottom"/>
            <w:gridSpan w:val="8"/>
          </w:tcPr>
          <w:p>
            <w:pPr>
              <w:spacing w:after="0"/>
              <w:rPr>
                <w:sz w:val="18"/>
                <w:szCs w:val="18"/>
                <w:color w:val="auto"/>
              </w:rPr>
            </w:pPr>
          </w:p>
        </w:tc>
      </w:tr>
      <w:tr>
        <w:trPr>
          <w:trHeight w:val="223"/>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31.1</w:t>
            </w:r>
          </w:p>
        </w:tc>
        <w:tc>
          <w:tcPr>
            <w:tcW w:w="6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 (Filed herewith.)</w:t>
            </w:r>
          </w:p>
        </w:tc>
        <w:tc>
          <w:tcPr>
            <w:tcW w:w="3180" w:type="dxa"/>
            <w:vAlign w:val="bottom"/>
            <w:gridSpan w:val="5"/>
          </w:tcPr>
          <w:p>
            <w:pPr>
              <w:spacing w:after="0"/>
              <w:rPr>
                <w:sz w:val="19"/>
                <w:szCs w:val="19"/>
                <w:color w:val="auto"/>
              </w:rPr>
            </w:pPr>
          </w:p>
        </w:tc>
      </w:tr>
      <w:tr>
        <w:trPr>
          <w:trHeight w:val="23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31.2</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 (Filed herewith.)</w:t>
            </w:r>
          </w:p>
        </w:tc>
      </w:tr>
      <w:tr>
        <w:trPr>
          <w:trHeight w:val="20"/>
        </w:trPr>
        <w:tc>
          <w:tcPr>
            <w:tcW w:w="1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32.1</w:t>
            </w:r>
          </w:p>
        </w:tc>
        <w:tc>
          <w:tcPr>
            <w:tcW w:w="7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(Furnished herewith.)</w:t>
            </w:r>
          </w:p>
        </w:tc>
        <w:tc>
          <w:tcPr>
            <w:tcW w:w="2660" w:type="dxa"/>
            <w:vAlign w:val="bottom"/>
            <w:gridSpan w:val="3"/>
          </w:tcPr>
          <w:p>
            <w:pPr>
              <w:spacing w:after="0"/>
              <w:rPr>
                <w:sz w:val="20"/>
                <w:szCs w:val="20"/>
                <w:color w:val="auto"/>
              </w:rPr>
            </w:pPr>
          </w:p>
        </w:tc>
      </w:tr>
      <w:tr>
        <w:trPr>
          <w:trHeight w:val="23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32.2</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(Furnished herewith.)</w:t>
            </w:r>
          </w:p>
        </w:tc>
      </w:tr>
      <w:tr>
        <w:trPr>
          <w:trHeight w:val="20"/>
        </w:trPr>
        <w:tc>
          <w:tcPr>
            <w:tcW w:w="1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97.1</w:t>
            </w:r>
          </w:p>
        </w:tc>
        <w:tc>
          <w:tcPr>
            <w:tcW w:w="9780" w:type="dxa"/>
            <w:vAlign w:val="bottom"/>
            <w:gridSpan w:val="1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Embecta Corp. Dodd-Frank Clawback Policy (Incorporated by reference to the Company’s Annual Report on Form 10-K filed on</w:t>
              </w:r>
            </w:hyperlink>
          </w:p>
        </w:tc>
      </w:tr>
      <w:tr>
        <w:trPr>
          <w:trHeight w:val="183"/>
        </w:trPr>
        <w:tc>
          <w:tcPr>
            <w:tcW w:w="1380" w:type="dxa"/>
            <w:vAlign w:val="bottom"/>
          </w:tcPr>
          <w:p>
            <w:pPr>
              <w:spacing w:after="0"/>
              <w:rPr>
                <w:sz w:val="15"/>
                <w:szCs w:val="15"/>
                <w:color w:val="auto"/>
              </w:rPr>
            </w:pPr>
          </w:p>
        </w:tc>
        <w:tc>
          <w:tcPr>
            <w:tcW w:w="15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November 29, 2023.)</w:t>
              </w:r>
            </w:hyperlink>
          </w:p>
        </w:tc>
        <w:tc>
          <w:tcPr>
            <w:tcW w:w="7800" w:type="dxa"/>
            <w:vAlign w:val="bottom"/>
            <w:tcBorders>
              <w:top w:val="single" w:sz="8" w:color="0000FF"/>
            </w:tcBorders>
            <w:gridSpan w:val="8"/>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97.2</w:t>
            </w:r>
          </w:p>
        </w:tc>
        <w:tc>
          <w:tcPr>
            <w:tcW w:w="9780" w:type="dxa"/>
            <w:vAlign w:val="bottom"/>
            <w:gridSpan w:val="11"/>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Embecta Corp. Supplemental Policy Regarding the Recovery of Compensation, Effective December 1, 2023 (Incorporated by reference</w:t>
              </w:r>
            </w:hyperlink>
          </w:p>
        </w:tc>
      </w:tr>
      <w:tr>
        <w:trPr>
          <w:trHeight w:val="155"/>
        </w:trPr>
        <w:tc>
          <w:tcPr>
            <w:tcW w:w="138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to the Company’s Annual Report on Form 10-K filed on November 29, 2023.)</w:t>
              </w:r>
            </w:hyperlink>
          </w:p>
        </w:tc>
        <w:tc>
          <w:tcPr>
            <w:tcW w:w="41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bl>
    <w:p>
      <w:pPr>
        <w:spacing w:after="0" w:line="49" w:lineRule="exact"/>
        <w:rPr>
          <w:sz w:val="20"/>
          <w:szCs w:val="20"/>
          <w:color w:val="auto"/>
        </w:rPr>
      </w:pPr>
    </w:p>
    <w:p>
      <w:pPr>
        <w:ind w:left="1420" w:right="420" w:hanging="1381"/>
        <w:spacing w:after="0" w:line="250"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this Annual Report on Form 10-K, formatted in iXBRL (Inline eXtensible Business Reporting Language): (i) the Consolidated Statements of Income, (ii) the Consolidated Statements of Comprehensive Income, (iii) the Consolidated Balance Sheets, (iv) the Consolidated Statements of Equity, (v) the Consolidated Statements of Cash Flows, and (vi) Notes to Consolidated Financial Statements. (Filed herewith.)</w:t>
      </w:r>
    </w:p>
    <w:p>
      <w:pPr>
        <w:spacing w:after="0" w:line="15" w:lineRule="exact"/>
        <w:rPr>
          <w:sz w:val="20"/>
          <w:szCs w:val="20"/>
          <w:color w:val="auto"/>
        </w:rPr>
      </w:pPr>
    </w:p>
    <w:p>
      <w:pPr>
        <w:ind w:left="1420" w:hanging="1381"/>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00" w:hanging="474"/>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information contained in this document has been omitted because it is both (i) not material and (ii) is the type that the Company treats as</w:t>
      </w:r>
    </w:p>
    <w:p>
      <w:pPr>
        <w:ind w:left="500" w:hanging="474"/>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or confidential.</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Schedules and exhibits omitted pursuant to Item 601(b)(2) of Regulation S-K. The Company agrees to furnish a supplemental copy of any omitted</w:t>
      </w:r>
    </w:p>
    <w:p>
      <w:pPr>
        <w:ind w:left="500" w:hanging="474"/>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to the Securities and Exchange Commission upon request.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is not providing summary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9" w:right="37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0" w:lineRule="exact"/>
        <w:rPr>
          <w:sz w:val="20"/>
          <w:szCs w:val="20"/>
          <w:color w:val="auto"/>
        </w:rPr>
      </w:pPr>
    </w:p>
    <w:p>
      <w:pPr>
        <w:spacing w:after="0" w:line="349"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0" w:lineRule="exact"/>
        <w:rPr>
          <w:sz w:val="20"/>
          <w:szCs w:val="20"/>
          <w:color w:val="auto"/>
        </w:rPr>
      </w:pPr>
    </w:p>
    <w:p>
      <w:pPr>
        <w:spacing w:after="0" w:line="349"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ROTH</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Roth</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6"/>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7" w:name="page88"/>
    <w:bookmarkEnd w:id="87"/>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250" w:lineRule="exact"/>
        <w:rPr>
          <w:sz w:val="20"/>
          <w:szCs w:val="20"/>
          <w:color w:val="auto"/>
        </w:rPr>
      </w:pPr>
    </w:p>
    <w:p>
      <w:pPr>
        <w:ind w:left="1960"/>
        <w:spacing w:after="0"/>
        <w:tabs>
          <w:tab w:leader="none" w:pos="5980" w:val="left"/>
          <w:tab w:leader="none" w:pos="96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255" w:right="339" w:bottom="1440" w:gutter="0" w:footer="0" w:header="0"/>
        </w:sectPr>
      </w:pPr>
    </w:p>
    <w:p>
      <w:pPr>
        <w:spacing w:after="0" w:line="331" w:lineRule="exact"/>
        <w:rPr>
          <w:sz w:val="20"/>
          <w:szCs w:val="20"/>
          <w:color w:val="auto"/>
        </w:rPr>
      </w:pPr>
    </w:p>
    <w:p>
      <w:pPr>
        <w:ind w:left="300" w:right="840"/>
        <w:spacing w:after="0" w:line="379" w:lineRule="auto"/>
        <w:rPr>
          <w:sz w:val="20"/>
          <w:szCs w:val="20"/>
          <w:color w:val="auto"/>
        </w:rPr>
      </w:pPr>
      <w:r>
        <w:rPr>
          <w:rFonts w:ascii="Times New Roman" w:cs="Times New Roman" w:eastAsia="Times New Roman" w:hAnsi="Times New Roman"/>
          <w:sz w:val="17"/>
          <w:szCs w:val="17"/>
          <w:color w:val="auto"/>
        </w:rPr>
        <w:t>/s/ LTG (RET.) DAVID F. MELCHER LTG (Ret.) David F. Melcher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-234315</wp:posOffset>
            </wp:positionV>
            <wp:extent cx="23660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320" w:lineRule="exact"/>
        <w:rPr>
          <w:sz w:val="20"/>
          <w:szCs w:val="20"/>
          <w:color w:val="auto"/>
        </w:rPr>
      </w:pPr>
    </w:p>
    <w:p>
      <w:pPr>
        <w:ind w:left="300" w:right="1020"/>
        <w:spacing w:after="0" w:line="379" w:lineRule="auto"/>
        <w:rPr>
          <w:sz w:val="20"/>
          <w:szCs w:val="20"/>
          <w:color w:val="auto"/>
        </w:rPr>
      </w:pPr>
      <w:r>
        <w:rPr>
          <w:rFonts w:ascii="Times New Roman" w:cs="Times New Roman" w:eastAsia="Times New Roman" w:hAnsi="Times New Roman"/>
          <w:sz w:val="17"/>
          <w:szCs w:val="17"/>
          <w:color w:val="auto"/>
        </w:rPr>
        <w:t>/s/ ROBERT (BOB) J. HOMBACH Robert (Bob) J. Hombach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-234315</wp:posOffset>
            </wp:positionV>
            <wp:extent cx="23660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MILTON M. MORRIS,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Milton M. Morris, Ph.D.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CLAIRE POMEROY,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Claire Pomeroy, M.D.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KAREN N. PRANGE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Karen N. Prange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CHRISTOPHER R. REIDY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Christopher R. Reidy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Jacob Elguicze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270"/>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and Chairman of the Board</w:t>
            </w:r>
          </w:p>
        </w:tc>
        <w:tc>
          <w:tcPr>
            <w:tcW w:w="2000" w:type="dxa"/>
            <w:vAlign w:val="bottom"/>
          </w:tcPr>
          <w:p>
            <w:pPr>
              <w:spacing w:after="0"/>
              <w:rPr>
                <w:sz w:val="23"/>
                <w:szCs w:val="23"/>
                <w:color w:val="auto"/>
              </w:rPr>
            </w:pPr>
          </w:p>
        </w:tc>
      </w:tr>
      <w:tr>
        <w:trPr>
          <w:trHeight w:val="513"/>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797"/>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796"/>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797"/>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797"/>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796"/>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796"/>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270"/>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00" w:type="dxa"/>
            <w:vAlign w:val="bottom"/>
          </w:tcPr>
          <w:p>
            <w:pPr>
              <w:spacing w:after="0"/>
              <w:rPr>
                <w:sz w:val="23"/>
                <w:szCs w:val="23"/>
                <w:color w:val="auto"/>
              </w:rPr>
            </w:pPr>
          </w:p>
        </w:tc>
      </w:tr>
      <w:tr>
        <w:trPr>
          <w:trHeight w:val="513"/>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November 25, 2025</w:t>
            </w:r>
          </w:p>
        </w:tc>
      </w:tr>
      <w:tr>
        <w:trPr>
          <w:trHeight w:val="270"/>
        </w:trPr>
        <w:tc>
          <w:tcPr>
            <w:tcW w:w="3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3900" w:space="720"/>
            <w:col w:w="6620"/>
          </w:cols>
          <w:pgMar w:left="320" w:top="1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240"/>
          </w:cols>
          <w:pgMar w:left="320" w:top="1255" w:right="33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EMBECTA CORP.</w:t>
            </w:r>
          </w:p>
        </w:tc>
      </w:tr>
      <w:tr>
        <w:trPr>
          <w:trHeight w:val="365"/>
        </w:trPr>
        <w:tc>
          <w:tcPr>
            <w:tcW w:w="1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37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3460" w:type="dxa"/>
            <w:vAlign w:val="bottom"/>
          </w:tcPr>
          <w:p>
            <w:pPr>
              <w:spacing w:after="0"/>
              <w:rPr>
                <w:sz w:val="24"/>
                <w:szCs w:val="24"/>
                <w:color w:val="auto"/>
              </w:rPr>
            </w:pPr>
          </w:p>
        </w:tc>
      </w:tr>
      <w:tr>
        <w:trPr>
          <w:trHeight w:val="40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Arabia Limited Co.</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48"/>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Argentina S.R.L.</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Argentina</w:t>
            </w:r>
          </w:p>
        </w:tc>
      </w:tr>
      <w:tr>
        <w:trPr>
          <w:trHeight w:val="27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Australia Pty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Australia (Victoria)</w:t>
            </w:r>
          </w:p>
        </w:tc>
      </w:tr>
      <w:tr>
        <w:trPr>
          <w:trHeight w:val="27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Austria GmbH</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Belgium BV</w:t>
            </w:r>
          </w:p>
        </w:tc>
        <w:tc>
          <w:tcPr>
            <w:tcW w:w="2540" w:type="dxa"/>
            <w:vAlign w:val="bottom"/>
          </w:tcPr>
          <w:p>
            <w:pPr>
              <w:spacing w:after="0"/>
              <w:rPr>
                <w:sz w:val="23"/>
                <w:szCs w:val="23"/>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Brasil Ltda.</w:t>
            </w:r>
          </w:p>
        </w:tc>
        <w:tc>
          <w:tcPr>
            <w:tcW w:w="2540" w:type="dxa"/>
            <w:vAlign w:val="bottom"/>
          </w:tcPr>
          <w:p>
            <w:pPr>
              <w:spacing w:after="0"/>
              <w:rPr>
                <w:sz w:val="23"/>
                <w:szCs w:val="23"/>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Brazil</w:t>
            </w:r>
          </w:p>
        </w:tc>
      </w:tr>
      <w:tr>
        <w:trPr>
          <w:trHeight w:val="252"/>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Canada Co.</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Canada</w:t>
            </w:r>
          </w:p>
        </w:tc>
      </w:tr>
      <w:tr>
        <w:trPr>
          <w:trHeight w:val="248"/>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Colombia S.A.S.</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Colombia</w:t>
            </w:r>
          </w:p>
        </w:tc>
      </w:tr>
      <w:tr>
        <w:trPr>
          <w:trHeight w:val="27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embecta Denmark ApS</w:t>
            </w:r>
          </w:p>
        </w:tc>
        <w:tc>
          <w:tcPr>
            <w:tcW w:w="2540" w:type="dxa"/>
            <w:vAlign w:val="bottom"/>
          </w:tcPr>
          <w:p>
            <w:pPr>
              <w:spacing w:after="0"/>
              <w:rPr>
                <w:sz w:val="23"/>
                <w:szCs w:val="23"/>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Finland Oy</w:t>
            </w:r>
          </w:p>
        </w:tc>
        <w:tc>
          <w:tcPr>
            <w:tcW w:w="2540" w:type="dxa"/>
            <w:vAlign w:val="bottom"/>
          </w:tcPr>
          <w:p>
            <w:pPr>
              <w:spacing w:after="0"/>
              <w:rPr>
                <w:sz w:val="23"/>
                <w:szCs w:val="23"/>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France</w:t>
            </w:r>
          </w:p>
        </w:tc>
        <w:tc>
          <w:tcPr>
            <w:tcW w:w="2540" w:type="dxa"/>
            <w:vAlign w:val="bottom"/>
          </w:tcPr>
          <w:p>
            <w:pPr>
              <w:spacing w:after="0"/>
              <w:rPr>
                <w:sz w:val="23"/>
                <w:szCs w:val="23"/>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France (Paris)</w:t>
            </w:r>
          </w:p>
        </w:tc>
      </w:tr>
      <w:tr>
        <w:trPr>
          <w:trHeight w:val="252"/>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G.K.</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Japan (Tokyo)</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GmbH</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Germany (Heidelberg)</w:t>
            </w:r>
          </w:p>
        </w:tc>
      </w:tr>
      <w:tr>
        <w:trPr>
          <w:trHeight w:val="248"/>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Hong Kong Limited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India Private Limited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India</w:t>
            </w: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Italy S.r.l.</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Italy</w:t>
            </w:r>
          </w:p>
        </w:tc>
      </w:tr>
      <w:tr>
        <w:trPr>
          <w:trHeight w:val="248"/>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Korea Ltd.</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Korea</w:t>
            </w: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Luxembourg II S.à r.l.</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Malaysia Sdn. Bhd.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Malaysia</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(Shanghai)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 (Shanghai)</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(Shanghai)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 (Beijing)</w:t>
            </w:r>
          </w:p>
        </w:tc>
      </w:tr>
      <w:tr>
        <w:trPr>
          <w:trHeight w:val="234"/>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Beijing Branch</w:t>
            </w:r>
          </w:p>
        </w:tc>
        <w:tc>
          <w:tcPr>
            <w:tcW w:w="25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(Shanghai)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 (Pudong)</w:t>
            </w:r>
          </w:p>
        </w:tc>
      </w:tr>
      <w:tr>
        <w:trPr>
          <w:trHeight w:val="234"/>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Pudong Branch</w:t>
            </w:r>
          </w:p>
        </w:tc>
        <w:tc>
          <w:tcPr>
            <w:tcW w:w="25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(Suzhou)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Spain, S.L.</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Mexico, S. de R.L. de C.V.</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Mexico</w:t>
            </w:r>
          </w:p>
        </w:tc>
      </w:tr>
      <w:tr>
        <w:trPr>
          <w:trHeight w:val="248"/>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Netherlands (Amsterdam)</w:t>
            </w: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 - Belgian Branch</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 – Representative Office</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New Zealand Limited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Norway AS</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Norway</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Penel Ltd. Irish Branch</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Penel Ltd.</w:t>
            </w:r>
          </w:p>
        </w:tc>
        <w:tc>
          <w:tcPr>
            <w:tcW w:w="2540" w:type="dxa"/>
            <w:vAlign w:val="bottom"/>
          </w:tcPr>
          <w:p>
            <w:pPr>
              <w:spacing w:after="0"/>
              <w:rPr>
                <w:sz w:val="20"/>
                <w:szCs w:val="20"/>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1240"/>
          </w:cols>
          <w:pgMar w:left="320" w:top="10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ectPr>
          <w:pgSz w:w="11900" w:h="16838" w:orient="portrait"/>
          <w:cols w:equalWidth="0" w:num="1">
            <w:col w:w="11160"/>
          </w:cols>
          <w:pgMar w:left="40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Peru S.R.L.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Philippines,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Poland sp. z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Portugal, Unipessoal Lda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Rus Limited Liability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Singapore Pte.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embecta Singapore Pte. Ltd., Indonesia Foreign Trading Representative Office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Singapore Pte. Ltd. Taiwan Branch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South Africa Proprietary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Sweden AB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Switzerland Holdings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Switzerland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(Thailand)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Turkey Medikal Ürün ve Cihazlar İthalat İhracat Satış Pazarlama 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Switzerland (Vaud)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Switzerland (Vaud)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3" w:lineRule="exact"/>
        <w:rPr>
          <w:sz w:val="20"/>
          <w:szCs w:val="20"/>
          <w:color w:val="auto"/>
        </w:rPr>
      </w:pPr>
    </w:p>
    <w:p>
      <w:pPr>
        <w:sectPr>
          <w:pgSz w:w="11900" w:h="16838" w:orient="portrait"/>
          <w:cols w:equalWidth="0" w:num="2">
            <w:col w:w="5640" w:space="160"/>
            <w:col w:w="5360"/>
          </w:cols>
          <w:pgMar w:left="400" w:top="1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Dağıtım Limited Şirketi</w:t>
      </w:r>
    </w:p>
    <w:p>
      <w:pPr>
        <w:sectPr>
          <w:pgSz w:w="11900" w:h="16838" w:orient="portrait"/>
          <w:cols w:equalWidth="0" w:num="1">
            <w:col w:w="11160"/>
          </w:cols>
          <w:pgMar w:left="400" w:top="100"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embecta U.K. Limited Irish Branch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Uruguay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US Holdings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Vietnam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ectPr>
          <w:pgSz w:w="11900" w:h="16838" w:orient="portrait"/>
          <w:cols w:equalWidth="0" w:num="2">
            <w:col w:w="5080" w:space="720"/>
            <w:col w:w="5360"/>
          </w:cols>
          <w:pgMar w:left="400" w:top="100" w:right="339" w:bottom="1440" w:gutter="0" w:footer="0" w:header="0"/>
          <w:type w:val="continuous"/>
        </w:sectPr>
      </w:pPr>
    </w:p>
    <w:bookmarkStart w:id="90" w:name="page91"/>
    <w:bookmarkEnd w:id="90"/>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Nos. 333-264164 and 333-279273) pertaining to the 2022 Employee and Director Equity-Based Compensation Plan of Embecta Corp., as amended of our reports dated November 25, 2025, with respect to the consolidated financial statements of Embecta Corp., and the effectiveness of internal control over financial reporting of Embecta Corp., included in this Annual Report (Form 10-K) for the year ended September 30, 2025.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November 25, 2025</w:t>
      </w:r>
    </w:p>
    <w:p>
      <w:pPr>
        <w:sectPr>
          <w:pgSz w:w="11900" w:h="16838" w:orient="portrait"/>
          <w:cols w:equalWidth="0" w:num="1">
            <w:col w:w="11240"/>
          </w:cols>
          <w:pgMar w:left="320" w:top="144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47"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right="1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47"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140" w:hanging="332"/>
        <w:spacing w:after="0" w:line="245"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20" w:firstLine="440"/>
        <w:spacing w:after="0" w:line="250" w:lineRule="auto"/>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 2025 as filed with the Securities and Exchange Commission (the “Report”), I, Devdatt Kurdikar, the Chief Executive Officer of Embecta Corp., certify that, to the best of my knowledge:</w:t>
      </w:r>
    </w:p>
    <w:p>
      <w:pPr>
        <w:spacing w:after="0" w:line="109"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 2025 as filed with the Securities and Exchange Commission (the “Report”), I, Jacob Elguicze, the Chief Financial Officer of Embecta Corp., certify that, to the best of my knowledge:</w:t>
      </w:r>
    </w:p>
    <w:p>
      <w:pPr>
        <w:spacing w:after="0" w:line="109" w:lineRule="exact"/>
        <w:rPr>
          <w:sz w:val="20"/>
          <w:szCs w:val="20"/>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Roman"/>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lowerRoman"/>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Roman"/>
      <w:start w:val="3"/>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Roman"/>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lvl w:ilvl="1">
      <w:lvlJc w:val="left"/>
      <w:lvlText w:val="•"/>
      <w:numFmt w:val="bullet"/>
      <w:start w:val="1"/>
    </w:lvl>
    <w:lvl w:ilvl="2">
      <w:lvlJc w:val="left"/>
      <w:lvlText w:val="(%3)"/>
      <w:numFmt w:val="decimal"/>
      <w:start w:val="2"/>
    </w:lvl>
  </w:abstractNum>
  <w:abstractNum w:abstractNumId="30">
    <w:nsid w:val="5577F8E1"/>
    <w:multiLevelType w:val="hybridMultilevel"/>
    <w:lvl w:ilvl="0">
      <w:lvlJc w:val="left"/>
      <w:lvlText w:val="%1"/>
      <w:numFmt w:val="decimal"/>
      <w:start w:val="19"/>
    </w:lvl>
  </w:abstractNum>
  <w:abstractNum w:abstractNumId="31">
    <w:nsid w:val="440BADFC"/>
    <w:multiLevelType w:val="hybridMultilevel"/>
    <w:lvl w:ilvl="0">
      <w:lvlJc w:val="left"/>
      <w:lvlText w:val="%1"/>
      <w:numFmt w:val="decimal"/>
      <w:start w:val="101"/>
    </w:lvl>
  </w:abstractNum>
  <w:abstractNum w:abstractNumId="32">
    <w:nsid w:val="5072367"/>
    <w:multiLevelType w:val="hybridMultilevel"/>
    <w:lvl w:ilvl="0">
      <w:lvlJc w:val="left"/>
      <w:lvlText w:val="(+)"/>
      <w:numFmt w:val="bullet"/>
      <w:start w:val="1"/>
    </w:lvl>
    <w:lvl w:ilvl="1">
      <w:lvlJc w:val="left"/>
      <w:lvlText w:val="%2"/>
      <w:numFmt w:val="decimal"/>
      <w:start w:val="104"/>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24" Type="http://schemas.openxmlformats.org/officeDocument/2006/relationships/hyperlink" Target="https://www.sec.gov/Archives/edgar/data/1872789/000119312522097622/d297684dex21.htm" TargetMode="External"/><Relationship Id="rId125" Type="http://schemas.openxmlformats.org/officeDocument/2006/relationships/hyperlink" Target="https://www.sec.gov/Archives/edgar/data/0001872789/000119312522097622/d297684dex31.htm" TargetMode="External"/><Relationship Id="rId126" Type="http://schemas.openxmlformats.org/officeDocument/2006/relationships/hyperlink" Target="https://www.sec.gov/Archives/edgar/data/1872789/000094787123000814/ss2350753_0301.htm" TargetMode="External"/><Relationship Id="rId127" Type="http://schemas.openxmlformats.org/officeDocument/2006/relationships/hyperlink" Target="https://www.sec.gov/Archives/edgar/data/1872789/000119312522035814/d669833dex41.htm" TargetMode="External"/><Relationship Id="rId128" Type="http://schemas.openxmlformats.org/officeDocument/2006/relationships/hyperlink" Target="https://www.sec.gov/Archives/edgar/data/0001872789/000119312522097622/d297684dex44.htm" TargetMode="External"/><Relationship Id="rId129" Type="http://schemas.openxmlformats.org/officeDocument/2006/relationships/hyperlink" Target="https://www.sec.gov/Archives/edgar/data/1872789/000119312522097622/d297684dex41.htm" TargetMode="External"/><Relationship Id="rId130" Type="http://schemas.openxmlformats.org/officeDocument/2006/relationships/hyperlink" Target="https://www.sec.gov/Archives/edgar/data/0001872789/000119312522097622/d297684dex42.htm" TargetMode="External"/><Relationship Id="rId131" Type="http://schemas.openxmlformats.org/officeDocument/2006/relationships/hyperlink" Target="https://www.sec.gov/Archives/edgar/data/1872789/000187278923000031/embc-9302023x10kexhibit45.htm" TargetMode="External"/><Relationship Id="rId132" Type="http://schemas.openxmlformats.org/officeDocument/2006/relationships/hyperlink" Target="https://www.sec.gov/Archives/edgar/data/1872789/000119312522097622/d297684dex101.htm" TargetMode="External"/><Relationship Id="rId133" Type="http://schemas.openxmlformats.org/officeDocument/2006/relationships/hyperlink" Target="https://www.sec.gov/Archives/edgar/data/1872789/000187278922000024/embc-9302022x10kexhibit102.htm" TargetMode="External"/><Relationship Id="rId134" Type="http://schemas.openxmlformats.org/officeDocument/2006/relationships/hyperlink" Target="https://www.sec.gov/Archives/edgar/data/1872789/000187278924000010/erpserviceextensiontsaamen.htm" TargetMode="External"/><Relationship Id="rId135" Type="http://schemas.openxmlformats.org/officeDocument/2006/relationships/hyperlink" Target="https://www.sec.gov/Archives/edgar/data/1872789/000119312522097622/d297684dex102.htm" TargetMode="External"/><Relationship Id="rId138" Type="http://schemas.openxmlformats.org/officeDocument/2006/relationships/hyperlink" Target="https://www.sec.gov/Archives/edgar/data/1872789/000119312522097622/d297684dex103.htm" TargetMode="External"/><Relationship Id="rId139" Type="http://schemas.openxmlformats.org/officeDocument/2006/relationships/hyperlink" Target="https://www.sec.gov/Archives/edgar/data/1872789/000119312522097622/d297684dex1015.htm" TargetMode="External"/><Relationship Id="rId140" Type="http://schemas.openxmlformats.org/officeDocument/2006/relationships/hyperlink" Target="https://www.sec.gov/Archives/edgar/data/1872789/000187278924000006/embc-20231231x10qexhibit101.htm" TargetMode="External"/><Relationship Id="rId141" Type="http://schemas.openxmlformats.org/officeDocument/2006/relationships/hyperlink" Target="https://www.sec.gov/Archives/edgar/data/1872789/000119312522097622/d297684dex1016.htm" TargetMode="External"/><Relationship Id="rId142" Type="http://schemas.openxmlformats.org/officeDocument/2006/relationships/hyperlink" Target="https://www.sec.gov/Archives/edgar/data/1872789/000119312522097622/d297684dex1017.htm" TargetMode="External"/><Relationship Id="rId143" Type="http://schemas.openxmlformats.org/officeDocument/2006/relationships/hyperlink" Target="https://www.sec.gov/Archives/edgar/data/1872789/000187278922000024/embc-9302022x10kexhibit108.htm" TargetMode="External"/><Relationship Id="rId144" Type="http://schemas.openxmlformats.org/officeDocument/2006/relationships/hyperlink" Target="https://www.sec.gov/Archives/edgar/data/1872789/000187278922000024/embc-9302022x10kexhibit109.htm" TargetMode="External"/><Relationship Id="rId145" Type="http://schemas.openxmlformats.org/officeDocument/2006/relationships/hyperlink" Target="https://www.sec.gov/Archives/edgar/data/1872789/000187278922000024/embc-9302022x10kexhibit1010.htm" TargetMode="External"/><Relationship Id="rId146" Type="http://schemas.openxmlformats.org/officeDocument/2006/relationships/hyperlink" Target="https://www.sec.gov/Archives/edgar/data/1872789/000187278923000013/embc-03312023x10qexhibit101.htm" TargetMode="External"/><Relationship Id="rId147" Type="http://schemas.openxmlformats.org/officeDocument/2006/relationships/hyperlink" Target="https://www.sec.gov/Archives/edgar/data/0001872789/000187278924000037/q4202410kexhibit1014.htm" TargetMode="External"/><Relationship Id="rId148" Type="http://schemas.openxmlformats.org/officeDocument/2006/relationships/hyperlink" Target="https://www.sec.gov/Archives/edgar/data/1872789/000119312521363615/d192319dex108.htm" TargetMode="External"/><Relationship Id="rId149" Type="http://schemas.openxmlformats.org/officeDocument/2006/relationships/hyperlink" Target="https://www.sec.gov/Archives/edgar/data/1872789/000119312521363615/d192319dex109.htm" TargetMode="External"/><Relationship Id="rId150" Type="http://schemas.openxmlformats.org/officeDocument/2006/relationships/hyperlink" Target="https://www.sec.gov/Archives/edgar/data/1872789/000119312521363615/d192319dex1010.htm" TargetMode="External"/><Relationship Id="rId151" Type="http://schemas.openxmlformats.org/officeDocument/2006/relationships/hyperlink" Target="https://www.sec.gov/Archives/edgar/data/1872789/000119312521363615/d192319dex1012.htm" TargetMode="External"/><Relationship Id="rId152" Type="http://schemas.openxmlformats.org/officeDocument/2006/relationships/hyperlink" Target="https://www.sec.gov/Archives/edgar/data/1872789/000119312521363615/d192319dex1013.htm" TargetMode="External"/><Relationship Id="rId153" Type="http://schemas.openxmlformats.org/officeDocument/2006/relationships/hyperlink" Target="https://www.sec.gov/Archives/edgar/data/1872789/000119312522097622/d297684dex106.htm" TargetMode="External"/><Relationship Id="rId154" Type="http://schemas.openxmlformats.org/officeDocument/2006/relationships/hyperlink" Target="https://www.sec.gov/Archives/edgar/data/1872789/000119312522097622/d297684dex105.htm" TargetMode="External"/><Relationship Id="rId155" Type="http://schemas.openxmlformats.org/officeDocument/2006/relationships/hyperlink" Target="https://www.sec.gov/Archives/edgar/data/1872789/000119312522097622/d297684dex107.htm" TargetMode="External"/><Relationship Id="rId156" Type="http://schemas.openxmlformats.org/officeDocument/2006/relationships/hyperlink" Target="https://www.sec.gov/Archives/edgar/data/1872789/000119312522097622/d297684dex104.htm" TargetMode="External"/><Relationship Id="rId157" Type="http://schemas.openxmlformats.org/officeDocument/2006/relationships/hyperlink" Target="https://www.sec.gov/Archives/edgar/data/1872789/000119312522097622/d297684dex108.htm" TargetMode="External"/><Relationship Id="rId158" Type="http://schemas.openxmlformats.org/officeDocument/2006/relationships/hyperlink" Target="https://www.sec.gov/Archives/edgar/data/0001872789/000187278923000031/embc-20230930x10kex1023.htm" TargetMode="External"/><Relationship Id="rId159" Type="http://schemas.openxmlformats.org/officeDocument/2006/relationships/hyperlink" Target="https://www.sec.gov/Archives/edgar/data/1872789/000187278924000010/erpserviceextensionlsaamen.htm" TargetMode="External"/><Relationship Id="rId160" Type="http://schemas.openxmlformats.org/officeDocument/2006/relationships/hyperlink" Target="https://www.sec.gov/Archives/edgar/data/1872789/000119312522097622/d297684dex109.htm" TargetMode="External"/><Relationship Id="rId163" Type="http://schemas.openxmlformats.org/officeDocument/2006/relationships/hyperlink" Target="https://www.sec.gov/Archives/edgar/data/1872789/000119312522097622/d297684dex1010.htm" TargetMode="External"/><Relationship Id="rId164" Type="http://schemas.openxmlformats.org/officeDocument/2006/relationships/hyperlink" Target="https://www.sec.gov/Archives/edgar/data/0001872789/000187278924000037/q4202410kexhibit19.htm" TargetMode="External"/><Relationship Id="rId165" Type="http://schemas.openxmlformats.org/officeDocument/2006/relationships/hyperlink" Target="https://www.sec.gov/Archives/edgar/data/1872789/000187278923000031/embc-9302023x10kexhibit971.htm" TargetMode="External"/><Relationship Id="rId166" Type="http://schemas.openxmlformats.org/officeDocument/2006/relationships/hyperlink" Target="https://www.sec.gov/Archives/edgar/data/1872789/000187278923000031/embc-9302023x10kexhibit9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2025-11-25T15:26:39Z</dcterms:created>
  <dcterms:modified xsi:type="dcterms:W3CDTF">2025-11-25T15:26:39Z</dcterms:modified>
</cp:coreProperties>
</file>