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120" w:after="36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120" w:after="12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120" w:after="12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p>
      <w:pPr>
        <w:pStyle w:val="TextBody"/>
        <w:bidi w:val="0"/>
        <w:spacing w:lineRule="auto" w:line="288" w:before="120" w:after="120"/>
        <w:jc w:val="center"/>
        <w:rPr>
          <w:rFonts w:ascii="Times New Roman;sans-serif" w:hAnsi="Times New Roman;sans-serif"/>
          <w:b/>
          <w:color w:val="000000"/>
          <w:sz w:val="36"/>
        </w:rPr>
      </w:pPr>
      <w:r>
        <w:rPr>
          <w:rFonts w:ascii="Times New Roman;sans-serif" w:hAnsi="Times New Roman;sans-serif"/>
          <w:b/>
          <w:color w:val="000000"/>
          <w:sz w:val="36"/>
        </w:rPr>
        <w:t xml:space="preserve">FORM 10-K/A </w:t>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Amendment No. 1</w:t>
      </w:r>
    </w:p>
    <w:tbl>
      <w:tblPr>
        <w:tblW w:w="9927" w:type="dxa"/>
        <w:jc w:val="left"/>
        <w:tblInd w:w="0" w:type="dxa"/>
        <w:tblLayout w:type="fixed"/>
        <w:tblCellMar>
          <w:top w:w="28" w:type="dxa"/>
          <w:left w:w="28" w:type="dxa"/>
          <w:bottom w:w="28" w:type="dxa"/>
          <w:right w:w="28" w:type="dxa"/>
        </w:tblCellMar>
      </w:tblPr>
      <w:tblGrid>
        <w:gridCol w:w="124"/>
        <w:gridCol w:w="109"/>
        <w:gridCol w:w="109"/>
        <w:gridCol w:w="2808"/>
        <w:gridCol w:w="2808"/>
        <w:gridCol w:w="39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39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ANNUAL REPORT PURSUANT TO SECTION 13 OR 15(d) OF THE SECURITIES EXCHANGE ACT OF 1934</w:t>
            </w:r>
          </w:p>
        </w:tc>
      </w:tr>
    </w:tbl>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For the fiscal year ended September 30, 2023</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OR</w:t>
      </w:r>
    </w:p>
    <w:p>
      <w:pPr>
        <w:pStyle w:val="TextBody"/>
        <w:bidi w:val="0"/>
        <w:spacing w:before="0" w:after="10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76" w:before="53" w:after="30"/>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_ to _</w:t>
      </w:r>
    </w:p>
    <w:p>
      <w:pPr>
        <w:pStyle w:val="TextBody"/>
        <w:bidi w:val="0"/>
        <w:spacing w:before="0" w:after="0"/>
        <w:jc w:val="left"/>
        <w:rPr/>
      </w:pPr>
      <w:r>
        <w:rPr/>
      </w:r>
    </w:p>
    <w:p>
      <w:pPr>
        <w:pStyle w:val="TextBody"/>
        <w:bidi w:val="0"/>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Commission file number 001-41186</w:t>
      </w:r>
    </w:p>
    <w:p>
      <w:pPr>
        <w:pStyle w:val="TextBody"/>
        <w:bidi w:val="0"/>
        <w:spacing w:before="120" w:after="120"/>
        <w:jc w:val="center"/>
        <w:rPr/>
      </w:pPr>
      <w:r>
        <w:rPr/>
        <w:drawing>
          <wp:inline distT="0" distB="0" distL="0" distR="0">
            <wp:extent cx="1562100" cy="638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62100" cy="638175"/>
                    </a:xfrm>
                    <a:prstGeom prst="rect">
                      <a:avLst/>
                    </a:prstGeom>
                  </pic:spPr>
                </pic:pic>
              </a:graphicData>
            </a:graphic>
          </wp:inline>
        </w:drawing>
      </w:r>
    </w:p>
    <w:p>
      <w:pPr>
        <w:pStyle w:val="TextBody"/>
        <w:bidi w:val="0"/>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EMBECTA CORP.</w:t>
      </w:r>
    </w:p>
    <w:p>
      <w:pPr>
        <w:pStyle w:val="TextBody"/>
        <w:bidi w:val="0"/>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6461" w:type="dxa"/>
        <w:jc w:val="left"/>
        <w:tblInd w:w="0" w:type="dxa"/>
        <w:tblLayout w:type="fixed"/>
        <w:tblCellMar>
          <w:top w:w="28" w:type="dxa"/>
          <w:left w:w="28" w:type="dxa"/>
          <w:bottom w:w="28" w:type="dxa"/>
          <w:right w:w="28" w:type="dxa"/>
        </w:tblCellMar>
      </w:tblPr>
      <w:tblGrid>
        <w:gridCol w:w="1698"/>
        <w:gridCol w:w="1488"/>
        <w:gridCol w:w="1509"/>
        <w:gridCol w:w="109"/>
        <w:gridCol w:w="109"/>
        <w:gridCol w:w="109"/>
        <w:gridCol w:w="420"/>
        <w:gridCol w:w="420"/>
        <w:gridCol w:w="599"/>
      </w:tblGrid>
      <w:tr>
        <w:trPr/>
        <w:tc>
          <w:tcPr>
            <w:tcW w:w="1698"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87-1583942</w:t>
            </w:r>
          </w:p>
        </w:tc>
      </w:tr>
      <w:tr>
        <w:trPr/>
        <w:tc>
          <w:tcPr>
            <w:tcW w:w="469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r>
          </w:p>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(I.R.S. employer</w:t>
            </w:r>
          </w:p>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identification no.)</w:t>
            </w:r>
          </w:p>
        </w:tc>
      </w:tr>
      <w:tr>
        <w:trPr/>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300 Kimball Drive, Suite 300, Parsippany, New Jersey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07054</w:t>
            </w:r>
          </w:p>
        </w:tc>
      </w:tr>
      <w:tr>
        <w:trPr/>
        <w:tc>
          <w:tcPr>
            <w:tcW w:w="469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(862) 401-0000</w:t>
      </w:r>
    </w:p>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lineRule="auto" w:line="276"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registered pursuant to Section 12(b) of the Act: </w:t>
      </w:r>
    </w:p>
    <w:tbl>
      <w:tblPr>
        <w:tblW w:w="10205" w:type="dxa"/>
        <w:jc w:val="left"/>
        <w:tblInd w:w="0" w:type="dxa"/>
        <w:tblLayout w:type="fixed"/>
        <w:tblCellMar>
          <w:top w:w="28" w:type="dxa"/>
          <w:left w:w="28" w:type="dxa"/>
          <w:bottom w:w="28" w:type="dxa"/>
          <w:right w:w="28" w:type="dxa"/>
        </w:tblCellMar>
      </w:tblPr>
      <w:tblGrid>
        <w:gridCol w:w="1286"/>
        <w:gridCol w:w="1119"/>
        <w:gridCol w:w="1129"/>
        <w:gridCol w:w="109"/>
        <w:gridCol w:w="109"/>
        <w:gridCol w:w="109"/>
        <w:gridCol w:w="262"/>
        <w:gridCol w:w="262"/>
        <w:gridCol w:w="264"/>
        <w:gridCol w:w="109"/>
        <w:gridCol w:w="109"/>
        <w:gridCol w:w="109"/>
        <w:gridCol w:w="1529"/>
        <w:gridCol w:w="1529"/>
        <w:gridCol w:w="2171"/>
      </w:tblGrid>
      <w:tr>
        <w:trPr/>
        <w:tc>
          <w:tcPr>
            <w:tcW w:w="1286"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2171" w:type="dxa"/>
            <w:tcBorders/>
            <w:vAlign w:val="center"/>
          </w:tcPr>
          <w:p>
            <w:pPr>
              <w:pStyle w:val="TableContents"/>
              <w:bidi w:val="0"/>
              <w:spacing w:before="0" w:after="283"/>
              <w:jc w:val="left"/>
              <w:rPr>
                <w:sz w:val="4"/>
                <w:szCs w:val="4"/>
              </w:rPr>
            </w:pPr>
            <w:r>
              <w:rPr>
                <w:sz w:val="4"/>
                <w:szCs w:val="4"/>
              </w:rPr>
            </w:r>
          </w:p>
        </w:tc>
      </w:tr>
      <w:tr>
        <w:trPr/>
        <w:tc>
          <w:tcPr>
            <w:tcW w:w="353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lineRule="auto" w:line="276" w:before="0" w:after="20"/>
              <w:jc w:val="center"/>
              <w:rPr>
                <w:rFonts w:ascii="Times New Roman;sans-serif" w:hAnsi="Times New Roman;sans-serif"/>
                <w:b/>
                <w:color w:val="000000"/>
                <w:sz w:val="16"/>
              </w:rPr>
            </w:pPr>
            <w:r>
              <w:rPr>
                <w:rFonts w:ascii="Times New Roman;sans-serif" w:hAnsi="Times New Roman;sans-serif"/>
                <w:b/>
                <w:color w:val="000000"/>
                <w:sz w:val="16"/>
              </w:rPr>
              <w:t>Trading</w:t>
            </w:r>
          </w:p>
          <w:p>
            <w:pPr>
              <w:pStyle w:val="TableContents"/>
              <w:bidi w:val="0"/>
              <w:spacing w:lineRule="auto" w:line="276" w:before="0" w:after="20"/>
              <w:jc w:val="center"/>
              <w:rPr>
                <w:rFonts w:ascii="Times New Roman;sans-serif" w:hAnsi="Times New Roman;sans-serif"/>
                <w:b/>
                <w:color w:val="000000"/>
                <w:sz w:val="16"/>
              </w:rPr>
            </w:pPr>
            <w:r>
              <w:rPr>
                <w:rFonts w:ascii="Times New Roman;sans-serif" w:hAnsi="Times New Roman;sans-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9" w:type="dxa"/>
            <w:gridSpan w:val="3"/>
            <w:tcBorders/>
            <w:tcMar>
              <w:top w:w="0" w:type="dxa"/>
              <w:left w:w="0" w:type="dxa"/>
              <w:bottom w:w="0" w:type="dxa"/>
              <w:right w:w="0" w:type="dxa"/>
            </w:tcMar>
            <w:vAlign w:val="center"/>
          </w:tcPr>
          <w:p>
            <w:pPr>
              <w:pStyle w:val="TableContents"/>
              <w:bidi w:val="0"/>
              <w:spacing w:lineRule="auto" w:line="276" w:before="0" w:after="20"/>
              <w:jc w:val="center"/>
              <w:rPr>
                <w:rFonts w:ascii="Times New Roman;sans-serif" w:hAnsi="Times New Roman;sans-serif"/>
                <w:b/>
                <w:color w:val="000000"/>
                <w:sz w:val="16"/>
              </w:rPr>
            </w:pPr>
            <w:r>
              <w:rPr>
                <w:rFonts w:ascii="Times New Roman;sans-serif" w:hAnsi="Times New Roman;sans-serif"/>
                <w:b/>
                <w:color w:val="000000"/>
                <w:sz w:val="16"/>
              </w:rPr>
              <w:t>Name of each exchange</w:t>
            </w:r>
          </w:p>
          <w:p>
            <w:pPr>
              <w:pStyle w:val="TableContents"/>
              <w:bidi w:val="0"/>
              <w:spacing w:lineRule="auto" w:line="276" w:before="0" w:after="20"/>
              <w:jc w:val="center"/>
              <w:rPr>
                <w:rFonts w:ascii="Times New Roman;sans-serif" w:hAnsi="Times New Roman;sans-serif"/>
                <w:b/>
                <w:color w:val="000000"/>
                <w:sz w:val="16"/>
              </w:rPr>
            </w:pPr>
            <w:r>
              <w:rPr>
                <w:rFonts w:ascii="Times New Roman;sans-serif" w:hAnsi="Times New Roman;sans-serif"/>
                <w:b/>
                <w:color w:val="000000"/>
                <w:sz w:val="16"/>
              </w:rPr>
              <w:t>on which registered</w:t>
            </w:r>
          </w:p>
        </w:tc>
      </w:tr>
      <w:tr>
        <w:trPr/>
        <w:tc>
          <w:tcPr>
            <w:tcW w:w="3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EMBC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The Nasdaq Stock Market LLC (Nasdaq Global Select Market)</w:t>
            </w:r>
          </w:p>
        </w:tc>
      </w:tr>
    </w:tbl>
    <w:p>
      <w:pPr>
        <w:pStyle w:val="TextBody"/>
        <w:bidi w:val="0"/>
        <w:spacing w:lineRule="auto" w:line="276" w:before="0" w:after="0"/>
        <w:jc w:val="left"/>
        <w:rPr/>
      </w:pPr>
      <w:r>
        <w:rPr>
          <w:rFonts w:ascii="Times New Roman;sans-serif" w:hAnsi="Times New Roman;sans-serif"/>
          <w:b w:val="false"/>
          <w:color w:val="000000"/>
          <w:sz w:val="20"/>
        </w:rPr>
        <w:t xml:space="preserve">Securities registered pursuant to Section 12(g) of the Act: </w:t>
      </w:r>
      <w:r>
        <w:rPr>
          <w:rFonts w:ascii="Times New Roman;sans-serif" w:hAnsi="Times New Roman;sans-serif"/>
          <w:b/>
          <w:color w:val="000000"/>
          <w:sz w:val="20"/>
        </w:rPr>
        <w:t>None</w:t>
      </w:r>
    </w:p>
    <w:p>
      <w:pPr>
        <w:pStyle w:val="TextBody"/>
        <w:bidi w:val="0"/>
        <w:spacing w:before="0" w:after="0"/>
        <w:jc w:val="both"/>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if the registrant is a well-known seasoned issuer, as defined in Rule 405 of the Securities Act. </w: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Yes ☒ No ☐</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if the registrant is not required to file reports pursuant to Section 13 or Section 15(d) of the Act. </w: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Yes ☐ No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before="0" w:after="0"/>
        <w:jc w:val="both"/>
        <w:rPr/>
      </w:pPr>
      <w:r>
        <w:rPr/>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Yes  ☒   No  ☐ </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6315" w:type="dxa"/>
        <w:jc w:val="left"/>
        <w:tblInd w:w="0" w:type="dxa"/>
        <w:tblLayout w:type="fixed"/>
        <w:tblCellMar>
          <w:top w:w="28" w:type="dxa"/>
          <w:left w:w="28" w:type="dxa"/>
          <w:bottom w:w="28" w:type="dxa"/>
          <w:right w:w="28" w:type="dxa"/>
        </w:tblCellMar>
      </w:tblPr>
      <w:tblGrid>
        <w:gridCol w:w="842"/>
        <w:gridCol w:w="740"/>
        <w:gridCol w:w="743"/>
        <w:gridCol w:w="109"/>
        <w:gridCol w:w="109"/>
        <w:gridCol w:w="109"/>
        <w:gridCol w:w="109"/>
        <w:gridCol w:w="109"/>
        <w:gridCol w:w="109"/>
        <w:gridCol w:w="109"/>
        <w:gridCol w:w="109"/>
        <w:gridCol w:w="109"/>
        <w:gridCol w:w="769"/>
        <w:gridCol w:w="769"/>
        <w:gridCol w:w="772"/>
        <w:gridCol w:w="109"/>
        <w:gridCol w:w="109"/>
        <w:gridCol w:w="109"/>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r>
    </w:tbl>
    <w:p>
      <w:pPr>
        <w:pStyle w:val="TextBody"/>
        <w:bidi w:val="0"/>
        <w:spacing w:lineRule="auto" w:line="276" w:before="0" w:after="0"/>
        <w:jc w:val="center"/>
        <w:rPr>
          <w:color w:val="000000"/>
        </w:rPr>
      </w:pPr>
      <w:r>
        <w:rPr>
          <w:color w:val="000000"/>
        </w:rPr>
        <w:t>                </w:t>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 No ☐</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shell company (as defined in Rule 12b-2 of the Act).     Yes ☐   No  ☒</w:t>
      </w:r>
    </w:p>
    <w:p>
      <w:pPr>
        <w:pStyle w:val="TextBody"/>
        <w:bidi w:val="0"/>
        <w:spacing w:lineRule="auto" w:line="276"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aggregate market value of the voting common equity held by non-affiliates of the registrant, computed by reference to the closing price at which the common stock was sold as of the end of the second fiscal quarter ended March 31, 2023, was approximately $1.6 billion.</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 had outstanding 57,334,621 shares of common stock as of November 20, 2023.</w:t>
      </w:r>
    </w:p>
    <w:p>
      <w:pPr>
        <w:pStyle w:val="TextBody"/>
        <w:bidi w:val="0"/>
        <w:spacing w:before="0" w:after="0"/>
        <w:jc w:val="left"/>
        <w:rPr/>
      </w:pPr>
      <w:r>
        <w:rPr/>
      </w:r>
    </w:p>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DOCUMENTS INCORPORATED BY REFERENCE</w:t>
      </w:r>
    </w:p>
    <w:p>
      <w:pPr>
        <w:pStyle w:val="TextBody"/>
        <w:bidi w:val="0"/>
        <w:spacing w:lineRule="auto" w:line="276"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required by Items 10, 11, 12, 13 and 14 of Part III of this Annual Report on Form 10-K is incorporated by reference to the Registrant’s definitive proxy statement for its 2024 Annual Meeting of Stockholders. </w:t>
      </w:r>
    </w:p>
    <w:p>
      <w:pPr>
        <w:pStyle w:val="TextBody"/>
        <w:bidi w:val="0"/>
        <w:spacing w:lineRule="auto" w:line="276" w:before="0" w:after="0"/>
        <w:jc w:val="left"/>
        <w:rPr>
          <w:color w:val="000000"/>
        </w:rPr>
      </w:pPr>
      <w:r>
        <w:rPr>
          <w:color w:val="000000"/>
        </w:rPr>
        <w:t> </w:t>
      </w:r>
    </w:p>
    <w:p>
      <w:pPr>
        <w:pStyle w:val="TextBody"/>
        <w:bidi w:val="0"/>
        <w:spacing w:before="0" w:after="10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EXPLANATORY NOTE</w:t>
      </w:r>
    </w:p>
    <w:p>
      <w:pPr>
        <w:pStyle w:val="TextBody"/>
        <w:bidi w:val="0"/>
        <w:spacing w:lineRule="auto" w:line="276" w:before="120" w:after="283"/>
        <w:jc w:val="both"/>
        <w:rPr/>
      </w:pPr>
      <w:r>
        <w:rPr>
          <w:rFonts w:ascii="Times New Roman;sans-serif" w:hAnsi="Times New Roman;sans-serif"/>
          <w:b w:val="false"/>
          <w:color w:val="000000"/>
          <w:sz w:val="20"/>
        </w:rPr>
        <w:t>Embecta Corp. (also referred to herein as the "Company") is filing this Amendment No. 1 to the Annual Report on Form 10-K (this “Form 10-K/A”) for the fiscal year ended September 30, 2023, originally filed with the Securities and Exchange Commission (the “SEC”) on November 29, 2023 (the “2023 Form 10-K” or “Original Filing”), solely for the purpose of correcting a scrivener’s error in the certifications filed as Exhibits 31.1 and 31.2 (the “Certifications”) to the 2023 Form 10-K. At the time the Company filed its 2023 Form 10-K, the Company’s certifying officers had completed the matters covered by paragraph 4(b) and the introductory language in paragraph 4 of the Certifications, referring to its internal control over financial reporting.</w:t>
      </w:r>
      <w:r>
        <w:rPr>
          <w:color w:val="000000"/>
        </w:rPr>
        <w:t xml:space="preserve"> </w:t>
      </w:r>
      <w:r>
        <w:rPr>
          <w:rFonts w:ascii="Times New Roman;sans-serif" w:hAnsi="Times New Roman;sans-serif"/>
          <w:b w:val="false"/>
          <w:color w:val="000000"/>
          <w:sz w:val="20"/>
        </w:rPr>
        <w:t>The Certifications filed with the 2023 Form 10-K contained a scrivener’s error in that they inadvertently omitted such language, and the corrected Certifications are being filed as Exhibits 31.1 and 31.2 with this Form 10-K/A.</w:t>
      </w:r>
    </w:p>
    <w:p>
      <w:pPr>
        <w:pStyle w:val="TextBody"/>
        <w:bidi w:val="0"/>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Please note that the only changes to the Original Filing are those related to the matters described herein. Except as described above, no changes have been made to the Original Filing, and this Form 10-K/A does not modify, amend or update any of the other financial information or other information contained in the Original Filing, and except as specifically provided herein, this Form 10-K/A does not reflect any information or events occurring after the date of the Original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both"/>
        <w:rPr/>
      </w:pPr>
      <w:r>
        <w:rPr/>
      </w:r>
    </w:p>
    <w:p>
      <w:pPr>
        <w:pStyle w:val="TextBody"/>
        <w:bidi w:val="0"/>
        <w:spacing w:before="120" w:after="1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PART IV</w:t>
      </w:r>
    </w:p>
    <w:p>
      <w:pPr>
        <w:pStyle w:val="TextBody"/>
        <w:bidi w:val="0"/>
        <w:spacing w:lineRule="auto" w:line="276" w:before="180" w:after="283"/>
        <w:jc w:val="left"/>
        <w:rPr>
          <w:rFonts w:ascii="Times New Roman;sans-serif" w:hAnsi="Times New Roman;sans-serif"/>
          <w:b/>
          <w:color w:val="000000"/>
          <w:sz w:val="20"/>
        </w:rPr>
      </w:pPr>
      <w:r>
        <w:rPr>
          <w:rFonts w:ascii="Times New Roman;sans-serif" w:hAnsi="Times New Roman;sans-serif"/>
          <w:b/>
          <w:color w:val="000000"/>
          <w:sz w:val="20"/>
        </w:rPr>
        <w:t>Item 15. Exhibits and Financial Statement Schedules.</w:t>
      </w:r>
    </w:p>
    <w:p>
      <w:pPr>
        <w:pStyle w:val="TextBody"/>
        <w:bidi w:val="0"/>
        <w:spacing w:lineRule="auto" w:line="276" w:before="180" w:after="283"/>
        <w:jc w:val="both"/>
        <w:rPr/>
      </w:pPr>
      <w:r>
        <w:rPr>
          <w:rFonts w:ascii="Times New Roman;sans-serif" w:hAnsi="Times New Roman;sans-serif"/>
          <w:b w:val="false"/>
          <w:color w:val="000000"/>
          <w:sz w:val="20"/>
        </w:rPr>
        <w:t>(b)</w:t>
      </w:r>
      <w:r>
        <w:rPr>
          <w:color w:val="000000"/>
        </w:rPr>
        <w:t xml:space="preserve"> </w:t>
      </w:r>
      <w:r>
        <w:rPr>
          <w:rFonts w:ascii="Times New Roman;sans-serif" w:hAnsi="Times New Roman;sans-serif"/>
          <w:b w:val="false"/>
          <w:i/>
          <w:color w:val="000000"/>
          <w:sz w:val="20"/>
        </w:rPr>
        <w:t>Exhibits</w:t>
      </w:r>
    </w:p>
    <w:tbl>
      <w:tblPr>
        <w:tblW w:w="8642"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2482"/>
        <w:gridCol w:w="2482"/>
        <w:gridCol w:w="2491"/>
        <w:gridCol w:w="15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76" w:before="0" w:after="10"/>
              <w:jc w:val="left"/>
              <w:rPr>
                <w:rFonts w:ascii="Times New Roman;sans-serif" w:hAnsi="Times New Roman;sans-serif"/>
                <w:b/>
                <w:color w:val="000000"/>
                <w:sz w:val="16"/>
              </w:rPr>
            </w:pPr>
            <w:r>
              <w:rPr>
                <w:rFonts w:ascii="Times New Roman;sans-serif" w:hAnsi="Times New Roman;sans-serif"/>
                <w:b/>
                <w:color w:val="000000"/>
                <w:sz w:val="16"/>
              </w:rPr>
              <w:t xml:space="preserve">Exhibit </w:t>
            </w:r>
          </w:p>
          <w:p>
            <w:pPr>
              <w:pStyle w:val="TableContents"/>
              <w:bidi w:val="0"/>
              <w:spacing w:lineRule="auto" w:line="276" w:before="0" w:after="10"/>
              <w:jc w:val="left"/>
              <w:rPr>
                <w:rFonts w:ascii="Times New Roman;sans-serif" w:hAnsi="Times New Roman;sans-serif"/>
                <w:b/>
                <w:color w:val="000000"/>
                <w:sz w:val="16"/>
              </w:rPr>
            </w:pPr>
            <w:r>
              <w:rPr>
                <w:rFonts w:ascii="Times New Roman;sans-serif" w:hAnsi="Times New Roman;sans-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Exhibit Description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5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5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5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5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5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5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5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5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5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5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5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5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5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5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5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5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5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5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5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5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5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5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5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5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5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5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5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5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5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5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5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5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5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5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5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mbc-20230930x10kex31110kxa.htm">
              <w:r>
                <w:rPr>
                  <w:rStyle w:val="InternetLink"/>
                  <w:rFonts w:ascii="Times New Roman;sans-serif" w:hAnsi="Times New Roman;sans-serif"/>
                  <w:b w:val="false"/>
                  <w:color w:val="0000FF"/>
                  <w:sz w:val="20"/>
                  <w:u w:val="single"/>
                </w:rPr>
                <w:t>Certification of Chief Executive Officer, pursuant to SEC Rule 13a–14(a). (Filed herewith.)</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mbc-20230930x10kex31210kxa.htm">
              <w:r>
                <w:rPr>
                  <w:rStyle w:val="InternetLink"/>
                  <w:rFonts w:ascii="Times New Roman;sans-serif" w:hAnsi="Times New Roman;sans-serif"/>
                  <w:b w:val="false"/>
                  <w:color w:val="0000FF"/>
                  <w:sz w:val="20"/>
                  <w:u w:val="single"/>
                </w:rPr>
                <w:t>Certification of Chief Financial Officer, pursuant to SEC Rule 13a–14(a). (Filed herewith.)</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5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5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5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Section 13 or 15(d) of the Securities Exchange Act of 1934, the registrant has duly caused this report to be signed on its behalf by the undersigned thereunto duly authorized. </w:t>
      </w:r>
    </w:p>
    <w:p>
      <w:pPr>
        <w:pStyle w:val="TextBody"/>
        <w:bidi w:val="0"/>
        <w:spacing w:before="0" w:after="0"/>
        <w:jc w:val="left"/>
        <w:rPr/>
      </w:pPr>
      <w:r>
        <w:rPr/>
      </w:r>
    </w:p>
    <w:tbl>
      <w:tblPr>
        <w:tblW w:w="5347" w:type="dxa"/>
        <w:jc w:val="left"/>
        <w:tblInd w:w="0" w:type="dxa"/>
        <w:tblLayout w:type="fixed"/>
        <w:tblCellMar>
          <w:top w:w="28" w:type="dxa"/>
          <w:left w:w="28" w:type="dxa"/>
          <w:bottom w:w="28" w:type="dxa"/>
          <w:right w:w="28" w:type="dxa"/>
        </w:tblCellMar>
      </w:tblPr>
      <w:tblGrid>
        <w:gridCol w:w="124"/>
        <w:gridCol w:w="109"/>
        <w:gridCol w:w="109"/>
        <w:gridCol w:w="209"/>
        <w:gridCol w:w="209"/>
        <w:gridCol w:w="211"/>
        <w:gridCol w:w="179"/>
        <w:gridCol w:w="179"/>
        <w:gridCol w:w="179"/>
        <w:gridCol w:w="1110"/>
        <w:gridCol w:w="1110"/>
        <w:gridCol w:w="16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5" w:type="dxa"/>
            <w:gridSpan w:val="9"/>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EMBECTA CORP.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JACOB ELGUICZE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Jacob Elguicze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lineRule="auto" w:line="276"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April 5, 2024</w:t>
      </w:r>
    </w:p>
    <w:p>
      <w:pPr>
        <w:pStyle w:val="TextBody"/>
        <w:bidi w:val="0"/>
        <w:spacing w:before="2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76"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31.1 </w:t>
      </w:r>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Devdatt Kurdikar, certify that: </w:t>
      </w:r>
    </w:p>
    <w:p>
      <w:pPr>
        <w:pStyle w:val="TextBody"/>
        <w:bidi w:val="0"/>
        <w:spacing w:lineRule="auto" w:line="276" w:before="1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1.I have reviewed this Amendment No. 1 to Annual Report on Form 10-K of Embecta Corp.; </w:t>
      </w:r>
    </w:p>
    <w:p>
      <w:pPr>
        <w:pStyle w:val="TextBody"/>
        <w:bidi w:val="0"/>
        <w:spacing w:lineRule="auto" w:line="276" w:before="1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76" w:before="1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3.[intentionally omitted];</w:t>
      </w:r>
    </w:p>
    <w:p>
      <w:pPr>
        <w:pStyle w:val="TextBody"/>
        <w:bidi w:val="0"/>
        <w:spacing w:lineRule="auto" w:line="268" w:before="1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76" w:before="1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76" w:before="1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76" w:before="1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76" w:before="1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76" w:before="1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76" w:before="1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76" w:before="1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(b)Any fraud, whether or not material, that involves management or other employees who have a significant role in the registrant’s internal control over financial reporting. </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Date: April 5, 2024 </w:t>
      </w:r>
    </w:p>
    <w:tbl>
      <w:tblPr>
        <w:tblW w:w="3552" w:type="dxa"/>
        <w:jc w:val="left"/>
        <w:tblInd w:w="0" w:type="dxa"/>
        <w:tblLayout w:type="fixed"/>
        <w:tblCellMar>
          <w:top w:w="28" w:type="dxa"/>
          <w:left w:w="28" w:type="dxa"/>
          <w:bottom w:w="28" w:type="dxa"/>
          <w:right w:w="28" w:type="dxa"/>
        </w:tblCellMar>
      </w:tblPr>
      <w:tblGrid>
        <w:gridCol w:w="124"/>
        <w:gridCol w:w="109"/>
        <w:gridCol w:w="109"/>
        <w:gridCol w:w="940"/>
        <w:gridCol w:w="940"/>
        <w:gridCol w:w="133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Devdatt Kurdikar</w:t>
            </w:r>
          </w:p>
        </w:tc>
      </w:tr>
      <w:tr>
        <w:trPr/>
        <w:tc>
          <w:tcPr>
            <w:tcW w:w="342"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Devdatt Kurdikar</w:t>
            </w:r>
          </w:p>
        </w:tc>
      </w:tr>
      <w:tr>
        <w:trPr/>
        <w:tc>
          <w:tcPr>
            <w:tcW w:w="342"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76"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Jacob Elguicze, certify that: </w:t>
      </w:r>
    </w:p>
    <w:p>
      <w:pPr>
        <w:pStyle w:val="TextBody"/>
        <w:bidi w:val="0"/>
        <w:spacing w:lineRule="auto" w:line="276" w:before="1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1.I have reviewed this Amendment No. 1 to Annual Report on Form 10-K of Embecta Corp.; </w:t>
      </w:r>
    </w:p>
    <w:p>
      <w:pPr>
        <w:pStyle w:val="TextBody"/>
        <w:bidi w:val="0"/>
        <w:spacing w:lineRule="auto" w:line="276" w:before="1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76" w:before="1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3.[intentionally omitted]; </w:t>
      </w:r>
    </w:p>
    <w:p>
      <w:pPr>
        <w:pStyle w:val="TextBody"/>
        <w:bidi w:val="0"/>
        <w:spacing w:lineRule="auto" w:line="268" w:before="1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76" w:before="1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76" w:before="1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76" w:before="1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76" w:before="1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76" w:before="1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76" w:before="1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76" w:before="1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(b)Any fraud, whether or not material, that involves management or other employees who have a significant role in the registrant’s internal control over financial reporting. </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 April 5, 2024</w:t>
      </w:r>
    </w:p>
    <w:tbl>
      <w:tblPr>
        <w:tblW w:w="2351" w:type="dxa"/>
        <w:jc w:val="left"/>
        <w:tblInd w:w="0" w:type="dxa"/>
        <w:tblLayout w:type="fixed"/>
        <w:tblCellMar>
          <w:top w:w="28" w:type="dxa"/>
          <w:left w:w="28" w:type="dxa"/>
          <w:bottom w:w="28" w:type="dxa"/>
          <w:right w:w="28" w:type="dxa"/>
        </w:tblCellMar>
      </w:tblPr>
      <w:tblGrid>
        <w:gridCol w:w="124"/>
        <w:gridCol w:w="109"/>
        <w:gridCol w:w="109"/>
        <w:gridCol w:w="588"/>
        <w:gridCol w:w="588"/>
        <w:gridCol w:w="83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Jacob Elguicze</w:t>
            </w:r>
          </w:p>
        </w:tc>
      </w:tr>
      <w:tr>
        <w:trPr/>
        <w:tc>
          <w:tcPr>
            <w:tcW w:w="342"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Jacob Elguicze</w:t>
            </w:r>
          </w:p>
        </w:tc>
      </w:tr>
      <w:tr>
        <w:trPr/>
        <w:tc>
          <w:tcPr>
            <w:tcW w:w="342"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1915</Words>
  <Characters>10696</Characters>
  <CharactersWithSpaces>12549</CharactersWithSpaces>
  <Paragraphs>131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