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80"/>
        <w:spacing w:after="0"/>
        <w:rPr>
          <w:sz w:val="20"/>
          <w:szCs w:val="20"/>
          <w:color w:val="auto"/>
        </w:rPr>
      </w:pPr>
      <w:r>
        <w:rPr>
          <w:rFonts w:ascii="Times New Roman" w:cs="Times New Roman" w:eastAsia="Times New Roman" w:hAnsi="Times New Roman"/>
          <w:sz w:val="22"/>
          <w:szCs w:val="22"/>
          <w:b w:val="1"/>
          <w:bCs w:val="1"/>
          <w:color w:val="0000FF"/>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71" w:lineRule="auto"/>
        <w:tabs>
          <w:tab w:leader="none" w:pos="28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Voting Power 0.00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Embecta Corp.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300 KIMBALL DRIVE, SUITE 300, PARSIPPANY, NEW JERSEY, 07054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462 South 4th Street, Suite 2000, Louisville, KY 40202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US -- Delaware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0 %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208"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26" w:right="399" w:bottom="208" w:gutter="0" w:footer="0" w:header="0"/>
          <w:type w:val="continuous"/>
        </w:sect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River Road Asset Management, LLC</w:t>
      </w:r>
    </w:p>
    <w:p>
      <w:pPr>
        <w:spacing w:after="0" w:line="152"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Meagan N. Snyder</w:t>
      </w:r>
    </w:p>
    <w:p>
      <w:pPr>
        <w:spacing w:after="0" w:line="44"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22"/>
          <w:szCs w:val="22"/>
          <w:color w:val="auto"/>
        </w:rPr>
        <w:t>Name/Title: CCO</w:t>
      </w:r>
    </w:p>
    <w:p>
      <w:pPr>
        <w:spacing w:after="0" w:line="44" w:lineRule="exact"/>
        <w:rPr>
          <w:sz w:val="20"/>
          <w:szCs w:val="20"/>
          <w:color w:val="auto"/>
        </w:rPr>
      </w:pPr>
    </w:p>
    <w:p>
      <w:pPr>
        <w:ind w:left="292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05/27/2026</w:t>
      </w:r>
    </w:p>
    <w:sectPr>
      <w:pgSz w:w="11900" w:h="16838" w:orient="portrait"/>
      <w:cols w:equalWidth="0" w:num="1">
        <w:col w:w="11140"/>
      </w:cols>
      <w:pgMar w:left="360" w:top="126" w:right="399" w:bottom="20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2026-05-27T10:26:38Z</dcterms:created>
  <dcterms:modified xsi:type="dcterms:W3CDTF">2026-05-27T10:26:38Z</dcterms:modified>
</cp:coreProperties>
</file>