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663575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770890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201930</wp:posOffset>
            </wp:positionV>
            <wp:extent cx="1486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229235</wp:posOffset>
            </wp:positionV>
            <wp:extent cx="1486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226695</wp:posOffset>
            </wp:positionV>
            <wp:extent cx="1486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EMBECTA CORP.</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203200</wp:posOffset>
            </wp:positionV>
            <wp:extent cx="148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65" w:lineRule="exact"/>
        <w:rPr>
          <w:sz w:val="24"/>
          <w:szCs w:val="24"/>
          <w:color w:val="auto"/>
        </w:rPr>
      </w:pPr>
    </w:p>
    <w:tbl>
      <w:tblPr>
        <w:tblLayout w:type="fixed"/>
        <w:tblInd w:w="800" w:type="dxa"/>
        <w:tblCellMar>
          <w:top w:w="0" w:type="dxa"/>
          <w:left w:w="0" w:type="dxa"/>
          <w:bottom w:w="0" w:type="dxa"/>
          <w:right w:w="0" w:type="dxa"/>
        </w:tblCellMar>
      </w:tblPr>
      <w:tr>
        <w:trPr>
          <w:trHeight w:val="228"/>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7"/>
                <w:szCs w:val="17"/>
                <w:b w:val="1"/>
                <w:bCs w:val="1"/>
                <w:color w:val="auto"/>
              </w:rPr>
              <w:t>001-41186</w:t>
            </w:r>
          </w:p>
        </w:tc>
        <w:tc>
          <w:tcPr>
            <w:tcW w:w="2660" w:type="dxa"/>
            <w:vAlign w:val="bottom"/>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rPr>
              <w:t>87-1583942</w:t>
            </w:r>
          </w:p>
        </w:tc>
      </w:tr>
      <w:tr>
        <w:trPr>
          <w:trHeight w:val="182"/>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26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3"/>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4"/>
                <w:szCs w:val="14"/>
                <w:b w:val="1"/>
                <w:bCs w:val="1"/>
                <w:color w:val="auto"/>
                <w:w w:val="96"/>
              </w:rPr>
              <w:t>File Number)</w:t>
            </w:r>
          </w:p>
        </w:tc>
        <w:tc>
          <w:tcPr>
            <w:tcW w:w="26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605"/>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7"/>
                <w:szCs w:val="17"/>
                <w:b w:val="1"/>
                <w:bCs w:val="1"/>
                <w:color w:val="auto"/>
              </w:rPr>
              <w:t>300 Kimball Drive, Suite 300, Parsippany, New Jersey</w:t>
            </w:r>
          </w:p>
        </w:tc>
        <w:tc>
          <w:tcPr>
            <w:tcW w:w="2660" w:type="dxa"/>
            <w:vAlign w:val="bottom"/>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07054</w:t>
            </w:r>
          </w:p>
        </w:tc>
      </w:tr>
      <w:tr>
        <w:trPr>
          <w:trHeight w:val="197"/>
        </w:trPr>
        <w:tc>
          <w:tcPr>
            <w:tcW w:w="5540" w:type="dxa"/>
            <w:vAlign w:val="bottom"/>
          </w:tcPr>
          <w:p>
            <w:pPr>
              <w:jc w:val="center"/>
              <w:ind w:right="1464"/>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6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(862) 401-0000</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140335</wp:posOffset>
            </wp:positionV>
            <wp:extent cx="1486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95"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66"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66"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53"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94"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w:t>
            </w:r>
          </w:p>
        </w:tc>
      </w:tr>
      <w:tr>
        <w:trPr>
          <w:trHeight w:val="196"/>
        </w:trPr>
        <w:tc>
          <w:tcPr>
            <w:tcW w:w="4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192"/>
        </w:trPr>
        <w:tc>
          <w:tcPr>
            <w:tcW w:w="476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2100" w:type="dxa"/>
            <w:vAlign w:val="bottom"/>
            <w:gridSpan w:val="2"/>
          </w:tcPr>
          <w:p>
            <w:pPr>
              <w:jc w:val="center"/>
              <w:ind w:right="140"/>
              <w:spacing w:after="0" w:line="193" w:lineRule="exact"/>
              <w:rPr>
                <w:sz w:val="20"/>
                <w:szCs w:val="20"/>
                <w:color w:val="auto"/>
              </w:rPr>
            </w:pPr>
            <w:r>
              <w:rPr>
                <w:rFonts w:ascii="Times New Roman" w:cs="Times New Roman" w:eastAsia="Times New Roman" w:hAnsi="Times New Roman"/>
                <w:sz w:val="17"/>
                <w:szCs w:val="17"/>
                <w:b w:val="1"/>
                <w:bCs w:val="1"/>
                <w:color w:val="auto"/>
              </w:rPr>
              <w:t>EMBC</w:t>
            </w:r>
          </w:p>
        </w:tc>
        <w:tc>
          <w:tcPr>
            <w:tcW w:w="436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rPr>
              <w:t>The Nasdaq Stock Market LLC (Nasdaq Global Select</w:t>
            </w:r>
          </w:p>
        </w:tc>
      </w:tr>
      <w:tr>
        <w:trPr>
          <w:trHeight w:val="228"/>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Market)</w:t>
            </w:r>
          </w:p>
        </w:tc>
      </w:tr>
    </w:tbl>
    <w:p>
      <w:pPr>
        <w:spacing w:after="0" w:line="214" w:lineRule="exact"/>
        <w:rPr>
          <w:sz w:val="24"/>
          <w:szCs w:val="24"/>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31" w:lineRule="exact"/>
        <w:rPr>
          <w:sz w:val="24"/>
          <w:szCs w:val="24"/>
          <w:color w:val="auto"/>
        </w:rPr>
      </w:pPr>
    </w:p>
    <w:p>
      <w:pPr>
        <w:ind w:left="9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262890</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4"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November 26, 2024, Embecta Corp. (the “Company”) issued a press release (the “Earnings Release”) regarding its results for the quarter and fiscal year ended September 30, 2024. The Earnings Release is furnished as Exhibit 99.1 to this report.</w:t>
      </w:r>
    </w:p>
    <w:p>
      <w:pPr>
        <w:sectPr>
          <w:pgSz w:w="11900" w:h="16838" w:orient="portrait"/>
          <w:cols w:equalWidth="0" w:num="1">
            <w:col w:w="11240"/>
          </w:cols>
          <w:pgMar w:left="320" w:top="1388" w:right="339" w:bottom="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22, 2024, the Company’s Board of Directors approved a plan to discontinue internal and external investment in the research and development of its patch pump program. The Company will refocus its investment on its core business with the intent to optimize free cash flow and strengthen its balance sheet by paying down debt. As a result of this decision, the Company plans to undergo an organizational restructuring (the "Restructuring Plan"). In addition, the Company intends to discontinue its plans to manufacture and commercialize the insulin delivery system, including the previous intended limited launch.</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estimates that it will incur approximately $25 million - $30 million in pre-tax cash-based charges primarily associated with employee severance payments and benefits related to the workforce reduction. The Company also expects that the majority of the restructuring charges related to the workforce reduction will be incurred in the first quarter of fiscal 2025 and that the implementation of the workforce reduction, including cash payments, will be substantially complete by the end of the second quarter of fiscal year 2025.</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the Company estimates that it will incur approximately $10 million - $15 million of additional pre-tax non-cash charges related to asset impairments and asset write-offs. However, the Company has not yet completed its analysis of the expected additional pre-tax non-cash charges associated with the implementation of the Restructuring Plan.</w:t>
      </w:r>
    </w:p>
    <w:p>
      <w:pPr>
        <w:spacing w:after="0" w:line="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Investors should note that the estimates of the pre-tax cash charges and additional charges that the Company expects to incur in connection with the Restructuring Plan, and the timing thereof, are subject to a number of assumptions and actual amounts may differ materially from estimates. In addition, the Company may incur other pre-tax cash charges or additional charges not currently contemplated due to unanticipated events that may occur, including in connection with the implementation of the Restructuring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 Harbor Statement Regarding Forward-Looking Statements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This Current Report on Form 8-K contains express or implied “forward-looking statements” as that term is defined in the Private Securities Litigation Reform Act of 1995 and other securities laws. These forward-looking statements concern the Company’s current expectations regarding its future results from operations, performance, financial condition, goals, strategies, plans and achievements. These forward-looking statements are subject to various known and unknown risks, uncertainties and other factors, and you should not rely upon them except as statements of the Company’s present intentions and of its present expectations, which may or may not occur. When the Company uses words such as "believes," "expects," "anticipates," "estimates," "plans," "intends", “pursue”, “will”, “may” or similar expressions, it is making forward-looking statements. For example, the Company is using forward-looking statements when it discusses its plans to discontinue its patch pump program, concentrate its resources on its core business, optimize free cash flow and strengthen its balance sheet by paying down debt, its Restructuring Plan, its expected savings and expenses from its Restructuring Plan and the timing thereof. Although the Company believes that its forward-looking statements are based on reasonable assumptions, its expected results may not be achieved, and actual results may differ materially from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spacing w:after="0" w:line="245" w:lineRule="auto"/>
        <w:rPr>
          <w:sz w:val="20"/>
          <w:szCs w:val="20"/>
          <w:color w:val="auto"/>
        </w:rPr>
      </w:pPr>
      <w:r>
        <w:rPr>
          <w:rFonts w:ascii="Times New Roman" w:cs="Times New Roman" w:eastAsia="Times New Roman" w:hAnsi="Times New Roman"/>
          <w:sz w:val="17"/>
          <w:szCs w:val="17"/>
          <w:color w:val="auto"/>
        </w:rPr>
        <w:t>expectations. In addition, important factors that could cause actual results to differ from expectations include, among others: (i) competitive factors that could adversely affect the Company’s operations; (ii) any inability to extend or replace the services provided by Becton, Dickinson and Company (“BD”) under the transaction documents; (iii) any failure by BD to perform its obligations under the various separation agreements entered into in connection with the separation and distribution; (iv) any events that adversely affect the sale or profitability of the Company’s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 (ix) any new pandemics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the Company’s indebtedness; (xiii) the risk that ongoing dis-synergy costs, costs of restructuring and other costs incurred in connection with the separation from BD will exceed the Company’s estimates of these costs; (xiv) the risk that it will be more difficult than expected to effect the Company’s full separation from BD; (xv) expectations related to the costs, profitability, timing and the estimated financial impact of, and charges associated with, the Restructuring Plan announced, (xvi) risks associated with not completing strategic collaborative partnerships and acquisitions for innovative technologies, complementary product lines, and new markets; and (xvii) the other risks described in the Company’s periodic reports filed with the Securities and Exchange Commission, including under the caption “Risk Factors” in the Company’s most recent Annual Report on Form 10-K, as further updated by its Quarterly Reports on Form 10-Q the Company has filed or will file hereafter. Except as required by law, the Company undertakes no obligation to update any forward-looking statements appearing in this Current Report on Form 8-K.</w:t>
      </w:r>
    </w:p>
    <w:p>
      <w:pPr>
        <w:spacing w:after="0" w:line="38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furnished as an exhibit to this report:</w:t>
      </w:r>
    </w:p>
    <w:p>
      <w:pPr>
        <w:spacing w:after="0" w:line="29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7"/>
          <w:szCs w:val="17"/>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November 26, 2024.</w:t>
      </w:r>
    </w:p>
    <w:p>
      <w:pPr>
        <w:spacing w:after="0" w:line="30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EMBECTA CORP.</w:t>
      </w:r>
    </w:p>
    <w:p>
      <w:pPr>
        <w:spacing w:after="0" w:line="309" w:lineRule="exact"/>
        <w:rPr>
          <w:sz w:val="20"/>
          <w:szCs w:val="20"/>
          <w:color w:val="auto"/>
        </w:rPr>
      </w:pPr>
    </w:p>
    <w:p>
      <w:pPr>
        <w:ind w:left="20"/>
        <w:spacing w:after="0"/>
        <w:tabs>
          <w:tab w:leader="none" w:pos="5340" w:val="left"/>
          <w:tab w:leader="none" w:pos="5900" w:val="left"/>
        </w:tabs>
        <w:rPr>
          <w:sz w:val="20"/>
          <w:szCs w:val="20"/>
          <w:color w:val="auto"/>
        </w:rPr>
      </w:pPr>
      <w:r>
        <w:rPr>
          <w:rFonts w:ascii="Times New Roman" w:cs="Times New Roman" w:eastAsia="Times New Roman" w:hAnsi="Times New Roman"/>
          <w:sz w:val="17"/>
          <w:szCs w:val="17"/>
          <w:color w:val="auto"/>
        </w:rPr>
        <w:t>Dated: November 26,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27305</wp:posOffset>
            </wp:positionV>
            <wp:extent cx="3392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Jacob Elguicze</w:t>
      </w:r>
    </w:p>
    <w:p>
      <w:pPr>
        <w:spacing w:after="0" w:line="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9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424815</wp:posOffset>
            </wp:positionV>
            <wp:extent cx="1100455" cy="492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0455"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58" w:lineRule="auto"/>
        <w:rPr>
          <w:sz w:val="20"/>
          <w:szCs w:val="20"/>
          <w:color w:val="auto"/>
        </w:rPr>
      </w:pPr>
      <w:r>
        <w:rPr>
          <w:rFonts w:ascii="Arial" w:cs="Arial" w:eastAsia="Arial" w:hAnsi="Arial"/>
          <w:sz w:val="21"/>
          <w:szCs w:val="21"/>
          <w:b w:val="1"/>
          <w:bCs w:val="1"/>
          <w:color w:val="auto"/>
        </w:rPr>
        <w:t>Embecta Corp. Reports Fiscal 2024 Fourth Quarter and Full Year Financial Results; Provides Initial Fiscal Year 2025 Financial Guidance; Discontinues Insulin Patch Pump Program; and Announces Restructuring to Streamline Operations and Reduce Costs</w:t>
      </w:r>
    </w:p>
    <w:p>
      <w:pPr>
        <w:spacing w:after="0" w:line="200" w:lineRule="exact"/>
        <w:rPr>
          <w:sz w:val="20"/>
          <w:szCs w:val="20"/>
          <w:color w:val="auto"/>
        </w:rPr>
      </w:pP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PARSIPPANY, N.J., </w:t>
      </w:r>
      <w:r>
        <w:rPr>
          <w:rFonts w:ascii="Arial" w:cs="Arial" w:eastAsia="Arial" w:hAnsi="Arial"/>
          <w:sz w:val="16"/>
          <w:szCs w:val="16"/>
          <w:color w:val="auto"/>
        </w:rPr>
        <w:t>November 26, 2024 (GLOBE NEWSWIRE) – Embecta Corp. (“embecta” or the "Company") (Nasdaq: EMBC), a global diabetes care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today reported financial results for the three- and twelve-month periods ended September 30, 2024.</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pleased to report a strong fourth quarter and end to our fiscal year, as we once again delivered results that exceeded our expectations across key financial metrics. We continued to execute on our strategic priorities, and to date, our significant accomplishments include the successful transition of approximately 98% of our revenue to our own ERP system, shared service capabilities, and distribution infrastructure, with India remaining as our only deferred market. Additionally, the recent launch of our small-pack GLP-1 needles in Germany has gone well, and we are evaluating expanding into other markets," said Devdatt (Dev) Kurdikar, Chief Executive Officer of embecta.</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Mr. Kurdikar continued: "As our stand-up work nears completion and following an in-depth review of our portfolio and strategy, we have decided to discontinue our insulin patch pump program and initiate an organizational restructuring plan. We believe this approach will streamline operations, reduce costs and enhance our profitability and free cash flow profile. We intend to concentrate our resources on our core business and to prioritize our free cash flow towards paying down debt which we expect will give us the financial flexibility needed for future investments."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currently expects to incur total pre-tax charges of between $35 million and $45 million in fiscal year 2025 related to the restructuring plan, consisting of between $25 million and $30 million in pre-tax, cash charges for planned workforce reductions and other associated costs from the discontinuation of the patch pump program, and between $10 million and $15 million in pre-tax, non-cash charges for asset impairments and write-offs. Note, these preliminary estimates may be revised following the completion of the ongoing analysis of the expected additional pre-tax non-cash charges associated with the implementation of the restructuring plan.</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expects the restructuring plan to be substantially complete during the first half of fiscal year 2025 and expects the discontinuation of the patch pump program and organizational restructuring plan to generate annualized pre-tax cost savings of between $60 million and $65 million. Given the organizational restructuring plan, the Company has decided to postpone the previously announced Analyst &amp; Investor Day to Spring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9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Fourth Quarter Fiscal Year 2024 Financial Highlights</w:t>
      </w:r>
      <w:r>
        <w:rPr>
          <w:rFonts w:ascii="Arial" w:cs="Arial" w:eastAsia="Arial" w:hAnsi="Arial"/>
          <w:sz w:val="16"/>
          <w:szCs w:val="16"/>
          <w:b w:val="1"/>
          <w:bCs w:val="1"/>
          <w:color w:val="auto"/>
        </w:rPr>
        <w:t>:</w:t>
      </w:r>
    </w:p>
    <w:p>
      <w:pPr>
        <w:spacing w:after="0" w:line="152" w:lineRule="exact"/>
        <w:rPr>
          <w:sz w:val="20"/>
          <w:szCs w:val="20"/>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Reported Revenues of $286.1 million, up 1.5%;</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Revenues of $290.2 million, up 4.1% on an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U.S. revenues increased 10.3% on both a reported and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International revenues decreased 8.8% on a reported basis, and decreased 3.1% on an adjusted constant currency basis</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and margin of $173.8 million and 60.7%, compared to $181.8 million and 64.5%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gross profit and margin of $178.3 million and 61.4% compared to $182.6 million and 64.8% in the prior year period</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income and margin of $26.2 million and 9.2%, compared to $25.8 million and 9.2%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operating income and margin of $61.2 million and 21.1%, compared to $65.2 million and 23.1% in the prior year period</w:t>
      </w:r>
    </w:p>
    <w:p>
      <w:pPr>
        <w:spacing w:after="0" w:line="152" w:lineRule="exact"/>
        <w:rPr>
          <w:rFonts w:ascii="Arial" w:cs="Arial" w:eastAsia="Arial" w:hAnsi="Arial"/>
          <w:sz w:val="16"/>
          <w:szCs w:val="16"/>
          <w:color w:val="auto"/>
        </w:rPr>
      </w:pPr>
    </w:p>
    <w:p>
      <w:pPr>
        <w:ind w:left="620" w:hanging="306"/>
        <w:spacing w:after="0" w:line="295" w:lineRule="auto"/>
        <w:tabs>
          <w:tab w:leader="none" w:pos="613"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of $14.6 million and earnings per diluted share of $0.25. This compares to net income of $6.0 million and earnings per diluted share of $0.10 in the prior year period.</w:t>
      </w:r>
    </w:p>
    <w:p>
      <w:pPr>
        <w:spacing w:after="0" w:line="78" w:lineRule="exact"/>
        <w:rPr>
          <w:rFonts w:ascii="Arial" w:cs="Arial" w:eastAsia="Arial" w:hAnsi="Arial"/>
          <w:sz w:val="16"/>
          <w:szCs w:val="16"/>
          <w:color w:val="auto"/>
        </w:rPr>
      </w:pPr>
    </w:p>
    <w:p>
      <w:pPr>
        <w:ind w:left="620" w:hanging="306"/>
        <w:spacing w:after="0" w:line="267" w:lineRule="auto"/>
        <w:tabs>
          <w:tab w:leader="none" w:pos="613"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and adjusted earnings per diluted share of $25.9 million and $0.45, compared to $34.1 million and $0.59 in the prior year period</w:t>
      </w:r>
    </w:p>
    <w:p>
      <w:pPr>
        <w:spacing w:after="0" w:line="32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and margin of $73.0 million and 25.2%, compared to $79.6 million and 28.2%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a dividend of $0.15 per share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Twelve Months Ended September 30 Fiscal Year 2024 Financial Highlights</w:t>
      </w:r>
      <w:r>
        <w:rPr>
          <w:rFonts w:ascii="Arial" w:cs="Arial" w:eastAsia="Arial" w:hAnsi="Arial"/>
          <w:sz w:val="16"/>
          <w:szCs w:val="16"/>
          <w:b w:val="1"/>
          <w:bCs w:val="1"/>
          <w:color w:val="auto"/>
        </w:rPr>
        <w:t>:</w:t>
      </w:r>
    </w:p>
    <w:p>
      <w:pPr>
        <w:spacing w:after="0" w:line="165" w:lineRule="exact"/>
        <w:rPr>
          <w:sz w:val="20"/>
          <w:szCs w:val="20"/>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Reported Revenues of $1,123.1 million, up 0.2%;</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Revenues of $1,127.2 million, up 1.1% on an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U.S. revenues increased 1.0% on both a reported and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International revenues decreased 0.7% on a reported basis, and increased 1.3% on an adjusted constant currency basis</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and margin of $735.2 million and 65.5%, compared to $749.9 million and 66.9%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gross profit and margin of $740.7 million and 65.7%, compared to $751.2 million and 67.0% in the prior year period</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 and margin of $166.8 million and 14.9%, compared to $221.5 million and 19.8%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operating income and margin of $296.9 million and 26.3%, compared to $331.5 million and 29.6% in the prior year period</w:t>
      </w:r>
    </w:p>
    <w:p>
      <w:pPr>
        <w:spacing w:after="0" w:line="152" w:lineRule="exact"/>
        <w:rPr>
          <w:rFonts w:ascii="Arial" w:cs="Arial" w:eastAsia="Arial" w:hAnsi="Arial"/>
          <w:sz w:val="16"/>
          <w:szCs w:val="16"/>
          <w:color w:val="auto"/>
        </w:rPr>
      </w:pPr>
    </w:p>
    <w:p>
      <w:pPr>
        <w:ind w:left="620" w:hanging="306"/>
        <w:spacing w:after="0" w:line="295" w:lineRule="auto"/>
        <w:tabs>
          <w:tab w:leader="none" w:pos="613"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and earnings per diluted share of $78.3 million and $1.34, respectively. This compares to net income and earnings per diluted share of $70.4 million and $1.22, respectively, in the prior year period.</w:t>
      </w:r>
    </w:p>
    <w:p>
      <w:pPr>
        <w:spacing w:after="0" w:line="90" w:lineRule="exact"/>
        <w:rPr>
          <w:rFonts w:ascii="Arial" w:cs="Arial" w:eastAsia="Arial" w:hAnsi="Arial"/>
          <w:sz w:val="16"/>
          <w:szCs w:val="16"/>
          <w:color w:val="auto"/>
        </w:rPr>
      </w:pPr>
    </w:p>
    <w:p>
      <w:pPr>
        <w:ind w:left="620" w:hanging="306"/>
        <w:spacing w:after="0" w:line="278" w:lineRule="auto"/>
        <w:tabs>
          <w:tab w:leader="none" w:pos="613"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net income and adjusted earnings per diluted share of $143.1 million and $2.45, compared to $172.6 million and $2.99 in the prior year period</w:t>
      </w:r>
    </w:p>
    <w:p>
      <w:pPr>
        <w:spacing w:after="0" w:line="104"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and margin of $353.4 million and 31.4%, compared to $378.7 million and 33.8%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127"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6"/>
          <w:szCs w:val="16"/>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 Adjusted constant currency basis, as we present them, may not be comparable to similarly titled measures used by other companies and are not measures of performance presented in accordance with GAAP.</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Fourth Quarter Fiscal Year 2024 Results:</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Revenues by geographic region are as follows: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0"/>
          </w:tcPr>
          <w:p>
            <w:pPr>
              <w:ind w:left="68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14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 Increase/(Decrease)</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r>
      <w:tr>
        <w:trPr>
          <w:trHeight w:val="165"/>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4"/>
                <w:szCs w:val="14"/>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Reported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5"/>
              </w:rPr>
              <w:t>Revenue</w:t>
            </w:r>
          </w:p>
        </w:tc>
        <w:tc>
          <w:tcPr>
            <w:tcW w:w="9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Adjustment</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Revenue</w:t>
            </w:r>
          </w:p>
        </w:tc>
        <w:tc>
          <w:tcPr>
            <w:tcW w:w="20" w:type="dxa"/>
            <w:vAlign w:val="bottom"/>
          </w:tcPr>
          <w:p>
            <w:pPr>
              <w:spacing w:after="0"/>
              <w:rPr>
                <w:sz w:val="13"/>
                <w:szCs w:val="13"/>
                <w:color w:val="auto"/>
              </w:rPr>
            </w:pPr>
          </w:p>
        </w:tc>
      </w:tr>
      <w:tr>
        <w:trPr>
          <w:trHeight w:val="203"/>
        </w:trPr>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Growth</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Impact</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7"/>
                <w:szCs w:val="17"/>
                <w:color w:val="auto"/>
              </w:rPr>
            </w:pPr>
          </w:p>
        </w:tc>
      </w:tr>
      <w:tr>
        <w:trPr>
          <w:trHeight w:val="165"/>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Adjustment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7"/>
                <w:szCs w:val="17"/>
                <w:color w:val="auto"/>
              </w:rPr>
            </w:pPr>
          </w:p>
        </w:tc>
      </w:tr>
      <w:tr>
        <w:trPr>
          <w:trHeight w:val="233"/>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International</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(8.8)</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(2.6)</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(3.1)</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(3.1)</w:t>
            </w:r>
          </w:p>
        </w:tc>
        <w:tc>
          <w:tcPr>
            <w:tcW w:w="20" w:type="dxa"/>
            <w:vAlign w:val="bottom"/>
          </w:tcPr>
          <w:p>
            <w:pPr>
              <w:spacing w:after="0"/>
              <w:rPr>
                <w:sz w:val="20"/>
                <w:szCs w:val="20"/>
                <w:color w:val="auto"/>
              </w:rPr>
            </w:pPr>
          </w:p>
        </w:tc>
      </w:tr>
      <w:tr>
        <w:trPr>
          <w:trHeight w:val="260"/>
        </w:trPr>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286.1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(1.2)%</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(1.4)%</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22"/>
                <w:szCs w:val="2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Revenues by product family are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 Increase/(Decrease)</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Reported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Revenue</w:t>
            </w:r>
          </w:p>
        </w:tc>
        <w:tc>
          <w:tcPr>
            <w:tcW w:w="9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Currency</w:t>
            </w:r>
          </w:p>
        </w:tc>
        <w:tc>
          <w:tcPr>
            <w:tcW w:w="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Adjustment</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Impact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211.1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(0.9)%</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8"/>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0"/>
              <w:spacing w:after="0"/>
              <w:rPr>
                <w:sz w:val="20"/>
                <w:szCs w:val="20"/>
                <w:color w:val="auto"/>
              </w:rPr>
            </w:pPr>
            <w:r>
              <w:rPr>
                <w:rFonts w:ascii="Arial" w:cs="Arial" w:eastAsia="Arial" w:hAnsi="Arial"/>
                <w:sz w:val="14"/>
                <w:szCs w:val="14"/>
                <w:color w:val="auto"/>
              </w:rPr>
              <w:t>Syringes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33.2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(3.3)</w:t>
            </w: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(107.7)</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(5.1)</w:t>
            </w:r>
          </w:p>
        </w:tc>
        <w:tc>
          <w:tcPr>
            <w:tcW w:w="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(102.6)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95.8</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56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286.1</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290.2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281.9</w:t>
            </w:r>
          </w:p>
        </w:tc>
        <w:tc>
          <w:tcPr>
            <w:tcW w:w="6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1.5%</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(1.2)%</w:t>
            </w:r>
          </w:p>
        </w:tc>
        <w:tc>
          <w:tcPr>
            <w:tcW w:w="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164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3"/>
        <w:spacing w:after="0" w:line="184" w:lineRule="auto"/>
        <w:tabs>
          <w:tab w:leader="none" w:pos="119" w:val="left"/>
        </w:tabs>
        <w:numPr>
          <w:ilvl w:val="0"/>
          <w:numId w:val="5"/>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In 2024, International includes the recognition of incremental Italian payback accruals resulting from the two July 22, 2024 rulings by the Constitutional Court of Italy relating to certain prior years since 2015 in order to arrive at Adjusted Revenues.</w:t>
      </w:r>
    </w:p>
    <w:p>
      <w:pPr>
        <w:spacing w:after="0" w:line="1" w:lineRule="exact"/>
        <w:rPr>
          <w:rFonts w:ascii="Times New Roman" w:cs="Times New Roman" w:eastAsia="Times New Roman" w:hAnsi="Times New Roman"/>
          <w:sz w:val="25"/>
          <w:szCs w:val="25"/>
          <w:color w:val="auto"/>
          <w:vertAlign w:val="superscript"/>
        </w:rPr>
      </w:pPr>
    </w:p>
    <w:p>
      <w:pPr>
        <w:spacing w:after="0" w:line="187"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vertAlign w:val="superscript"/>
        </w:rPr>
        <w:t>2</w:t>
      </w:r>
      <w:r>
        <w:rPr>
          <w:rFonts w:ascii="Arial" w:cs="Arial" w:eastAsia="Arial" w:hAnsi="Arial"/>
          <w:sz w:val="11"/>
          <w:szCs w:val="11"/>
          <w:color w:val="auto"/>
        </w:rPr>
        <w:t xml:space="preserve"> Other includes product revenue for swabs and other accessories. In 2024, Other reflects the recognition of incremental Italian payback accruals resulting from the two July 22, 2024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rulings by the Constitutional Court of Italy relating to certain prior years since 2015 in order to arrive at Adjusted Revenues.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94" w:right="339" w:bottom="1440" w:gutter="0" w:footer="0" w:header="0"/>
        </w:sectPr>
      </w:pPr>
    </w:p>
    <w:bookmarkStart w:id="7" w:name="page8"/>
    <w:bookmarkEnd w:id="7"/>
    <w:p>
      <w:pPr>
        <w:jc w:val="both"/>
        <w:ind w:right="100"/>
        <w:spacing w:after="0" w:line="246" w:lineRule="auto"/>
        <w:rPr>
          <w:sz w:val="20"/>
          <w:szCs w:val="20"/>
          <w:color w:val="auto"/>
        </w:rPr>
      </w:pPr>
      <w:r>
        <w:rPr>
          <w:rFonts w:ascii="Arial" w:cs="Arial" w:eastAsia="Arial" w:hAnsi="Arial"/>
          <w:sz w:val="16"/>
          <w:szCs w:val="16"/>
          <w:color w:val="auto"/>
        </w:rPr>
        <w:t>Our revenues increased by $4.2 million, or 1.5%, to $286.1 million for the fourth quarter of 2024 as compared to revenues of $281.9 million for the fourth quarter of 2023. Changes in our revenues are driven by the volume of goods that we sell, the prices we negotiate with customers and changes in foreign exchange rates. The increase in revenues was driven by $13.7 associated with favorable changes in price and a $2.3 increase in contract manufacturing revenues related to sales of non-diabetes products to BD. This was partially offset by $5.3 million of unfavorable gross-to-net adjustments primarily attributed to the recognition of incremental Italian payback accruals resulting from the two July 22, 2024 rulings by the Constitutional Court of Italy, $3.4 million associated with the negative impact of foreign currency translation primarily due to the strengthening of the U.S. dollar, and $3.1 million of unfavorable changes in volume.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Twelve Months Fiscal Year 2024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Revenues by geographic region are as follows: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Twelve months ended September 30,</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 Increase/(Decrease)</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7"/>
              </w:rPr>
              <w:t>Reported</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5"/>
              </w:rPr>
              <w:t>Revenue</w:t>
            </w:r>
          </w:p>
        </w:tc>
        <w:tc>
          <w:tcPr>
            <w:tcW w:w="9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Adjustment</w:t>
            </w: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Growth</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Impact</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601.4</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International</w:t>
            </w:r>
            <w:r>
              <w:rPr>
                <w:rFonts w:ascii="Arial" w:cs="Arial" w:eastAsia="Arial" w:hAnsi="Arial"/>
                <w:sz w:val="8"/>
                <w:szCs w:val="8"/>
                <w:color w:val="auto"/>
              </w:rPr>
              <w:t>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519.4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(0.7)</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(1.2)</w:t>
            </w:r>
          </w:p>
        </w:tc>
        <w:tc>
          <w:tcPr>
            <w:tcW w:w="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1,127.2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1,120.8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(0.5)%</w:t>
            </w: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Revenues by product family are as follows: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Twelve months ended September 30,</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8"/>
        </w:trPr>
        <w:tc>
          <w:tcPr>
            <w:tcW w:w="1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 Increase/(Decrease)</w:t>
            </w:r>
          </w:p>
        </w:tc>
        <w:tc>
          <w:tcPr>
            <w:tcW w:w="580" w:type="dxa"/>
            <w:vAlign w:val="bottom"/>
            <w:tcBorders>
              <w:bottom w:val="single" w:sz="8" w:color="auto"/>
            </w:tcBorders>
          </w:tcPr>
          <w:p>
            <w:pPr>
              <w:spacing w:after="0"/>
              <w:rPr>
                <w:sz w:val="16"/>
                <w:szCs w:val="16"/>
                <w:color w:val="auto"/>
              </w:rPr>
            </w:pPr>
          </w:p>
        </w:tc>
      </w:tr>
      <w:tr>
        <w:trPr>
          <w:trHeight w:val="165"/>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151"/>
              <w:spacing w:after="0"/>
              <w:rPr>
                <w:sz w:val="20"/>
                <w:szCs w:val="20"/>
                <w:color w:val="auto"/>
              </w:rPr>
            </w:pPr>
            <w:r>
              <w:rPr>
                <w:rFonts w:ascii="Arial" w:cs="Arial" w:eastAsia="Arial" w:hAnsi="Arial"/>
                <w:sz w:val="14"/>
                <w:szCs w:val="14"/>
                <w:b w:val="1"/>
                <w:bCs w:val="1"/>
                <w:color w:val="auto"/>
                <w:w w:val="92"/>
              </w:rPr>
              <w:t>Adjus</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left="131"/>
              <w:spacing w:after="0" w:line="155" w:lineRule="exact"/>
              <w:rPr>
                <w:sz w:val="20"/>
                <w:szCs w:val="20"/>
                <w:color w:val="auto"/>
              </w:rPr>
            </w:pPr>
            <w:r>
              <w:rPr>
                <w:rFonts w:ascii="Arial" w:cs="Arial" w:eastAsia="Arial" w:hAnsi="Arial"/>
                <w:sz w:val="14"/>
                <w:szCs w:val="14"/>
                <w:b w:val="1"/>
                <w:bCs w:val="1"/>
                <w:color w:val="auto"/>
                <w:w w:val="97"/>
              </w:rPr>
              <w:t>Cons</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Reported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left="151"/>
              <w:spacing w:after="0" w:line="155" w:lineRule="exact"/>
              <w:rPr>
                <w:sz w:val="20"/>
                <w:szCs w:val="20"/>
                <w:color w:val="auto"/>
              </w:rPr>
            </w:pPr>
            <w:r>
              <w:rPr>
                <w:rFonts w:ascii="Arial" w:cs="Arial" w:eastAsia="Arial" w:hAnsi="Arial"/>
                <w:sz w:val="14"/>
                <w:szCs w:val="14"/>
                <w:b w:val="1"/>
                <w:bCs w:val="1"/>
                <w:color w:val="auto"/>
                <w:w w:val="96"/>
              </w:rPr>
              <w:t>Curre</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Revenue</w:t>
            </w:r>
          </w:p>
        </w:tc>
        <w:tc>
          <w:tcPr>
            <w:tcW w:w="9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Currency</w:t>
            </w:r>
          </w:p>
        </w:tc>
        <w:tc>
          <w:tcPr>
            <w:tcW w:w="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Adjustment</w:t>
            </w:r>
          </w:p>
        </w:tc>
        <w:tc>
          <w:tcPr>
            <w:tcW w:w="580" w:type="dxa"/>
            <w:vAlign w:val="bottom"/>
          </w:tcPr>
          <w:p>
            <w:pPr>
              <w:jc w:val="center"/>
              <w:ind w:left="151"/>
              <w:spacing w:after="0" w:line="155" w:lineRule="exact"/>
              <w:rPr>
                <w:sz w:val="20"/>
                <w:szCs w:val="20"/>
                <w:color w:val="auto"/>
              </w:rPr>
            </w:pPr>
            <w:r>
              <w:rPr>
                <w:rFonts w:ascii="Arial" w:cs="Arial" w:eastAsia="Arial" w:hAnsi="Arial"/>
                <w:sz w:val="14"/>
                <w:szCs w:val="14"/>
                <w:b w:val="1"/>
                <w:bCs w:val="1"/>
                <w:color w:val="auto"/>
                <w:w w:val="95"/>
              </w:rPr>
              <w:t>Reve</w:t>
            </w:r>
          </w:p>
        </w:tc>
      </w:tr>
      <w:tr>
        <w:trPr>
          <w:trHeight w:val="203"/>
        </w:trPr>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Growth</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Impact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580" w:type="dxa"/>
            <w:vAlign w:val="bottom"/>
          </w:tcPr>
          <w:p>
            <w:pPr>
              <w:jc w:val="center"/>
              <w:ind w:left="151"/>
              <w:spacing w:after="0"/>
              <w:rPr>
                <w:sz w:val="20"/>
                <w:szCs w:val="20"/>
                <w:color w:val="auto"/>
              </w:rPr>
            </w:pPr>
            <w:r>
              <w:rPr>
                <w:rFonts w:ascii="Arial" w:cs="Arial" w:eastAsia="Arial" w:hAnsi="Arial"/>
                <w:sz w:val="14"/>
                <w:szCs w:val="14"/>
                <w:b w:val="1"/>
                <w:bCs w:val="1"/>
                <w:color w:val="auto"/>
                <w:w w:val="96"/>
              </w:rPr>
              <w:t>Gro</w:t>
            </w:r>
          </w:p>
        </w:tc>
      </w:tr>
      <w:tr>
        <w:trPr>
          <w:trHeight w:val="165"/>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0"/>
        </w:trPr>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01"/>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(0.8)%</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Syringes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138.1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(8.6)</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1"/>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33"/>
        </w:trPr>
        <w:tc>
          <w:tcPr>
            <w:tcW w:w="160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(27.5)</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(28.2)</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(1.5)</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1,123.1</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1,127.2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1,120.8</w:t>
            </w:r>
          </w:p>
        </w:tc>
        <w:tc>
          <w:tcPr>
            <w:tcW w:w="8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1,120.8</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0.2%</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(0.5)%</w:t>
            </w:r>
          </w:p>
        </w:tc>
        <w:tc>
          <w:tcPr>
            <w:tcW w:w="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755650</wp:posOffset>
            </wp:positionV>
            <wp:extent cx="164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3"/>
        <w:spacing w:after="0" w:line="184" w:lineRule="auto"/>
        <w:tabs>
          <w:tab w:leader="none" w:pos="119" w:val="left"/>
        </w:tabs>
        <w:numPr>
          <w:ilvl w:val="0"/>
          <w:numId w:val="6"/>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In 2024, International includes the recognition of incremental Italian payback accruals resulting from the two July 22, 2024 rulings by the Constitutional Court of Italy relating to certain prior years since 2015 in order to arrive at Adjusted Revenues.</w:t>
      </w:r>
    </w:p>
    <w:p>
      <w:pPr>
        <w:spacing w:after="0" w:line="1" w:lineRule="exact"/>
        <w:rPr>
          <w:rFonts w:ascii="Times New Roman" w:cs="Times New Roman" w:eastAsia="Times New Roman" w:hAnsi="Times New Roman"/>
          <w:sz w:val="25"/>
          <w:szCs w:val="25"/>
          <w:color w:val="auto"/>
          <w:vertAlign w:val="superscript"/>
        </w:rPr>
      </w:pPr>
    </w:p>
    <w:p>
      <w:pPr>
        <w:ind w:right="440"/>
        <w:spacing w:after="0" w:line="184"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Arial" w:cs="Arial" w:eastAsia="Arial" w:hAnsi="Arial"/>
          <w:sz w:val="13"/>
          <w:szCs w:val="13"/>
          <w:color w:val="auto"/>
        </w:rPr>
        <w:t xml:space="preserve"> Other includes product sales for swabs and other accessories. In 2024, Other reflects the recognition of incremental Italian payback accruals resulting from the two July 22, 2024 rulings by the Constitutional Court of Italy relating to certain prior years since 2015 in order to arrive at Adjusted Revenues.</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40"/>
          </w:cols>
          <w:pgMar w:left="320" w:top="73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Our revenues increased by $2.3 million, or 0.2%, to $1,123.1 million for the year ended September 30, 2024 as compared to revenues of $1,120.8 million</w:t>
      </w:r>
    </w:p>
    <w:p>
      <w:pPr>
        <w:spacing w:after="0" w:line="210" w:lineRule="auto"/>
        <w:rPr>
          <w:sz w:val="20"/>
          <w:szCs w:val="20"/>
          <w:color w:val="auto"/>
        </w:rPr>
      </w:pPr>
      <w:r>
        <w:rPr>
          <w:rFonts w:ascii="Arial" w:cs="Arial" w:eastAsia="Arial" w:hAnsi="Arial"/>
          <w:sz w:val="16"/>
          <w:szCs w:val="16"/>
          <w:color w:val="auto"/>
        </w:rPr>
        <w:t>for the year ended September 30, 2023. The increase in revenues was primarily driven by $27.7 million associated with favorable changes in price. This was partially offset by $14.5 million of unfavorable changes in volume, $6.1 million associated with the negative impact of foreign currency translation</w:t>
      </w:r>
    </w:p>
    <w:p>
      <w:pPr>
        <w:spacing w:after="0" w:line="221" w:lineRule="auto"/>
        <w:rPr>
          <w:sz w:val="20"/>
          <w:szCs w:val="20"/>
          <w:color w:val="auto"/>
        </w:rPr>
      </w:pPr>
      <w:r>
        <w:rPr>
          <w:rFonts w:ascii="Arial" w:cs="Arial" w:eastAsia="Arial" w:hAnsi="Arial"/>
          <w:sz w:val="16"/>
          <w:szCs w:val="16"/>
          <w:color w:val="auto"/>
        </w:rPr>
        <w:t>primarily due to the strengthening of the U.S. dollar, $4.6 million of unfavorable gross-to-net adjustments primarily attributed to the recognition of</w:t>
      </w:r>
    </w:p>
    <w:p>
      <w:pPr>
        <w:spacing w:after="0" w:line="231" w:lineRule="auto"/>
        <w:rPr>
          <w:sz w:val="20"/>
          <w:szCs w:val="20"/>
          <w:color w:val="auto"/>
        </w:rPr>
      </w:pPr>
      <w:r>
        <w:rPr>
          <w:rFonts w:ascii="Arial" w:cs="Arial" w:eastAsia="Arial" w:hAnsi="Arial"/>
          <w:sz w:val="16"/>
          <w:szCs w:val="16"/>
          <w:color w:val="auto"/>
        </w:rPr>
        <w:t>incremental Italian payback accruals resulting from the two July 22, 2024 rulings by the Constitutional Court of Italy, and a $0.2 million decrease in contract manufacturing revenues related to sales of non-diabetes products to BD.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Preliminary Fiscal Year 2025 Financial Guidance: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2025, excluding the patch pump program, the Company expects:</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3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$1,093 - $1,110</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560" w:type="dxa"/>
            <w:vAlign w:val="bottom"/>
          </w:tcPr>
          <w:p>
            <w:pPr>
              <w:ind w:left="20"/>
              <w:spacing w:after="0"/>
              <w:rPr>
                <w:sz w:val="20"/>
                <w:szCs w:val="20"/>
                <w:color w:val="auto"/>
              </w:rPr>
            </w:pPr>
            <w:r>
              <w:rPr>
                <w:rFonts w:ascii="Arial" w:cs="Arial" w:eastAsia="Arial" w:hAnsi="Arial"/>
                <w:sz w:val="16"/>
                <w:szCs w:val="16"/>
                <w:color w:val="auto"/>
              </w:rPr>
              <w:t>- (1.2)%</w:t>
            </w:r>
          </w:p>
        </w:tc>
      </w:tr>
      <w:tr>
        <w:trPr>
          <w:trHeight w:val="208"/>
        </w:trPr>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Impact of F/X (%)</w:t>
            </w:r>
          </w:p>
        </w:tc>
        <w:tc>
          <w:tcPr>
            <w:tcW w:w="304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3"/>
              </w:rPr>
              <w:t>(0.6)%</w:t>
            </w:r>
          </w:p>
        </w:tc>
      </w:tr>
      <w:tr>
        <w:trPr>
          <w:trHeight w:val="207"/>
        </w:trPr>
        <w:tc>
          <w:tcPr>
            <w:tcW w:w="8080" w:type="dxa"/>
            <w:vAlign w:val="bottom"/>
            <w:gridSpan w:val="2"/>
          </w:tcPr>
          <w:p>
            <w:pPr>
              <w:ind w:left="120"/>
              <w:spacing w:after="0" w:line="207"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0"/>
                <w:szCs w:val="20"/>
                <w:i w:val="1"/>
                <w:iCs w:val="1"/>
                <w:color w:val="auto"/>
                <w:vertAlign w:val="superscript"/>
              </w:rPr>
              <w:t>(1)</w:t>
            </w:r>
            <w:r>
              <w:rPr>
                <w:rFonts w:ascii="Arial" w:cs="Arial" w:eastAsia="Arial" w:hAnsi="Arial"/>
                <w:sz w:val="16"/>
                <w:szCs w:val="16"/>
                <w:i w:val="1"/>
                <w:iCs w:val="1"/>
                <w:color w:val="auto"/>
              </w:rPr>
              <w:t xml:space="preserve"> (%)</w:t>
            </w:r>
          </w:p>
        </w:tc>
        <w:tc>
          <w:tcPr>
            <w:tcW w:w="3040" w:type="dxa"/>
            <w:vAlign w:val="bottom"/>
            <w:gridSpan w:val="2"/>
          </w:tcPr>
          <w:p>
            <w:pPr>
              <w:jc w:val="center"/>
              <w:spacing w:after="0"/>
              <w:rPr>
                <w:sz w:val="20"/>
                <w:szCs w:val="20"/>
                <w:color w:val="auto"/>
              </w:rPr>
            </w:pPr>
            <w:r>
              <w:rPr>
                <w:rFonts w:ascii="Arial" w:cs="Arial" w:eastAsia="Arial" w:hAnsi="Arial"/>
                <w:sz w:val="16"/>
                <w:szCs w:val="16"/>
                <w:i w:val="1"/>
                <w:iCs w:val="1"/>
                <w:color w:val="auto"/>
                <w:w w:val="98"/>
              </w:rPr>
              <w:t>0.4%</w:t>
            </w:r>
          </w:p>
        </w:tc>
      </w:tr>
      <w:tr>
        <w:trPr>
          <w:trHeight w:val="20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1480" w:type="dxa"/>
            <w:vAlign w:val="bottom"/>
          </w:tcPr>
          <w:p>
            <w:pPr>
              <w:jc w:val="right"/>
              <w:spacing w:after="0"/>
              <w:rPr>
                <w:sz w:val="20"/>
                <w:szCs w:val="20"/>
                <w:color w:val="auto"/>
              </w:rPr>
            </w:pPr>
            <w:r>
              <w:rPr>
                <w:rFonts w:ascii="Arial" w:cs="Arial" w:eastAsia="Arial" w:hAnsi="Arial"/>
                <w:sz w:val="16"/>
                <w:szCs w:val="16"/>
                <w:color w:val="auto"/>
              </w:rPr>
              <w:t>63.25%</w:t>
            </w:r>
          </w:p>
        </w:tc>
        <w:tc>
          <w:tcPr>
            <w:tcW w:w="1560" w:type="dxa"/>
            <w:vAlign w:val="bottom"/>
          </w:tcPr>
          <w:p>
            <w:pPr>
              <w:ind w:left="20"/>
              <w:spacing w:after="0"/>
              <w:rPr>
                <w:sz w:val="20"/>
                <w:szCs w:val="20"/>
                <w:color w:val="auto"/>
              </w:rPr>
            </w:pPr>
            <w:r>
              <w:rPr>
                <w:rFonts w:ascii="Arial" w:cs="Arial" w:eastAsia="Arial" w:hAnsi="Arial"/>
                <w:sz w:val="16"/>
                <w:szCs w:val="16"/>
                <w:color w:val="auto"/>
              </w:rPr>
              <w:t>- 64.25%</w:t>
            </w:r>
          </w:p>
        </w:tc>
      </w:tr>
      <w:tr>
        <w:trPr>
          <w:trHeight w:val="208"/>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- 30.00%</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1480" w:type="dxa"/>
            <w:vAlign w:val="bottom"/>
          </w:tcPr>
          <w:p>
            <w:pPr>
              <w:jc w:val="right"/>
              <w:spacing w:after="0"/>
              <w:rPr>
                <w:sz w:val="20"/>
                <w:szCs w:val="20"/>
                <w:color w:val="auto"/>
              </w:rPr>
            </w:pPr>
            <w:r>
              <w:rPr>
                <w:rFonts w:ascii="Arial" w:cs="Arial" w:eastAsia="Arial" w:hAnsi="Arial"/>
                <w:sz w:val="16"/>
                <w:szCs w:val="16"/>
                <w:color w:val="auto"/>
              </w:rPr>
              <w:t>$2.70</w:t>
            </w:r>
          </w:p>
        </w:tc>
        <w:tc>
          <w:tcPr>
            <w:tcW w:w="1560" w:type="dxa"/>
            <w:vAlign w:val="bottom"/>
          </w:tcPr>
          <w:p>
            <w:pPr>
              <w:ind w:left="20"/>
              <w:spacing w:after="0"/>
              <w:rPr>
                <w:sz w:val="20"/>
                <w:szCs w:val="20"/>
                <w:color w:val="auto"/>
              </w:rPr>
            </w:pPr>
            <w:r>
              <w:rPr>
                <w:rFonts w:ascii="Arial" w:cs="Arial" w:eastAsia="Arial" w:hAnsi="Arial"/>
                <w:sz w:val="16"/>
                <w:szCs w:val="16"/>
                <w:color w:val="auto"/>
              </w:rPr>
              <w:t>- $2.90</w:t>
            </w:r>
          </w:p>
        </w:tc>
      </w:tr>
      <w:tr>
        <w:trPr>
          <w:trHeight w:val="208"/>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- 36.50%</w:t>
            </w:r>
          </w:p>
        </w:tc>
      </w:tr>
    </w:tbl>
    <w:p>
      <w:pPr>
        <w:spacing w:after="0" w:line="303" w:lineRule="exact"/>
        <w:rPr>
          <w:sz w:val="20"/>
          <w:szCs w:val="20"/>
          <w:color w:val="auto"/>
        </w:rPr>
      </w:pPr>
    </w:p>
    <w:p>
      <w:pPr>
        <w:ind w:left="460" w:hanging="356"/>
        <w:spacing w:after="0" w:line="260" w:lineRule="auto"/>
        <w:tabs>
          <w:tab w:leader="none" w:pos="45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unable to present a quantitative reconciliation of our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Balance sheet, Liquidity and Other Updates</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the fourth quarter, the Company paid an aggregate principal amount of approximately $27.4 million outstanding under its term loan B facility that had an interest rate of 300 basis points over the secured overnight financing rate (“SOFR”), with a 0.50% SOFR floor.</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As of September 30, 2024, the Company had $274.2 million in cash and equivalents and restricted cash and $1.601 billion of debt principal outstanding, and no amount drawn on its $500 million Revolving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Board of Directors declared a quarterly cash dividend of $0.15 for each issued and outstanding share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dividend is payable on December 18, 2024 to stockholders of record at the close of business on December 6, 2024.</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Fiscal 2024 Fourth Quarter and Full Year Earnings Conference Call:</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Management will host a conference call at 8:00 a.m. Eastern Time (ET) on November 26, 2024 to discuss the results of the quarter and full year, provide an update on its business, and host a question and answer session. Those who would like to participate may access the live webcast </w:t>
      </w:r>
      <w:r>
        <w:rPr>
          <w:rFonts w:ascii="Arial" w:cs="Arial" w:eastAsia="Arial" w:hAnsi="Arial"/>
          <w:sz w:val="16"/>
          <w:szCs w:val="16"/>
          <w:color w:val="0000FF"/>
        </w:rPr>
        <w:t>here</w:t>
      </w:r>
      <w:r>
        <w:rPr>
          <w:rFonts w:ascii="Arial" w:cs="Arial" w:eastAsia="Arial" w:hAnsi="Arial"/>
          <w:sz w:val="16"/>
          <w:szCs w:val="16"/>
          <w:color w:val="auto"/>
        </w:rPr>
        <w:t>, or access the</w:t>
      </w:r>
    </w:p>
    <w:p>
      <w:pPr>
        <w:spacing w:after="0"/>
        <w:rPr>
          <w:sz w:val="20"/>
          <w:szCs w:val="20"/>
          <w:color w:val="auto"/>
        </w:rPr>
      </w:pPr>
      <w:r>
        <w:rPr>
          <w:rFonts w:ascii="Arial" w:cs="Arial" w:eastAsia="Arial" w:hAnsi="Arial"/>
          <w:sz w:val="16"/>
          <w:szCs w:val="16"/>
          <w:color w:val="auto"/>
        </w:rPr>
        <w:t xml:space="preserve">teleconference </w:t>
      </w:r>
      <w:r>
        <w:rPr>
          <w:rFonts w:ascii="Arial" w:cs="Arial" w:eastAsia="Arial" w:hAnsi="Arial"/>
          <w:sz w:val="16"/>
          <w:szCs w:val="16"/>
          <w:color w:val="0000FF"/>
        </w:rPr>
        <w:t>here</w:t>
      </w:r>
      <w:r>
        <w:rPr>
          <w:rFonts w:ascii="Arial" w:cs="Arial" w:eastAsia="Arial" w:hAnsi="Arial"/>
          <w:sz w:val="16"/>
          <w:szCs w:val="16"/>
          <w:color w:val="auto"/>
        </w:rPr>
        <w:t xml:space="preserve">. The live webcast can also be accessed via the Company’s website at </w:t>
      </w:r>
      <w:r>
        <w:rPr>
          <w:rFonts w:ascii="Arial" w:cs="Arial" w:eastAsia="Arial" w:hAnsi="Arial"/>
          <w:sz w:val="16"/>
          <w:szCs w:val="16"/>
          <w:color w:val="0000FF"/>
        </w:rPr>
        <w:t>investors.embecta.com</w:t>
      </w:r>
      <w:r>
        <w:rPr>
          <w:rFonts w:ascii="Arial" w:cs="Arial" w:eastAsia="Arial" w:hAnsi="Arial"/>
          <w:sz w:val="16"/>
          <w:szCs w:val="16"/>
          <w:color w:val="auto"/>
        </w:rPr>
        <w:t>.</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 webcast replay of the call will be available beginning at 11:00 a.m. ET on November 26, 2024, via the embecta investor relations website and archived on the website for one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Condensed Consolidated Statements of Income</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 except per share data)</w:t>
      </w: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2480" w:type="dxa"/>
            <w:vAlign w:val="bottom"/>
            <w:gridSpan w:val="4"/>
          </w:tcPr>
          <w:p>
            <w:pPr>
              <w:jc w:val="right"/>
              <w:ind w:right="142"/>
              <w:spacing w:after="0" w:line="168" w:lineRule="exact"/>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22"/>
              <w:spacing w:after="0" w:line="168" w:lineRule="exact"/>
              <w:rPr>
                <w:sz w:val="20"/>
                <w:szCs w:val="20"/>
                <w:color w:val="auto"/>
              </w:rPr>
            </w:pPr>
            <w:r>
              <w:rPr>
                <w:rFonts w:ascii="Arial" w:cs="Arial" w:eastAsia="Arial" w:hAnsi="Arial"/>
                <w:sz w:val="16"/>
                <w:szCs w:val="16"/>
                <w:b w:val="1"/>
                <w:bCs w:val="1"/>
                <w:color w:val="auto"/>
              </w:rPr>
              <w:t>Twelve Months Ended</w:t>
            </w:r>
          </w:p>
        </w:tc>
      </w:tr>
      <w:tr>
        <w:trPr>
          <w:trHeight w:val="207"/>
        </w:trPr>
        <w:tc>
          <w:tcPr>
            <w:tcW w:w="5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w w:val="98"/>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19"/>
        </w:trPr>
        <w:tc>
          <w:tcPr>
            <w:tcW w:w="50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220"/>
        </w:trPr>
        <w:tc>
          <w:tcPr>
            <w:tcW w:w="5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286.1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281.9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1,123.1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1,120.8</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370.9</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181.8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735.2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749.9</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365.1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341.3</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85.2</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99.4</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156.0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568.4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528.4</w:t>
            </w:r>
          </w:p>
        </w:tc>
      </w:tr>
      <w:tr>
        <w:trPr>
          <w:trHeight w:val="198"/>
        </w:trPr>
        <w:tc>
          <w:tcPr>
            <w:tcW w:w="5060" w:type="dxa"/>
            <w:vAlign w:val="bottom"/>
          </w:tcPr>
          <w:p>
            <w:pPr>
              <w:ind w:left="660"/>
              <w:spacing w:after="0"/>
              <w:rPr>
                <w:sz w:val="20"/>
                <w:szCs w:val="20"/>
                <w:color w:val="auto"/>
              </w:rPr>
            </w:pPr>
            <w:r>
              <w:rPr>
                <w:rFonts w:ascii="Arial" w:cs="Arial" w:eastAsia="Arial" w:hAnsi="Arial"/>
                <w:sz w:val="16"/>
                <w:szCs w:val="16"/>
                <w:color w:val="auto"/>
              </w:rPr>
              <w:t>Operating Income</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221.5</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105.7</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35.3</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70.4</w:t>
            </w:r>
          </w:p>
        </w:tc>
      </w:tr>
      <w:tr>
        <w:trPr>
          <w:trHeight w:val="187"/>
        </w:trPr>
        <w:tc>
          <w:tcPr>
            <w:tcW w:w="50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common share: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5"/>
        </w:trPr>
        <w:tc>
          <w:tcPr>
            <w:tcW w:w="5060" w:type="dxa"/>
            <w:vAlign w:val="bottom"/>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1.23</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5"/>
        </w:trPr>
        <w:tc>
          <w:tcPr>
            <w:tcW w:w="5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w:t>
            </w:r>
          </w:p>
        </w:tc>
      </w:tr>
      <w:tr>
        <w:trPr>
          <w:trHeight w:val="28"/>
        </w:trPr>
        <w:tc>
          <w:tcPr>
            <w:tcW w:w="5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40"/>
          </w:cols>
          <w:pgMar w:left="380" w:top="926" w:right="3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2024</w:t>
            </w:r>
          </w:p>
        </w:tc>
        <w:tc>
          <w:tcPr>
            <w:tcW w:w="140" w:type="dxa"/>
            <w:vAlign w:val="bottom"/>
          </w:tcPr>
          <w:p>
            <w:pPr>
              <w:spacing w:after="0"/>
              <w:rPr>
                <w:sz w:val="18"/>
                <w:szCs w:val="18"/>
                <w:color w:val="auto"/>
              </w:rPr>
            </w:pPr>
          </w:p>
        </w:tc>
        <w:tc>
          <w:tcPr>
            <w:tcW w:w="1700" w:type="dxa"/>
            <w:vAlign w:val="bottom"/>
          </w:tcPr>
          <w:p>
            <w:pPr>
              <w:jc w:val="right"/>
              <w:ind w:right="122"/>
              <w:spacing w:after="0"/>
              <w:rPr>
                <w:sz w:val="20"/>
                <w:szCs w:val="20"/>
                <w:color w:val="auto"/>
              </w:rPr>
            </w:pPr>
            <w:r>
              <w:rPr>
                <w:rFonts w:ascii="Arial" w:cs="Arial" w:eastAsia="Arial" w:hAnsi="Arial"/>
                <w:sz w:val="16"/>
                <w:szCs w:val="16"/>
                <w:b w:val="1"/>
                <w:bCs w:val="1"/>
                <w:color w:val="auto"/>
                <w:w w:val="99"/>
              </w:rPr>
              <w:t>September 30, 2023</w:t>
            </w:r>
          </w:p>
        </w:tc>
        <w:tc>
          <w:tcPr>
            <w:tcW w:w="0" w:type="dxa"/>
            <w:vAlign w:val="bottom"/>
          </w:tcPr>
          <w:p>
            <w:pPr>
              <w:spacing w:after="0"/>
              <w:rPr>
                <w:sz w:val="1"/>
                <w:szCs w:val="1"/>
                <w:color w:val="auto"/>
              </w:rPr>
            </w:pPr>
          </w:p>
        </w:tc>
      </w:tr>
      <w:tr>
        <w:trPr>
          <w:trHeight w:val="213"/>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30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and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340" w:type="dxa"/>
            <w:vAlign w:val="bottom"/>
            <w:shd w:val="clear" w:color="auto" w:fill="CCEEFF"/>
          </w:tcPr>
          <w:p>
            <w:pPr>
              <w:ind w:left="660"/>
              <w:spacing w:after="0" w:line="182" w:lineRule="exact"/>
              <w:rPr>
                <w:sz w:val="20"/>
                <w:szCs w:val="20"/>
                <w:color w:val="auto"/>
              </w:rPr>
            </w:pPr>
            <w:r>
              <w:rPr>
                <w:rFonts w:ascii="Arial" w:cs="Arial" w:eastAsia="Arial" w:hAnsi="Arial"/>
                <w:sz w:val="16"/>
                <w:szCs w:val="16"/>
                <w:color w:val="auto"/>
                <w:w w:val="98"/>
              </w:rPr>
              <w:t>Trade receivables, net (net of allowance for doubtful accounts of $2.8 million and $1.0 million as</w:t>
            </w:r>
          </w:p>
        </w:tc>
        <w:tc>
          <w:tcPr>
            <w:tcW w:w="1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of September 30, 2024 and September 30, 2023, respectively)</w:t>
            </w:r>
          </w:p>
        </w:tc>
        <w:tc>
          <w:tcPr>
            <w:tcW w:w="1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Materials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5"/>
        </w:trPr>
        <w:tc>
          <w:tcPr>
            <w:tcW w:w="7340" w:type="dxa"/>
            <w:vAlign w:val="bottom"/>
          </w:tcPr>
          <w:p>
            <w:pPr>
              <w:ind w:left="1000"/>
              <w:spacing w:after="0"/>
              <w:rPr>
                <w:sz w:val="20"/>
                <w:szCs w:val="20"/>
                <w:color w:val="auto"/>
              </w:rPr>
            </w:pPr>
            <w:r>
              <w:rPr>
                <w:rFonts w:ascii="Arial" w:cs="Arial" w:eastAsia="Arial" w:hAnsi="Arial"/>
                <w:sz w:val="16"/>
                <w:szCs w:val="16"/>
                <w:color w:val="auto"/>
              </w:rPr>
              <w:t>Work in process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Finished products</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198"/>
        </w:trPr>
        <w:tc>
          <w:tcPr>
            <w:tcW w:w="7340" w:type="dxa"/>
            <w:vAlign w:val="bottom"/>
          </w:tcPr>
          <w:p>
            <w:pPr>
              <w:ind w:left="1000"/>
              <w:spacing w:after="0"/>
              <w:rPr>
                <w:sz w:val="20"/>
                <w:szCs w:val="20"/>
                <w:color w:val="auto"/>
              </w:rPr>
            </w:pPr>
            <w:r>
              <w:rPr>
                <w:rFonts w:ascii="Arial" w:cs="Arial" w:eastAsia="Arial" w:hAnsi="Arial"/>
                <w:sz w:val="16"/>
                <w:szCs w:val="16"/>
                <w:color w:val="auto"/>
              </w:rPr>
              <w:t>Total Inventories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Amounts due from Becton, Dickinson and Company</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Prepaid expenses and other</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761.0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 and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Deferred Income Taxes and Other Assets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1,285.3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Amounts due to Becton, Dickinson and Company</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Salaries, wages and related items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Current debt obligations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Current finance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Deferred Income Taxes and Other Liabilities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1,565.3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Non Current Finance Lease Liabilities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Contingencies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40" w:type="dxa"/>
            <w:vAlign w:val="bottom"/>
          </w:tcPr>
          <w:p>
            <w:pPr>
              <w:spacing w:after="0"/>
              <w:rPr>
                <w:sz w:val="20"/>
                <w:szCs w:val="20"/>
                <w:color w:val="auto"/>
              </w:rPr>
            </w:pPr>
            <w:r>
              <w:rPr>
                <w:rFonts w:ascii="Arial" w:cs="Arial" w:eastAsia="Arial" w:hAnsi="Arial"/>
                <w:sz w:val="16"/>
                <w:szCs w:val="16"/>
                <w:b w:val="1"/>
                <w:bCs w:val="1"/>
                <w:color w:val="auto"/>
              </w:rPr>
              <w:t>Embecta Corp. Equity</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Common stock, $0.01 par value</w:t>
            </w: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340" w:type="dxa"/>
            <w:vAlign w:val="bottom"/>
            <w:shd w:val="clear" w:color="auto" w:fill="CCEEFF"/>
          </w:tcPr>
          <w:p>
            <w:pPr>
              <w:ind w:left="660"/>
              <w:spacing w:after="0" w:line="168" w:lineRule="exact"/>
              <w:rPr>
                <w:sz w:val="20"/>
                <w:szCs w:val="20"/>
                <w:color w:val="auto"/>
              </w:rPr>
            </w:pPr>
            <w:r>
              <w:rPr>
                <w:rFonts w:ascii="Arial" w:cs="Arial" w:eastAsia="Arial" w:hAnsi="Arial"/>
                <w:sz w:val="16"/>
                <w:szCs w:val="16"/>
                <w:color w:val="auto"/>
              </w:rPr>
              <w:t>Authorized - 250,000,000</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340" w:type="dxa"/>
            <w:vAlign w:val="bottom"/>
            <w:shd w:val="clear" w:color="auto" w:fill="CCEEFF"/>
          </w:tcPr>
          <w:p>
            <w:pPr>
              <w:ind w:left="660"/>
              <w:spacing w:after="0" w:line="181" w:lineRule="exact"/>
              <w:rPr>
                <w:sz w:val="20"/>
                <w:szCs w:val="20"/>
                <w:color w:val="auto"/>
              </w:rPr>
            </w:pPr>
            <w:r>
              <w:rPr>
                <w:rFonts w:ascii="Arial" w:cs="Arial" w:eastAsia="Arial" w:hAnsi="Arial"/>
                <w:sz w:val="16"/>
                <w:szCs w:val="16"/>
                <w:color w:val="auto"/>
              </w:rPr>
              <w:t>Issued and outstanding - 57,707,285 as of September 30, 2024 and 57,333,353 as of</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September 30, 2023</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(821.7)</w:t>
            </w:r>
          </w:p>
        </w:tc>
        <w:tc>
          <w:tcPr>
            <w:tcW w:w="0" w:type="dxa"/>
            <w:vAlign w:val="bottom"/>
          </w:tcPr>
          <w:p>
            <w:pPr>
              <w:spacing w:after="0"/>
              <w:rPr>
                <w:sz w:val="1"/>
                <w:szCs w:val="1"/>
                <w:color w:val="auto"/>
              </w:rPr>
            </w:pPr>
          </w:p>
        </w:tc>
      </w:tr>
      <w:tr>
        <w:trPr>
          <w:trHeight w:val="198"/>
        </w:trPr>
        <w:tc>
          <w:tcPr>
            <w:tcW w:w="734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40"/>
          </w:cols>
          <w:pgMar w:left="380" w:top="719" w:right="37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w:t>
      </w:r>
    </w:p>
    <w:p>
      <w:pPr>
        <w:jc w:val="center"/>
        <w:ind w:left="8120"/>
        <w:spacing w:after="0" w:line="237" w:lineRule="auto"/>
        <w:rPr>
          <w:sz w:val="20"/>
          <w:szCs w:val="20"/>
          <w:color w:val="auto"/>
        </w:rPr>
      </w:pPr>
      <w:r>
        <w:rPr>
          <w:rFonts w:ascii="Arial" w:cs="Arial" w:eastAsia="Arial" w:hAnsi="Arial"/>
          <w:sz w:val="16"/>
          <w:szCs w:val="16"/>
          <w:b w:val="1"/>
          <w:bCs w:val="1"/>
          <w:color w:val="auto"/>
        </w:rPr>
        <w:t>Twelve Months Ended</w:t>
      </w:r>
    </w:p>
    <w:p>
      <w:pPr>
        <w:spacing w:after="0" w:line="1"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5080</wp:posOffset>
            </wp:positionV>
            <wp:extent cx="1905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5635" cy="825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5"/>
        </w:trPr>
        <w:tc>
          <w:tcPr>
            <w:tcW w:w="8140" w:type="dxa"/>
            <w:vAlign w:val="bottom"/>
          </w:tcPr>
          <w:p>
            <w:pPr>
              <w:ind w:left="32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Amortization of debt issuance costs</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cloud computing costs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Impairment of property, plant and equipment</w:t>
            </w:r>
          </w:p>
        </w:tc>
        <w:tc>
          <w:tcPr>
            <w:tcW w:w="9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Change in operating assets and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Trade receivables, net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4"/>
              </w:rPr>
              <w:t>(174.7)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Inventories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Due from/due to Becton, Dickinson and Company</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Prepaid expenses and other</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Accounts payable, accrued expenses and other current liabilities</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Income and other net taxes payable</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5"/>
        </w:trPr>
        <w:tc>
          <w:tcPr>
            <w:tcW w:w="8140" w:type="dxa"/>
            <w:vAlign w:val="bottom"/>
          </w:tcPr>
          <w:p>
            <w:pPr>
              <w:ind w:left="640"/>
              <w:spacing w:after="0"/>
              <w:rPr>
                <w:sz w:val="20"/>
                <w:szCs w:val="20"/>
                <w:color w:val="auto"/>
              </w:rPr>
            </w:pPr>
            <w:r>
              <w:rPr>
                <w:rFonts w:ascii="Arial" w:cs="Arial" w:eastAsia="Arial" w:hAnsi="Arial"/>
                <w:sz w:val="16"/>
                <w:szCs w:val="16"/>
                <w:color w:val="auto"/>
              </w:rPr>
              <w:t>Other assets and liabilities, net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Payments on long-term debt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Payments related to tax withholding for stock-based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Payments on finance lease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Dividend payments</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Cash Used for Financing Activities</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Change in Cash and equivalents and restricted cash</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Opening Cash and equivalents and restricted cash</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Closing Cash and equivalents and restricted cash</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40"/>
          </w:cols>
          <w:pgMar w:left="380" w:top="719"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u w:val="single" w:color="auto"/>
          <w:color w:val="auto"/>
        </w:rPr>
        <w:t>About Non-GAAP financial measures</w:t>
      </w:r>
    </w:p>
    <w:p>
      <w:pPr>
        <w:spacing w:after="0" w:line="3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3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and twelve-month periods ended September 30, 2024 and 2023, the reconciliation of (1) GAAP Revenues ("Reported Revenues") to Adjusted Revenues and (2) GAAP Net income to EBITDA and Adjusted EBITDA was as follows (unaudited, in millions)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30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7"/>
              </w:rPr>
              <w:t>Twelve Months Ended September 30,</w:t>
            </w:r>
          </w:p>
        </w:tc>
      </w:tr>
      <w:tr>
        <w:trPr>
          <w:trHeight w:val="309"/>
        </w:trPr>
        <w:tc>
          <w:tcPr>
            <w:tcW w:w="48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2023</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1,120.8</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8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44"/>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70.4</w:t>
            </w: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28"/>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8"/>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41.9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245.3</w:t>
            </w:r>
          </w:p>
        </w:tc>
      </w:tr>
      <w:tr>
        <w:trPr>
          <w:trHeight w:val="226"/>
        </w:trPr>
        <w:tc>
          <w:tcPr>
            <w:tcW w:w="480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0"/>
                <w:szCs w:val="20"/>
                <w:color w:val="auto"/>
                <w:vertAlign w:val="superscript"/>
              </w:rPr>
              <w:t>(4)</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(5)</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20"/>
                <w:szCs w:val="20"/>
                <w:color w:val="auto"/>
                <w:vertAlign w:val="superscript"/>
              </w:rPr>
              <w:t>(6)</w:t>
            </w: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2"/>
        </w:trPr>
        <w:tc>
          <w:tcPr>
            <w:tcW w:w="48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w w:val="99"/>
              </w:rPr>
              <w:t>Deferred jurisdiction adjustments in Other income (expense), net for</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2"/>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taxes </w:t>
            </w:r>
            <w:r>
              <w:rPr>
                <w:rFonts w:ascii="Arial" w:cs="Arial" w:eastAsia="Arial" w:hAnsi="Arial"/>
                <w:sz w:val="20"/>
                <w:szCs w:val="20"/>
                <w:color w:val="auto"/>
                <w:vertAlign w:val="superscript"/>
              </w:rPr>
              <w:t>(7)</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0"/>
                <w:szCs w:val="20"/>
                <w:color w:val="auto"/>
                <w:vertAlign w:val="superscript"/>
              </w:rPr>
              <w:t>(8)</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353.4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378.7</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25.2 %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28.2 %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31.4 %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33.8 %</w:t>
            </w:r>
          </w:p>
        </w:tc>
      </w:tr>
    </w:tbl>
    <w:p>
      <w:pPr>
        <w:spacing w:after="0" w:line="264" w:lineRule="exact"/>
        <w:rPr>
          <w:sz w:val="20"/>
          <w:szCs w:val="20"/>
          <w:color w:val="auto"/>
        </w:rPr>
      </w:pPr>
    </w:p>
    <w:p>
      <w:pPr>
        <w:ind w:left="460" w:right="20" w:hanging="356"/>
        <w:spacing w:after="0" w:line="231"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13" w:lineRule="exact"/>
        <w:rPr>
          <w:rFonts w:ascii="Arial" w:cs="Arial" w:eastAsia="Arial" w:hAnsi="Arial"/>
          <w:sz w:val="14"/>
          <w:szCs w:val="14"/>
          <w:color w:val="auto"/>
        </w:rPr>
      </w:pPr>
    </w:p>
    <w:p>
      <w:pPr>
        <w:ind w:left="460" w:right="20" w:hanging="356"/>
        <w:spacing w:after="0" w:line="214"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twelve months ended September 30, 2024 and 2023, respectively. For the three months ended September 30, 2024, $5.3 million is recorded in Selling and administrative expense, $0.4 million is recorded in Cost of products sold, and $0.5 million is recorded in Research and development expense. For the twelve months ended September 30, 2024, $21.4 million is recorded in Selling and administrative expense, $3.0 million is recorded in Cost of products sold, and $2.2 million is recorded in Research and development expense. For the three months ended September 30, 2023, $4.1 million is recorded in Selling and administrative expense, $0.4 million is recorded in Cost of products sold, and $0.4 million is recorded in Research and development expense. For the twelve months ended September 30, 2023, $18.1 million is recorded in Selling and administrative expense, $2.2 million is recorded in Cost of products sold, and $1.6 million is recorded in Research and development expense.</w:t>
      </w:r>
    </w:p>
    <w:p>
      <w:pPr>
        <w:spacing w:after="0" w:line="17" w:lineRule="exact"/>
        <w:rPr>
          <w:rFonts w:ascii="Arial" w:cs="Arial" w:eastAsia="Arial" w:hAnsi="Arial"/>
          <w:sz w:val="14"/>
          <w:szCs w:val="14"/>
          <w:color w:val="auto"/>
        </w:rPr>
      </w:pPr>
    </w:p>
    <w:p>
      <w:pPr>
        <w:ind w:left="460" w:right="80" w:hanging="356"/>
        <w:spacing w:after="0" w:line="215"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September 30, 2024, approximately $26.0 million and $0.2 million are recorded in Other operating expenses and Selling and administrative expense, respectively. For the twelve months ended September 30, 2024, approximately $109.9 million and $1.3 million are</w:t>
      </w:r>
    </w:p>
    <w:p>
      <w:pPr>
        <w:sectPr>
          <w:pgSz w:w="11900" w:h="16838" w:orient="portrait"/>
          <w:cols w:equalWidth="0" w:num="1">
            <w:col w:w="11240"/>
          </w:cols>
          <w:pgMar w:left="320" w:top="1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27" w:right="339" w:bottom="1440" w:gutter="0" w:footer="0" w:header="0"/>
          <w:type w:val="continuous"/>
        </w:sectPr>
      </w:pPr>
    </w:p>
    <w:bookmarkStart w:id="14" w:name="page15"/>
    <w:bookmarkEnd w:id="14"/>
    <w:p>
      <w:pPr>
        <w:jc w:val="both"/>
        <w:ind w:left="356"/>
        <w:spacing w:after="0" w:line="231" w:lineRule="auto"/>
        <w:rPr>
          <w:sz w:val="20"/>
          <w:szCs w:val="20"/>
          <w:color w:val="auto"/>
        </w:rPr>
      </w:pPr>
      <w:r>
        <w:rPr>
          <w:rFonts w:ascii="Arial" w:cs="Arial" w:eastAsia="Arial" w:hAnsi="Arial"/>
          <w:sz w:val="14"/>
          <w:szCs w:val="14"/>
          <w:color w:val="auto"/>
        </w:rPr>
        <w:t>recorded in Other operating expenses and Selling and administrative expense, respectively. For the three months ended September 30, 2023, approximately $31.6 million and $0.2 million are recorded in Other operating expenses and Selling and administrative expense, respectively. For the twelve months ended September 30, 2023, approximately $92.7 million and $1.0 million are recorded in Other operating expenses and Selling and administrative expense, respectively.</w:t>
      </w:r>
    </w:p>
    <w:p>
      <w:pPr>
        <w:spacing w:after="0" w:line="1" w:lineRule="exact"/>
        <w:rPr>
          <w:sz w:val="20"/>
          <w:szCs w:val="20"/>
          <w:color w:val="auto"/>
        </w:rPr>
      </w:pPr>
    </w:p>
    <w:p>
      <w:pPr>
        <w:ind w:left="356" w:hanging="356"/>
        <w:spacing w:after="0" w:line="224" w:lineRule="auto"/>
        <w:tabs>
          <w:tab w:leader="none" w:pos="351"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4"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33" w:lineRule="exact"/>
        <w:rPr>
          <w:rFonts w:ascii="Arial" w:cs="Arial" w:eastAsia="Arial" w:hAnsi="Arial"/>
          <w:sz w:val="14"/>
          <w:szCs w:val="14"/>
          <w:color w:val="auto"/>
        </w:rPr>
      </w:pPr>
    </w:p>
    <w:p>
      <w:pPr>
        <w:ind w:left="356" w:right="380" w:hanging="356"/>
        <w:spacing w:after="0" w:line="231" w:lineRule="auto"/>
        <w:tabs>
          <w:tab w:leader="none" w:pos="351"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Relates to impairment charges incurred related to the abandonment of certain manufacturing equipment in China that is no longer in use that was inherited as part of the Separation from BD. The impairment charges are recorded in Impairment Expense.</w:t>
      </w:r>
    </w:p>
    <w:p>
      <w:pPr>
        <w:spacing w:after="0" w:line="13"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33"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recorded in Other operating expenses.</w:t>
      </w:r>
    </w:p>
    <w:p>
      <w:pPr>
        <w:sectPr>
          <w:pgSz w:w="11900" w:h="16838" w:orient="portrait"/>
          <w:cols w:equalWidth="0" w:num="1">
            <w:col w:w="10996"/>
          </w:cols>
          <w:pgMar w:left="424" w:top="1038" w:right="479" w:bottom="4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996"/>
          </w:cols>
          <w:pgMar w:left="424" w:top="1038" w:right="479" w:bottom="498" w:gutter="0" w:footer="0" w:header="0"/>
          <w:type w:val="continuous"/>
        </w:sectPr>
      </w:pPr>
    </w:p>
    <w:bookmarkStart w:id="15" w:name="page16"/>
    <w:bookmarkEnd w:id="15"/>
    <w:p>
      <w:pPr>
        <w:jc w:val="both"/>
        <w:spacing w:after="0" w:line="239" w:lineRule="auto"/>
        <w:rPr>
          <w:sz w:val="20"/>
          <w:szCs w:val="20"/>
          <w:color w:val="auto"/>
        </w:rPr>
      </w:pPr>
      <w:r>
        <w:rPr>
          <w:rFonts w:ascii="Arial" w:cs="Arial" w:eastAsia="Arial" w:hAnsi="Arial"/>
          <w:sz w:val="16"/>
          <w:szCs w:val="16"/>
          <w:color w:val="auto"/>
        </w:rPr>
        <w:t>For the three- and twelve-month periods ended September 30, 2024, the reconciliations of (1) GAAP Revenues ("Reported Revenues") to Adjusted Revenues (2) GAAP Gross Profit and Gross Margin to Adjusted Gross Profit and Adjusted Gross Margin, (3) GAAP Operating Income and Operating Margin to Adjusted Operating Income and Adjusted Operating Income Margin and (4) GAAP Net Income Per Diluted Share to Adjusted Net Income Per Diluted Share are as follows (unaudited in millions, except per share amounts):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6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7"/>
              </w:rPr>
              <w:t>Twelve Months Ended September 30,</w:t>
            </w:r>
          </w:p>
        </w:tc>
        <w:tc>
          <w:tcPr>
            <w:tcW w:w="0" w:type="dxa"/>
            <w:vAlign w:val="bottom"/>
          </w:tcPr>
          <w:p>
            <w:pPr>
              <w:spacing w:after="0"/>
              <w:rPr>
                <w:sz w:val="1"/>
                <w:szCs w:val="1"/>
                <w:color w:val="auto"/>
              </w:rPr>
            </w:pPr>
          </w:p>
        </w:tc>
      </w:tr>
      <w:tr>
        <w:trPr>
          <w:trHeight w:val="361"/>
        </w:trPr>
        <w:tc>
          <w:tcPr>
            <w:tcW w:w="49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1,123.1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1,120.8</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1,120.8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181.8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735.2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749.9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66.9 %</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(3)</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178.3</w:t>
            </w:r>
          </w:p>
        </w:tc>
        <w:tc>
          <w:tcPr>
            <w:tcW w:w="10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182.6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740.7</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751.2</w:t>
            </w:r>
          </w:p>
        </w:tc>
        <w:tc>
          <w:tcPr>
            <w:tcW w:w="0" w:type="dxa"/>
            <w:vAlign w:val="bottom"/>
          </w:tcPr>
          <w:p>
            <w:pPr>
              <w:spacing w:after="0"/>
              <w:rPr>
                <w:sz w:val="1"/>
                <w:szCs w:val="1"/>
                <w:color w:val="auto"/>
              </w:rPr>
            </w:pPr>
          </w:p>
        </w:tc>
      </w:tr>
      <w:tr>
        <w:trPr>
          <w:trHeight w:val="24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61.4 %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64.8 %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65.7 %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67.0 %</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221.5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9.2 %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19.8 %</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(6)</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20"/>
                <w:szCs w:val="20"/>
                <w:color w:val="auto"/>
                <w:vertAlign w:val="superscript"/>
              </w:rPr>
              <w:t>(7)</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(8)</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296.9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331.5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21.1 %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26.3 %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29.6 %</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78.3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70.4</w:t>
            </w:r>
          </w:p>
        </w:tc>
        <w:tc>
          <w:tcPr>
            <w:tcW w:w="0" w:type="dxa"/>
            <w:vAlign w:val="bottom"/>
          </w:tcPr>
          <w:p>
            <w:pPr>
              <w:spacing w:after="0"/>
              <w:rPr>
                <w:sz w:val="1"/>
                <w:szCs w:val="1"/>
                <w:color w:val="auto"/>
              </w:rPr>
            </w:pPr>
          </w:p>
        </w:tc>
      </w:tr>
      <w:tr>
        <w:trPr>
          <w:trHeight w:val="205"/>
        </w:trPr>
        <w:tc>
          <w:tcPr>
            <w:tcW w:w="4920" w:type="dxa"/>
            <w:vAlign w:val="bottom"/>
          </w:tcPr>
          <w:p>
            <w:pPr>
              <w:ind w:left="2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GAAP Income tax provision (benefit)</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(3)</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0"/>
                <w:szCs w:val="20"/>
                <w:color w:val="auto"/>
                <w:vertAlign w:val="superscript"/>
              </w:rPr>
              <w:t>(5)</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(6)</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20"/>
                <w:szCs w:val="20"/>
                <w:color w:val="auto"/>
                <w:vertAlign w:val="superscript"/>
              </w:rPr>
              <w:t>(7)</w:t>
            </w:r>
          </w:p>
        </w:tc>
        <w:tc>
          <w:tcPr>
            <w:tcW w:w="1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(8)</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20"/>
              <w:spacing w:after="0" w:line="171" w:lineRule="exact"/>
              <w:rPr>
                <w:sz w:val="20"/>
                <w:szCs w:val="20"/>
                <w:color w:val="auto"/>
              </w:rPr>
            </w:pPr>
            <w:r>
              <w:rPr>
                <w:rFonts w:ascii="Arial" w:cs="Arial" w:eastAsia="Arial" w:hAnsi="Arial"/>
                <w:sz w:val="16"/>
                <w:szCs w:val="16"/>
                <w:color w:val="auto"/>
                <w:w w:val="97"/>
              </w:rPr>
              <w:t>Deferred jurisdiction adjustments in Other income (expense), net for</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1"/>
        </w:trPr>
        <w:tc>
          <w:tcPr>
            <w:tcW w:w="4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 xml:space="preserve">taxes </w:t>
            </w:r>
            <w:r>
              <w:rPr>
                <w:rFonts w:ascii="Arial" w:cs="Arial" w:eastAsia="Arial" w:hAnsi="Arial"/>
                <w:sz w:val="20"/>
                <w:szCs w:val="20"/>
                <w:color w:val="auto"/>
                <w:vertAlign w:val="superscript"/>
              </w:rPr>
              <w:t>(9)</w:t>
            </w:r>
          </w:p>
        </w:tc>
        <w:tc>
          <w:tcPr>
            <w:tcW w:w="16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0"/>
                <w:szCs w:val="20"/>
                <w:color w:val="auto"/>
                <w:vertAlign w:val="superscript"/>
              </w:rPr>
              <w:t>(10)</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172.6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0.25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0.10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1.34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1.22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0.45</w:t>
            </w:r>
          </w:p>
        </w:tc>
        <w:tc>
          <w:tcPr>
            <w:tcW w:w="10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0.59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2.45</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2.99</w:t>
            </w: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Diluted weighted-average shares outstanding (in thousands)</w:t>
            </w: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58,122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57,473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58,326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57,758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hanging="356"/>
        <w:spacing w:after="0" w:line="231" w:lineRule="auto"/>
        <w:tabs>
          <w:tab w:leader="none" w:pos="4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ectPr>
          <w:pgSz w:w="11900" w:h="16838" w:orient="portrait"/>
          <w:cols w:equalWidth="0" w:num="1">
            <w:col w:w="11240"/>
          </w:cols>
          <w:pgMar w:left="320" w:top="1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136" w:right="339" w:bottom="1440" w:gutter="0" w:footer="0" w:header="0"/>
          <w:type w:val="continuous"/>
        </w:sectPr>
      </w:pPr>
    </w:p>
    <w:bookmarkStart w:id="16" w:name="page17"/>
    <w:bookmarkEnd w:id="16"/>
    <w:p>
      <w:pPr>
        <w:ind w:left="360" w:right="200" w:hanging="356"/>
        <w:spacing w:after="0" w:line="241" w:lineRule="auto"/>
        <w:tabs>
          <w:tab w:leader="none" w:pos="3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sign-on equity awards granted to certain members of the embecta leadership team in connection with the Separation from BD recorded in Cost of products sold.</w:t>
      </w:r>
    </w:p>
    <w:p>
      <w:pPr>
        <w:spacing w:after="0" w:line="12" w:lineRule="exact"/>
        <w:rPr>
          <w:rFonts w:ascii="Arial" w:cs="Arial" w:eastAsia="Arial" w:hAnsi="Arial"/>
          <w:sz w:val="14"/>
          <w:szCs w:val="14"/>
          <w:color w:val="auto"/>
        </w:rPr>
      </w:pPr>
    </w:p>
    <w:p>
      <w:pPr>
        <w:ind w:left="360" w:hanging="356"/>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20" w:lineRule="exact"/>
        <w:rPr>
          <w:rFonts w:ascii="Arial" w:cs="Arial" w:eastAsia="Arial" w:hAnsi="Arial"/>
          <w:sz w:val="14"/>
          <w:szCs w:val="14"/>
          <w:color w:val="auto"/>
        </w:rPr>
      </w:pPr>
    </w:p>
    <w:p>
      <w:pPr>
        <w:ind w:left="360" w:right="20" w:hanging="356"/>
        <w:spacing w:after="0" w:line="231" w:lineRule="auto"/>
        <w:tabs>
          <w:tab w:leader="none" w:pos="357"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One-time stand-up costs incurred primarily include: (i) product registration and labeling costs; (ii) manufacturing,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September 30, 2024, approximately $27.3 million and $0.2 million are recorded in Other operating expenses and Selling and administrative expense, respectively. For the twelve months ended September 30, 2024, approximately $111.2 million and $1.3 million are recorded in Other operating expenses and Selling and administrative expense, respectively. For the three months ended September 30, 2023, approximately $31.6 million and $0.2 million are recorded in Other operating expenses and Selling and administrative expense, respectively. For the twelve months ended September 30, 2023, approximately $92.7 million and $1.0 million are recorded in Other operating expenses and Selling and administrative expense, respectively.</w:t>
      </w:r>
    </w:p>
    <w:p>
      <w:pPr>
        <w:spacing w:after="0" w:line="14" w:lineRule="exact"/>
        <w:rPr>
          <w:rFonts w:ascii="Arial" w:cs="Arial" w:eastAsia="Arial" w:hAnsi="Arial"/>
          <w:sz w:val="13"/>
          <w:szCs w:val="13"/>
          <w:color w:val="auto"/>
        </w:rPr>
      </w:pPr>
    </w:p>
    <w:p>
      <w:pPr>
        <w:jc w:val="both"/>
        <w:ind w:left="360" w:right="140" w:hanging="356"/>
        <w:spacing w:after="0" w:line="224" w:lineRule="auto"/>
        <w:tabs>
          <w:tab w:leader="none" w:pos="3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4" w:lineRule="exact"/>
        <w:rPr>
          <w:rFonts w:ascii="Arial" w:cs="Arial" w:eastAsia="Arial" w:hAnsi="Arial"/>
          <w:sz w:val="14"/>
          <w:szCs w:val="14"/>
          <w:color w:val="auto"/>
        </w:rPr>
      </w:pPr>
    </w:p>
    <w:p>
      <w:pPr>
        <w:ind w:left="360" w:right="20" w:hanging="356"/>
        <w:spacing w:after="0" w:line="214" w:lineRule="auto"/>
        <w:tabs>
          <w:tab w:leader="none" w:pos="3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sign-on equity awards granted to certain members of the embecta leadership team in connection with the Separation from BD. For the three months ended September 30, 2024, $1.1 million is recorded in Selling and administrative expense and $0.1 million is recorded in Cost of products sold. For the twelve months ended, September 30, 2024, $4.1 million is recorded in Selling and administrative expense, $0.1 million is recorded in Research and development expense, and $0.3 million is recorded in Cost of products sold. For the three months ended September 30, 2023, $1.0 million is recorded in Selling and administrative expense and $0.1 million is recorded in Research and development expense. For the twelve months ended September 30, 2023, $5.4 million is recorded in Selling and administrative expense, $0.1 million is recorded in Cost of products sold, and $0.2 million is recorded in Research and development expense.</w:t>
      </w:r>
    </w:p>
    <w:p>
      <w:pPr>
        <w:spacing w:after="0" w:line="4" w:lineRule="exact"/>
        <w:rPr>
          <w:rFonts w:ascii="Arial" w:cs="Arial" w:eastAsia="Arial" w:hAnsi="Arial"/>
          <w:sz w:val="14"/>
          <w:szCs w:val="14"/>
          <w:color w:val="auto"/>
        </w:rPr>
      </w:pPr>
    </w:p>
    <w:p>
      <w:pPr>
        <w:ind w:left="360" w:right="520" w:hanging="356"/>
        <w:spacing w:after="0" w:line="241" w:lineRule="auto"/>
        <w:tabs>
          <w:tab w:leader="none" w:pos="3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Relates to impairment charges incurred related to the abandonment of certain manufacturing equipment in China that is no longer in use that was inherited as part of the Separation from BD. The impairment charges are recorded in Impairment Expense.</w:t>
      </w:r>
    </w:p>
    <w:p>
      <w:pPr>
        <w:spacing w:after="0" w:line="12" w:lineRule="exact"/>
        <w:rPr>
          <w:rFonts w:ascii="Arial" w:cs="Arial" w:eastAsia="Arial" w:hAnsi="Arial"/>
          <w:sz w:val="14"/>
          <w:szCs w:val="14"/>
          <w:color w:val="auto"/>
        </w:rPr>
      </w:pPr>
    </w:p>
    <w:p>
      <w:pPr>
        <w:ind w:left="360" w:hanging="356"/>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20" w:lineRule="exact"/>
        <w:rPr>
          <w:rFonts w:ascii="Arial" w:cs="Arial" w:eastAsia="Arial" w:hAnsi="Arial"/>
          <w:sz w:val="14"/>
          <w:szCs w:val="14"/>
          <w:color w:val="auto"/>
        </w:rPr>
      </w:pPr>
    </w:p>
    <w:p>
      <w:pPr>
        <w:ind w:left="360" w:hanging="356"/>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33" w:lineRule="exact"/>
        <w:rPr>
          <w:rFonts w:ascii="Arial" w:cs="Arial" w:eastAsia="Arial" w:hAnsi="Arial"/>
          <w:sz w:val="14"/>
          <w:szCs w:val="14"/>
          <w:color w:val="auto"/>
        </w:rPr>
      </w:pPr>
    </w:p>
    <w:p>
      <w:pPr>
        <w:ind w:left="360" w:hanging="356"/>
        <w:spacing w:after="0" w:line="224" w:lineRule="auto"/>
        <w:tabs>
          <w:tab w:leader="none" w:pos="3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the three and twelve months ended September 30, 2024 were 9% and 20%, respectively. The non-GAAP effective tax rates for the three and twelve months ended September 30, 2023 were 14% and 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420" w:top="103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About embecta</w:t>
      </w:r>
    </w:p>
    <w:p>
      <w:pPr>
        <w:spacing w:after="0" w:line="15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FF"/>
        </w:rPr>
        <w:t xml:space="preserve">embecta.com </w:t>
      </w:r>
      <w:r>
        <w:rPr>
          <w:rFonts w:ascii="Arial" w:cs="Arial" w:eastAsia="Arial" w:hAnsi="Arial"/>
          <w:sz w:val="16"/>
          <w:szCs w:val="16"/>
          <w:color w:val="000000"/>
        </w:rPr>
        <w:t>or follow our social channels on</w:t>
      </w:r>
      <w:r>
        <w:rPr>
          <w:rFonts w:ascii="Arial" w:cs="Arial" w:eastAsia="Arial" w:hAnsi="Arial"/>
          <w:sz w:val="16"/>
          <w:szCs w:val="16"/>
          <w:color w:val="0000FF"/>
        </w:rPr>
        <w:t xml:space="preserve"> LinkedIn</w:t>
      </w:r>
      <w:r>
        <w:rPr>
          <w:rFonts w:ascii="Arial" w:cs="Arial" w:eastAsia="Arial" w:hAnsi="Arial"/>
          <w:sz w:val="16"/>
          <w:szCs w:val="16"/>
          <w:color w:val="000000"/>
        </w:rPr>
        <w:t>,</w:t>
      </w:r>
      <w:r>
        <w:rPr>
          <w:rFonts w:ascii="Arial" w:cs="Arial" w:eastAsia="Arial" w:hAnsi="Arial"/>
          <w:sz w:val="16"/>
          <w:szCs w:val="16"/>
          <w:color w:val="0000FF"/>
        </w:rPr>
        <w:t xml:space="preserve"> Facebook</w:t>
      </w:r>
      <w:r>
        <w:rPr>
          <w:rFonts w:ascii="Arial" w:cs="Arial" w:eastAsia="Arial" w:hAnsi="Arial"/>
          <w:sz w:val="16"/>
          <w:szCs w:val="16"/>
          <w:color w:val="000000"/>
        </w:rPr>
        <w:t>, and</w:t>
      </w:r>
      <w:r>
        <w:rPr>
          <w:rFonts w:ascii="Arial" w:cs="Arial" w:eastAsia="Arial" w:hAnsi="Arial"/>
          <w:sz w:val="16"/>
          <w:szCs w:val="16"/>
          <w:color w:val="0000FF"/>
        </w:rPr>
        <w:t xml:space="preserve"> Instagram</w:t>
      </w:r>
      <w:r>
        <w:rPr>
          <w:rFonts w:ascii="Arial" w:cs="Arial" w:eastAsia="Arial" w:hAnsi="Arial"/>
          <w:sz w:val="16"/>
          <w:szCs w:val="16"/>
          <w:color w:val="000000"/>
        </w:rPr>
        <w: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Regarding Forward-Looking Statements</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“may” or similar expressions, we are making forward-looking statements. For example, embecta is using forward-looking statements when it discusses its plans to discontinue its patch pump program, concentrate its resources on its core business, prioritize free cash flow towards paying down debt, and create financial flexibility for future investments, its ability to reduce costs, streamline operations and enhance profitability, its expected savings and expenses from its organizational restructuring and the timing thereof, its fiscal 2025 financial guidance and its expectations with respect to strengthening its base business, separating and standing up embecta as an independent company, and investing in growth, and geographic expansion of new product pacts for non-insulin diabetes drugs.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extend or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 (ix) any new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embecta’s indebtedness; (xiii) the risk that ongoing dis-synergy costs, costs of restructuring and other costs incurred in connection with the separation from BD will exceed our estimates of these costs; (xiv) the risk that it will be more difficult than expected to effect embecta’s full separation from BD; (xv) expectations related to the costs, profitability, timing and the estimated financial impact of, and charges and savings associated with, the restructuring plan we announced; (xvi) risks associated with not completing strategic collaborative partnerships and acquisitions for innovative technologies, complementary product lines, and new markets; and (xvii)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97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CONTACTS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rPr>
          <w:sz w:val="20"/>
          <w:szCs w:val="20"/>
          <w:color w:val="auto"/>
        </w:rPr>
      </w:pPr>
      <w:r>
        <w:rPr>
          <w:rFonts w:ascii="Arial" w:cs="Arial" w:eastAsia="Arial" w:hAnsi="Arial"/>
          <w:sz w:val="16"/>
          <w:szCs w:val="16"/>
          <w:color w:val="auto"/>
        </w:rPr>
        <w:t>Pravesh Khandelwal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VP, Head of Investor Relations</w:t>
      </w:r>
    </w:p>
    <w:p>
      <w:pPr>
        <w:spacing w:after="0" w:line="236" w:lineRule="auto"/>
        <w:rPr>
          <w:sz w:val="20"/>
          <w:szCs w:val="20"/>
          <w:color w:val="auto"/>
        </w:rPr>
      </w:pPr>
      <w:r>
        <w:rPr>
          <w:rFonts w:ascii="Arial" w:cs="Arial" w:eastAsia="Arial" w:hAnsi="Arial"/>
          <w:sz w:val="16"/>
          <w:szCs w:val="16"/>
          <w:color w:val="auto"/>
        </w:rPr>
        <w:t>551-264-6547</w:t>
      </w:r>
    </w:p>
    <w:p>
      <w:pPr>
        <w:spacing w:after="0"/>
        <w:rPr>
          <w:sz w:val="20"/>
          <w:szCs w:val="20"/>
          <w:color w:val="auto"/>
        </w:rPr>
      </w:pPr>
      <w:r>
        <w:rPr>
          <w:rFonts w:ascii="Arial" w:cs="Arial" w:eastAsia="Arial" w:hAnsi="Arial"/>
          <w:sz w:val="16"/>
          <w:szCs w:val="16"/>
          <w:color w:val="0000FF"/>
        </w:rPr>
        <w:t>Contact IR</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Christian Glazar</w:t>
      </w:r>
    </w:p>
    <w:p>
      <w:pPr>
        <w:spacing w:after="0"/>
        <w:rPr>
          <w:sz w:val="20"/>
          <w:szCs w:val="20"/>
          <w:color w:val="auto"/>
        </w:rPr>
      </w:pPr>
      <w:r>
        <w:rPr>
          <w:rFonts w:ascii="Arial" w:cs="Arial" w:eastAsia="Arial" w:hAnsi="Arial"/>
          <w:sz w:val="16"/>
          <w:szCs w:val="16"/>
          <w:color w:val="auto"/>
        </w:rPr>
        <w:t>Sr. Director, Corporate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908-821-6922</w:t>
      </w:r>
    </w:p>
    <w:p>
      <w:pPr>
        <w:spacing w:after="0"/>
        <w:rPr>
          <w:sz w:val="20"/>
          <w:szCs w:val="20"/>
          <w:color w:val="auto"/>
        </w:rPr>
      </w:pPr>
      <w:r>
        <w:rPr>
          <w:rFonts w:ascii="Arial" w:cs="Arial" w:eastAsia="Arial" w:hAnsi="Arial"/>
          <w:sz w:val="16"/>
          <w:szCs w:val="16"/>
          <w:color w:val="0000FF"/>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15</w:t>
      </w:r>
    </w:p>
    <w:sectPr>
      <w:pgSz w:w="11900" w:h="16838" w:orient="portrait"/>
      <w:cols w:equalWidth="0" w:num="1">
        <w:col w:w="10139"/>
      </w:cols>
      <w:pgMar w:left="320" w:top="14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2024-11-26T06:06:33Z</dcterms:created>
  <dcterms:modified xsi:type="dcterms:W3CDTF">2024-11-26T06:06:33Z</dcterms:modified>
</cp:coreProperties>
</file>