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1065530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0"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0589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7467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842645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0"/>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3420" w:type="dxa"/>
            <w:vAlign w:val="bottom"/>
          </w:tcPr>
          <w:p>
            <w:pPr>
              <w:jc w:val="right"/>
              <w:ind w:right="20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50"/>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0"/>
        </w:trPr>
        <w:tc>
          <w:tcPr>
            <w:tcW w:w="7820" w:type="dxa"/>
            <w:vAlign w:val="bottom"/>
            <w:gridSpan w:val="3"/>
          </w:tcPr>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9"/>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54"/>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January 29, 2026 was 59,219,854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80" w:type="dxa"/>
            <w:vAlign w:val="bottom"/>
            <w:gridSpan w:val="16"/>
            <w:vMerge w:val="continue"/>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60" w:type="dxa"/>
            <w:vAlign w:val="bottom"/>
            <w:gridSpan w:val="8"/>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2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4"/>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
        </w:trPr>
        <w:tc>
          <w:tcPr>
            <w:tcW w:w="7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Benefit plan net gain and prior service credit, net of amortization</w:t>
            </w: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33"/>
        </w:trPr>
        <w:tc>
          <w:tcPr>
            <w:tcW w:w="7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33"/>
        </w:trPr>
        <w:tc>
          <w:tcPr>
            <w:tcW w:w="7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7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$2.0 million and $1.8 million as of</w:t>
            </w:r>
          </w:p>
        </w:tc>
        <w:tc>
          <w:tcPr>
            <w:tcW w:w="200" w:type="dxa"/>
            <w:vAlign w:val="bottom"/>
            <w:shd w:val="clear" w:color="auto" w:fill="CCEEFF"/>
          </w:tcPr>
          <w:p>
            <w:pPr>
              <w:spacing w:after="0"/>
              <w:rPr>
                <w:sz w:val="16"/>
                <w:szCs w:val="16"/>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December 31, 2025 and September 30, 2025, respectively)</w:t>
            </w: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Contingencies (Note 6)</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Authorized - 250,000,000</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00" w:type="dxa"/>
            <w:vAlign w:val="bottom"/>
            <w:shd w:val="clear" w:color="auto" w:fill="CCEEFF"/>
          </w:tcPr>
          <w:p>
            <w:pPr>
              <w:ind w:left="700"/>
              <w:spacing w:after="0" w:line="175" w:lineRule="exact"/>
              <w:rPr>
                <w:sz w:val="20"/>
                <w:szCs w:val="20"/>
                <w:color w:val="auto"/>
              </w:rPr>
            </w:pPr>
            <w:r>
              <w:rPr>
                <w:rFonts w:ascii="Times New Roman" w:cs="Times New Roman" w:eastAsia="Times New Roman" w:hAnsi="Times New Roman"/>
                <w:sz w:val="16"/>
                <w:szCs w:val="16"/>
                <w:color w:val="auto"/>
              </w:rPr>
              <w:t>Issued and outstanding - 59,211,992 as of December 31, 2025 and 58,496,113 as of September 30,</w:t>
            </w: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1,063.7</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57,707,285</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424,474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58,131,759</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(768.8)</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2025</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58,496,113</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715,879</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59,211,992</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Gain on sale of certain intellectual property rights and long-lived assets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Trade receivables, net</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Proceeds from the sale of certain intellectual property rights and long-lived assets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r>
      <w:tr>
        <w:trPr>
          <w:trHeight w:val="33"/>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The Company primarily sells products to wholesalers and distributors that sell to retail and institutional channels who in turn sell to patients or use the products to deliver insulin injections to patients.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2025, filed with the Securities and Exchange Commission on November 25, 2025 (the “2025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material accounting standards adopted in the first quarter of fiscal year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to enhance the transparency and decision usefulness of income tax disclosures. This update is effective for the Company beginning with its annual fiscal year 2026 reporting. While this accounting standard will increase disclosures, it will not have a material impact on the Company’s Consolidated Financial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to improve disclosures about an entity's expenses including more detailed information about the components of expenses in commonly presented expense captions. This update is effective for the Company beginning with its fiscal year 2028 reporting and for interim reporting beginning with its fiscal year 2029. While this accounting standard will increase disclosures, it is not expected to have a material impact on the Company’s Consolidated Financial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 Use Software. This ASU eliminates accounting consideration of software project development stages and clarifies the threshold applied to begin capitalizing costs. This ASU is effective for the Company beginning with its fiscal 2029 reporting and permits prospective, modified prospective, or retrospective adoption. Early adoption is permitted. The Company is evaluating the impact of this ASU on its Consolidated Financial Statements and related disclosures.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This ASU is effective for the Company beginning with its fiscal 2029 reporting and permits both prospective and retrospective adoption. The Company is currently evaluating the effect of adopting this pronouncement on its Consolidated Financial Statements and related disclosures.</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 In addition, the Company entered into a series of agreements with BD that govern aspects of Embecta's relationship with BD following the Separation which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("LSA"), employee matters agreement, an intellectual property matters agreement, local support services agreements, certain other manufacturing arrangements and a process services agreement and lease agreement for a manufacturing facility located in Holdrege, Nebraska. Certain of these agreements have expired or terminated as disclosed in the 2025 Form 10-K.</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details on the rights and responsibilities of the parties under these agreements refer to Note 3 to the Consolidated Financial Statements in the 2025 Form 10-K.</w:t>
      </w:r>
    </w:p>
    <w:p>
      <w:pPr>
        <w:spacing w:after="0" w:line="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Amounts associated with the above agreements are included in the Condensed Consolidated Balance Sheets. Certain amounts previously presented within Amounts due from Becton, Dickinson and Company and Amounts due to Becton, Dickinson and Company are presented within Trade receivables, net and Accounts Payable, respectively, beginning October 1, 2025. As of December 31, 2025, $13.9 million was in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and $16.3 million was in </w:t>
      </w:r>
      <w:r>
        <w:rPr>
          <w:rFonts w:ascii="Times New Roman" w:cs="Times New Roman" w:eastAsia="Times New Roman" w:hAnsi="Times New Roman"/>
          <w:sz w:val="18"/>
          <w:szCs w:val="18"/>
          <w:i w:val="1"/>
          <w:iCs w:val="1"/>
          <w:color w:val="auto"/>
        </w:rPr>
        <w:t>Accounts payable.</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Restructuring Charges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As a result, the Company incurred organizational restructuring plan (the "Patch Pump Restructuring Plan") costs of $27.4 million during the three months ended December 31, 2024. The actions under the Patch Pump Restructuring Plan were substantially complete as of September 30, 2025.</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year 2025, the Company initiated a restructuring plan (the "2025 Restructuring Plan") to streamline the organization and optimize resources. The actions under the 2025 Restructuring Plan were substantially complete as of September 30,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incurred related to the restructuring programs for the three month period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related to the restructuring programs by type of cost for the three month period ended December 31,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Non-Employee</w:t>
            </w:r>
          </w:p>
        </w:tc>
        <w:tc>
          <w:tcPr>
            <w:tcW w:w="260" w:type="dxa"/>
            <w:vAlign w:val="bottom"/>
          </w:tcPr>
          <w:p>
            <w:pPr>
              <w:spacing w:after="0"/>
              <w:rPr>
                <w:sz w:val="16"/>
                <w:szCs w:val="16"/>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termination costs are associated with actual headcount reductions, including involuntary headcount reductions which were probable and could be reasonably estimated.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related costs are associated with termination of contracts and long-lived asset impairments are discussed further in Note 16.</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restructuring reserve balances as of December 31, 2025 and September 30, 2025 were not material to the Company’s Condensed Consolidated Financial Statements.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Operating (Income) Expense,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income and expenses recorded for the three months ended December 31,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7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certain intellectual property rights and long-lived assets</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33"/>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The costs incurred primarily consist of costs associated with accounting, auditing, legal services, marketing, supply chain, employee retention, brand transition, and certain other costs to establish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 ("ERP") system (“Business Continuity Processes”) and stand-alone functions to assist with the transition to being a stand-alone entity.</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both the three months ended December 31, 2025 and 2024, the Company recognized costs associated with the amortization of cloud computing arrangements which is further discussed in Note 11.</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2024, the Company recognized costs associated with the discontinuation of the patch pump program which is further discussed in Note 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executed an agreement with a third party to sell certain intellectual property rights and long-lived assets associated with the patch pump program and recorded a gain on sale of $10.1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December 31, 2025 or September 30, 2025, nor is it a party to any material legal proceedings as of the date of issuance of these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2025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and the Company generally expects to receive payment within one year or less from when control of a product is transferred to the customer.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gross revenues are subject to a variety of gross-to-net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variable consideration include the quantification of inventory that is either in stock at or in transit to the Company’s distributors, as well as the estimated lag time between the sale of product and the payment of corresponding variable consideration.</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December 31, 2025 and September 30, 2025 was $130.5 million and $113.7 million, respectively. Sales deductions recorded as a reduction of gross revenues for the three months ended December 31, 2025 and 2024 were $159.9 million and $150.1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and product line is provided within Note 8.</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and Geographical Data</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operations include four product lines which constitute one operating segment engaged in providing solutions to improve the health and well-being of people living with diabetes. The Company's chief operation decision maker ("CODM") is the Chief Executive Officer. The CODM assesses performance and decides how to allocate resources for the Company's one operating segment based on consolidated net income that is reported on the Condensed Consolidated Statements of Income. The Company has also evaluated the significant segment expenses incurred by our single segment that are regularly provided to the CODM. The significant expenses provided to the CODM are consistent with those reported on the Condensed Consolidated Statements of Income and include cost of products sold, selling and administrative expense, research and development, other operating income and expense, interest expense, other income and expense, and income taxes. The CODM uses these metrics to make key operating decisions which include approving the design of key commercialization strategies, decisions about key personnel, and approving annual operating and capital budgets. The CODM considers budget-to-actual variances and year over year performance when making decisions supporting resource allocation. The Company manages assets on a consolidated basis as reported on the Condensed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by geography and product line as management believes these categories best depict how the nature, amount, and timing of revenues and cash flows are affected by economic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r>
      <w:tr>
        <w:trPr>
          <w:trHeight w:val="31"/>
        </w:trPr>
        <w:tc>
          <w:tcPr>
            <w:tcW w:w="12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141.7</w:t>
            </w:r>
          </w:p>
        </w:tc>
      </w:tr>
      <w:tr>
        <w:trPr>
          <w:trHeight w:val="243"/>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120.2</w:t>
            </w:r>
          </w:p>
        </w:tc>
      </w:tr>
      <w:tr>
        <w:trPr>
          <w:trHeight w:val="261"/>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261.9</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1220" w:type="dxa"/>
            <w:vAlign w:val="bottom"/>
            <w:tcBorders>
              <w:bottom w:val="single" w:sz="8" w:color="auto"/>
            </w:tcBorders>
          </w:tcPr>
          <w:p>
            <w:pPr>
              <w:spacing w:after="0"/>
              <w:rPr>
                <w:sz w:val="22"/>
                <w:szCs w:val="22"/>
                <w:color w:val="auto"/>
              </w:rPr>
            </w:pPr>
          </w:p>
        </w:tc>
        <w:tc>
          <w:tcPr>
            <w:tcW w:w="6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75" w:lineRule="exact"/>
        <w:rPr>
          <w:sz w:val="20"/>
          <w:szCs w:val="20"/>
          <w:color w:val="auto"/>
        </w:rPr>
      </w:pPr>
    </w:p>
    <w:p>
      <w:pPr>
        <w:ind w:left="34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December 31, 2025 and 2024, no individual country outside of the United States generated net revenues that represented more than 10.0% of total revenues.</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product line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20" w:type="dxa"/>
            <w:vAlign w:val="bottom"/>
            <w:tcBorders>
              <w:bottom w:val="single" w:sz="8" w:color="CCEEFF"/>
            </w:tcBorders>
            <w:gridSpan w:val="2"/>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 Needles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191.1</w:t>
            </w:r>
          </w:p>
        </w:tc>
        <w:tc>
          <w:tcPr>
            <w:tcW w:w="0" w:type="dxa"/>
            <w:vAlign w:val="bottom"/>
          </w:tcPr>
          <w:p>
            <w:pPr>
              <w:spacing w:after="0"/>
              <w:rPr>
                <w:sz w:val="1"/>
                <w:szCs w:val="1"/>
                <w:color w:val="auto"/>
              </w:rPr>
            </w:pPr>
          </w:p>
        </w:tc>
      </w:tr>
      <w:tr>
        <w:trPr>
          <w:trHeight w:val="210"/>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Syringes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33"/>
        </w:trPr>
        <w:tc>
          <w:tcPr>
            <w:tcW w:w="12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w:t>
            </w: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43"/>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4"/>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261.9</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20" w:type="dxa"/>
            <w:vAlign w:val="bottom"/>
          </w:tcPr>
          <w:p>
            <w:pPr>
              <w:spacing w:after="0"/>
              <w:rPr>
                <w:sz w:val="20"/>
                <w:szCs w:val="20"/>
                <w:color w:val="auto"/>
              </w:rPr>
            </w:pPr>
            <w:r>
              <w:rPr>
                <w:rFonts w:ascii="Times New Roman" w:cs="Times New Roman" w:eastAsia="Times New Roman" w:hAnsi="Times New Roman"/>
                <w:sz w:val="11"/>
                <w:szCs w:val="11"/>
                <w:color w:val="auto"/>
              </w:rPr>
              <w:t>(2)</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Other includes product sales for swabs and other accessories.</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77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for the three months ended December 31, 2025 and 2024 and the respective income tax benefits recognized by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the Condensed Consolidated Statements of Income are as follows:</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782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6"/>
        </w:trPr>
        <w:tc>
          <w:tcPr>
            <w:tcW w:w="782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7"/>
                <w:szCs w:val="17"/>
                <w:color w:val="auto"/>
              </w:rPr>
            </w:pPr>
          </w:p>
        </w:tc>
      </w:tr>
      <w:tr>
        <w:trPr>
          <w:trHeight w:val="31"/>
        </w:trPr>
        <w:tc>
          <w:tcPr>
            <w:tcW w:w="7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7"/>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products sold</w:t>
            </w:r>
          </w:p>
        </w:tc>
        <w:tc>
          <w:tcPr>
            <w:tcW w:w="112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33"/>
        </w:trPr>
        <w:tc>
          <w:tcPr>
            <w:tcW w:w="7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3"/>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7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2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4"/>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112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7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 for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6"/>
        </w:trPr>
        <w:tc>
          <w:tcPr>
            <w:tcW w:w="79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7"/>
                <w:szCs w:val="17"/>
                <w:color w:val="auto"/>
              </w:rPr>
            </w:pPr>
          </w:p>
        </w:tc>
      </w:tr>
      <w:tr>
        <w:trPr>
          <w:trHeight w:val="31"/>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7"/>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112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Liability Awards</w:t>
            </w:r>
          </w:p>
        </w:tc>
        <w:tc>
          <w:tcPr>
            <w:tcW w:w="1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6"/>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
        </w:trPr>
        <w:tc>
          <w:tcPr>
            <w:tcW w:w="7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three months ended December 31, 2025 and 2024:</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8"/>
                <w:szCs w:val="18"/>
                <w:color w:val="auto"/>
              </w:rPr>
            </w:pPr>
          </w:p>
        </w:tc>
      </w:tr>
      <w:tr>
        <w:trPr>
          <w:trHeight w:val="33"/>
        </w:trPr>
        <w:tc>
          <w:tcPr>
            <w:tcW w:w="7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6"/>
        </w:trPr>
        <w:tc>
          <w:tcPr>
            <w:tcW w:w="788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7"/>
                <w:szCs w:val="17"/>
                <w:color w:val="auto"/>
              </w:rPr>
            </w:pPr>
          </w:p>
        </w:tc>
      </w:tr>
      <w:tr>
        <w:trPr>
          <w:trHeight w:val="31"/>
        </w:trPr>
        <w:tc>
          <w:tcPr>
            <w:tcW w:w="7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7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33"/>
        </w:trPr>
        <w:tc>
          <w:tcPr>
            <w:tcW w:w="7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three </w:t>
      </w:r>
      <w:r>
        <w:rPr>
          <w:rFonts w:ascii="Times New Roman" w:cs="Times New Roman" w:eastAsia="Times New Roman" w:hAnsi="Times New Roman"/>
          <w:sz w:val="18"/>
          <w:szCs w:val="18"/>
          <w:color w:val="000000"/>
        </w:rPr>
        <w:t>months ended December 31, 2025</w:t>
      </w:r>
      <w:r>
        <w:rPr>
          <w:rFonts w:ascii="Times New Roman" w:cs="Times New Roman" w:eastAsia="Times New Roman" w:hAnsi="Times New Roman"/>
          <w:sz w:val="18"/>
          <w:szCs w:val="18"/>
          <w:color w:val="2B2A29"/>
        </w:rPr>
        <w:t>, Embecta granted 1,817,448 restricted stock units ("RSUs") in the form of TVUs to employees. TVUs vest on a graded basis over a period of three years. The related stock-based compensation expense is recorded over the requisite service period, which is the vesting period or is based on retirement eligibility. These awards accumulate dividend equivalents, which are provided as additional units and are subject to the same vesting requirements as the underlying grant.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TVUs outstanding as of December 31, 2025 and changes during the three months ended December 31, 2025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TVUs (in thousands)</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25"/>
        </w:trPr>
        <w:tc>
          <w:tcPr>
            <w:tcW w:w="794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December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December 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2,848.7</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TVUs distributed include shares withheld for taxes that are not formally issued to the market.</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TVUs granted during the three months ended December 31, 2025 is $12.57 and the total fair value of TVUs vested during the three months ended December 31, 2025 is $16.8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weighted average remaining vesting term of TVUs is 2.3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three months ended December 31, 2025</w:t>
      </w:r>
      <w:r>
        <w:rPr>
          <w:rFonts w:ascii="Times New Roman" w:cs="Times New Roman" w:eastAsia="Times New Roman" w:hAnsi="Times New Roman"/>
          <w:sz w:val="18"/>
          <w:szCs w:val="18"/>
          <w:color w:val="2B2A29"/>
        </w:rPr>
        <w:t>, Embecta granted 1,265,061 RSUs in the form of PSUs to certain executive officers and employees which cliff vest after three years, subject to continued employment of the recipients and the achievement of certain performance metric targets.</w:t>
      </w:r>
    </w:p>
    <w:p>
      <w:pPr>
        <w:spacing w:after="0" w:line="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B2A29"/>
        </w:rPr>
        <w:t xml:space="preserve">For PSUs awarded in the prior fiscal year, certain performance metrics and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over the requisite service period based on the fair value at each reporting date. The requisite service period is equal to the vesting period or is based on retirement eligibility. These awards accumulate dividend equivalents, which are provided as additional units and are subject to the same vesting requirements as the underlying grant. 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B2A29"/>
        </w:rPr>
        <w:t>, there were 488,756 RSUs in the form of PSUs that have been awarded, inclusive of accumulated dividend equivalents, for which a grant date has not yet been established.</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PSUs outstanding as of December 31, 2025 and changes during the three months ended December 31, 2025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Units (in</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794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23"/>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at December 31</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10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to vest at December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weighted average remaining vesting term of PSUs is 2.1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stock appreciation rights ("SARs") outstanding as of December 31, 2025 and changes during the three months ended December 31, 2025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2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SARs (in thousands)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20" w:type="dxa"/>
            <w:vAlign w:val="bottom"/>
          </w:tcPr>
          <w:p>
            <w:pPr>
              <w:spacing w:after="0"/>
              <w:rPr>
                <w:sz w:val="20"/>
                <w:szCs w:val="20"/>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December 31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December 31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exercised include shares withheld for taxes that are not formally issued to the market.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SARs were exercised during the three months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December 31, 2025, is approximately $47.5 million which is expected to be recognized over a weighted-average remaining life of approximately 2.3 years. At December 31, 2025, 0.8 million shares were authorized for future grants under the Company's 2022 Employee and Director Equity Based Compensation Plan, as amended.</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0" w:type="dxa"/>
            <w:vAlign w:val="bottom"/>
          </w:tcPr>
          <w:p>
            <w:pPr>
              <w:spacing w:after="0"/>
              <w:rPr>
                <w:sz w:val="1"/>
                <w:szCs w:val="1"/>
                <w:color w:val="auto"/>
              </w:rPr>
            </w:pPr>
          </w:p>
        </w:tc>
      </w:tr>
      <w:tr>
        <w:trPr>
          <w:trHeight w:val="3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4"/>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4"/>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Cloud Computing Arrangements</w:t>
      </w:r>
    </w:p>
    <w:p>
      <w:pPr>
        <w:spacing w:after="0" w:line="12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the development of cloud computing arrangements in a manner consistent with internally developed software. Capitalized costs are included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Capitalized costs to implement cloud computing arrangements at cost and accumulated amortization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center"/>
              <w:ind w:left="1199"/>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200" w:type="dxa"/>
            <w:vAlign w:val="bottom"/>
          </w:tcPr>
          <w:p>
            <w:pPr>
              <w:spacing w:after="0"/>
              <w:rPr>
                <w:sz w:val="18"/>
                <w:szCs w:val="18"/>
                <w:color w:val="auto"/>
              </w:rPr>
            </w:pPr>
          </w:p>
        </w:tc>
        <w:tc>
          <w:tcPr>
            <w:tcW w:w="17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9"/>
              </w:rPr>
              <w:t>61.2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left="1219"/>
              <w:spacing w:after="0"/>
              <w:rPr>
                <w:sz w:val="20"/>
                <w:szCs w:val="20"/>
                <w:color w:val="auto"/>
              </w:rPr>
            </w:pPr>
            <w:r>
              <w:rPr>
                <w:rFonts w:ascii="Times New Roman" w:cs="Times New Roman" w:eastAsia="Times New Roman" w:hAnsi="Times New Roman"/>
                <w:sz w:val="16"/>
                <w:szCs w:val="16"/>
                <w:color w:val="auto"/>
              </w:rPr>
              <w:t>61.3</w:t>
            </w: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center"/>
              <w:ind w:left="1199"/>
              <w:spacing w:after="0"/>
              <w:rPr>
                <w:sz w:val="20"/>
                <w:szCs w:val="20"/>
                <w:color w:val="auto"/>
              </w:rPr>
            </w:pPr>
            <w:r>
              <w:rPr>
                <w:rFonts w:ascii="Times New Roman" w:cs="Times New Roman" w:eastAsia="Times New Roman" w:hAnsi="Times New Roman"/>
                <w:sz w:val="16"/>
                <w:szCs w:val="16"/>
                <w:color w:val="auto"/>
                <w:w w:val="99"/>
              </w:rPr>
              <w:t>71.7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rPr>
              <w:t>71.7</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Pr>
          <w:p>
            <w:pPr>
              <w:spacing w:after="0"/>
              <w:rPr>
                <w:sz w:val="18"/>
                <w:szCs w:val="18"/>
                <w:color w:val="auto"/>
              </w:rPr>
            </w:pPr>
          </w:p>
        </w:tc>
        <w:tc>
          <w:tcPr>
            <w:tcW w:w="172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w w:val="98"/>
              </w:rPr>
              <w:t>(19.4)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(16.8)</w:t>
            </w: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center"/>
              <w:ind w:left="1199"/>
              <w:spacing w:after="0"/>
              <w:rPr>
                <w:sz w:val="20"/>
                <w:szCs w:val="20"/>
                <w:color w:val="auto"/>
              </w:rPr>
            </w:pPr>
            <w:r>
              <w:rPr>
                <w:rFonts w:ascii="Times New Roman" w:cs="Times New Roman" w:eastAsia="Times New Roman" w:hAnsi="Times New Roman"/>
                <w:sz w:val="16"/>
                <w:szCs w:val="16"/>
                <w:color w:val="auto"/>
                <w:w w:val="99"/>
              </w:rPr>
              <w:t>52.3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rPr>
              <w:t>54.9</w:t>
            </w:r>
          </w:p>
        </w:tc>
      </w:tr>
      <w:tr>
        <w:trPr>
          <w:trHeight w:val="33"/>
        </w:trPr>
        <w:tc>
          <w:tcPr>
            <w:tcW w:w="7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Costs amortized during the </w:t>
      </w:r>
      <w:r>
        <w:rPr>
          <w:rFonts w:ascii="Times New Roman" w:cs="Times New Roman" w:eastAsia="Times New Roman" w:hAnsi="Times New Roman"/>
          <w:sz w:val="18"/>
          <w:szCs w:val="18"/>
          <w:color w:val="2B2A29"/>
        </w:rPr>
        <w:t>three months ended December 31, 2025 and</w:t>
      </w:r>
      <w:r>
        <w:rPr>
          <w:rFonts w:ascii="Times New Roman" w:cs="Times New Roman" w:eastAsia="Times New Roman" w:hAnsi="Times New Roman"/>
          <w:sz w:val="18"/>
          <w:szCs w:val="18"/>
          <w:color w:val="auto"/>
        </w:rPr>
        <w:t xml:space="preserve"> 2024 are included in </w:t>
      </w:r>
      <w:r>
        <w:rPr>
          <w:rFonts w:ascii="Times New Roman" w:cs="Times New Roman" w:eastAsia="Times New Roman" w:hAnsi="Times New Roman"/>
          <w:sz w:val="18"/>
          <w:szCs w:val="18"/>
          <w:i w:val="1"/>
          <w:iCs w:val="1"/>
          <w:color w:val="auto"/>
        </w:rPr>
        <w:t>Other operating (income) expense, net</w:t>
      </w:r>
      <w:r>
        <w:rPr>
          <w:rFonts w:ascii="Times New Roman" w:cs="Times New Roman" w:eastAsia="Times New Roman" w:hAnsi="Times New Roman"/>
          <w:sz w:val="18"/>
          <w:szCs w:val="18"/>
          <w:color w:val="auto"/>
        </w:rPr>
        <w:t xml:space="preserve"> and were as follows:</w:t>
      </w:r>
    </w:p>
    <w:p>
      <w:pPr>
        <w:spacing w:after="0" w:line="16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38735</wp:posOffset>
            </wp:positionV>
            <wp:extent cx="2091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3" w:lineRule="exact"/>
        <w:rPr>
          <w:sz w:val="20"/>
          <w:szCs w:val="20"/>
          <w:color w:val="auto"/>
        </w:rPr>
      </w:pPr>
    </w:p>
    <w:p>
      <w:pPr>
        <w:ind w:left="8580"/>
        <w:spacing w:after="0"/>
        <w:tabs>
          <w:tab w:leader="none" w:pos="1026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61" w:lineRule="exact"/>
        <w:rPr>
          <w:sz w:val="20"/>
          <w:szCs w:val="20"/>
          <w:color w:val="auto"/>
        </w:rPr>
      </w:pPr>
    </w:p>
    <w:p>
      <w:pPr>
        <w:ind w:left="20"/>
        <w:spacing w:after="0"/>
        <w:tabs>
          <w:tab w:leader="none" w:pos="7940" w:val="left"/>
          <w:tab w:leader="none" w:pos="9240" w:val="left"/>
          <w:tab w:leader="none" w:pos="9640" w:val="left"/>
          <w:tab w:leader="none" w:pos="10960" w:val="left"/>
        </w:tabs>
        <w:rPr>
          <w:sz w:val="20"/>
          <w:szCs w:val="20"/>
          <w:color w:val="auto"/>
        </w:rPr>
      </w:pPr>
      <w:r>
        <w:rPr>
          <w:rFonts w:ascii="Times New Roman" w:cs="Times New Roman" w:eastAsia="Times New Roman" w:hAnsi="Times New Roman"/>
          <w:sz w:val="16"/>
          <w:szCs w:val="16"/>
          <w:color w:val="auto"/>
        </w:rPr>
        <w:t>Amortization of cloud computing arrangements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2.6</w:t>
        <w:tab/>
        <w:t>$</w:t>
      </w:r>
      <w:r>
        <w:rPr>
          <w:sz w:val="20"/>
          <w:szCs w:val="20"/>
          <w:color w:val="auto"/>
        </w:rPr>
        <w:tab/>
      </w: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cloud computing arrangement assets in-service have remaining useful lives of up to seven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17" w:lineRule="exact"/>
        <w:rPr>
          <w:sz w:val="20"/>
          <w:szCs w:val="20"/>
          <w:color w:val="auto"/>
        </w:rPr>
      </w:pPr>
    </w:p>
    <w:p>
      <w:pPr>
        <w:jc w:val="both"/>
        <w:ind w:left="900" w:hanging="568"/>
        <w:spacing w:after="0" w:line="250" w:lineRule="auto"/>
        <w:tabs>
          <w:tab w:leader="none" w:pos="895" w:val="left"/>
        </w:tabs>
        <w:numPr>
          <w:ilvl w:val="0"/>
          <w:numId w:val="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69" w:lineRule="exact"/>
        <w:rPr>
          <w:rFonts w:ascii="Times New Roman" w:cs="Times New Roman" w:eastAsia="Times New Roman" w:hAnsi="Times New Roman"/>
          <w:sz w:val="18"/>
          <w:szCs w:val="18"/>
          <w:color w:val="2B2A29"/>
        </w:rPr>
      </w:pPr>
    </w:p>
    <w:p>
      <w:pPr>
        <w:jc w:val="both"/>
        <w:ind w:left="900" w:hanging="568"/>
        <w:spacing w:after="0" w:line="247" w:lineRule="auto"/>
        <w:tabs>
          <w:tab w:leader="none" w:pos="895" w:val="left"/>
        </w:tabs>
        <w:numPr>
          <w:ilvl w:val="0"/>
          <w:numId w:val="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March 2027. </w:t>
      </w:r>
      <w:r>
        <w:rPr>
          <w:rFonts w:ascii="Times New Roman" w:cs="Times New Roman" w:eastAsia="Times New Roman" w:hAnsi="Times New Roman"/>
          <w:sz w:val="18"/>
          <w:szCs w:val="18"/>
          <w:color w:val="2B2A29"/>
        </w:rPr>
        <w:t>Borrowings under the Revolving Credit Facility bear interest, at Embecta’s option, at an annual rate equal to (a)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December 31, 2025, no amount has been drawn on the Revolving</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Credit Facility.</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8"/>
          <w:szCs w:val="18"/>
          <w:color w:val="000000"/>
        </w:rPr>
        <w:t>Notes. In addition, the Credit Agreement contains covenants that will limit, among other things, Embecta’s ability to prepay, redeem or repurchase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its subordinated and junior lien debt, incur additional debt, make acquisitions, merge with other entities, pay dividends or distributions, redeem or repurchase equity interests, and create or become subject to liens. As of December 31, 2025, we were in compliance with all of such covenants. The credit agreement and the senior secured notes are secured by substantially all assets of Embecta and each subsidiary guarantor, subject to certain exceptions.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679.3</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1,379.3</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1,352.9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 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B2A29"/>
        </w:rPr>
        <w:t xml:space="preserve"> months ended </w:t>
      </w:r>
      <w:r>
        <w:rPr>
          <w:rFonts w:ascii="Times New Roman" w:cs="Times New Roman" w:eastAsia="Times New Roman" w:hAnsi="Times New Roman"/>
          <w:sz w:val="18"/>
          <w:szCs w:val="18"/>
          <w:color w:val="000000"/>
        </w:rPr>
        <w:t>December 31, 2025, the Company recorded approximately $1.9 million of amortization on deferred debt issuance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costs and discounts.</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w:t>
      </w:r>
      <w:r>
        <w:rPr>
          <w:rFonts w:ascii="Times New Roman" w:cs="Times New Roman" w:eastAsia="Times New Roman" w:hAnsi="Times New Roman"/>
          <w:sz w:val="18"/>
          <w:szCs w:val="18"/>
          <w:color w:val="2B2A29"/>
        </w:rPr>
        <w:t>December 31, 2025</w:t>
      </w:r>
      <w:r>
        <w:rPr>
          <w:rFonts w:ascii="Times New Roman" w:cs="Times New Roman" w:eastAsia="Times New Roman" w:hAnsi="Times New Roman"/>
          <w:sz w:val="18"/>
          <w:szCs w:val="18"/>
          <w:color w:val="auto"/>
        </w:rPr>
        <w:t xml:space="preserve">, the Company made interest payments of $13.2 million on debt outstanding. The weighted-average interest rate on total borrowings as of </w:t>
      </w:r>
      <w:r>
        <w:rPr>
          <w:rFonts w:ascii="Times New Roman" w:cs="Times New Roman" w:eastAsia="Times New Roman" w:hAnsi="Times New Roman"/>
          <w:sz w:val="18"/>
          <w:szCs w:val="18"/>
          <w:color w:val="2B2A29"/>
        </w:rPr>
        <w:t>December 31, 2025</w:t>
      </w:r>
      <w:r>
        <w:rPr>
          <w:rFonts w:ascii="Times New Roman" w:cs="Times New Roman" w:eastAsia="Times New Roman" w:hAnsi="Times New Roman"/>
          <w:sz w:val="18"/>
          <w:szCs w:val="18"/>
          <w:color w:val="auto"/>
        </w:rPr>
        <w:t xml:space="preserve"> is 6.1%.</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three months ended</w:t>
      </w:r>
      <w:r>
        <w:rPr>
          <w:rFonts w:ascii="Times New Roman" w:cs="Times New Roman" w:eastAsia="Times New Roman" w:hAnsi="Times New Roman"/>
          <w:sz w:val="18"/>
          <w:szCs w:val="18"/>
          <w:color w:val="2B2A29"/>
        </w:rPr>
        <w:t xml:space="preserve"> December 31, 2025, the Company paid an aggregate principal amount of approximately </w:t>
      </w:r>
      <w:r>
        <w:rPr>
          <w:rFonts w:ascii="Times New Roman" w:cs="Times New Roman" w:eastAsia="Times New Roman" w:hAnsi="Times New Roman"/>
          <w:sz w:val="18"/>
          <w:szCs w:val="18"/>
          <w:color w:val="000000"/>
        </w:rPr>
        <w:t>$37.5 million</w:t>
      </w:r>
      <w:r>
        <w:rPr>
          <w:rFonts w:ascii="Times New Roman" w:cs="Times New Roman" w:eastAsia="Times New Roman" w:hAnsi="Times New Roman"/>
          <w:sz w:val="18"/>
          <w:szCs w:val="18"/>
          <w:color w:val="2B2A29"/>
        </w:rPr>
        <w:t xml:space="preserve"> on the Term Loan, of which </w:t>
      </w:r>
      <w:r>
        <w:rPr>
          <w:rFonts w:ascii="Times New Roman" w:cs="Times New Roman" w:eastAsia="Times New Roman" w:hAnsi="Times New Roman"/>
          <w:sz w:val="18"/>
          <w:szCs w:val="18"/>
          <w:color w:val="000000"/>
        </w:rPr>
        <w:t>$35.1 million</w:t>
      </w:r>
      <w:r>
        <w:rPr>
          <w:rFonts w:ascii="Times New Roman" w:cs="Times New Roman" w:eastAsia="Times New Roman" w:hAnsi="Times New Roman"/>
          <w:sz w:val="18"/>
          <w:szCs w:val="18"/>
          <w:color w:val="2B2A29"/>
        </w:rPr>
        <w:t xml:space="preserve"> was discretionary. Debt extinguishment charges as a result of these discretionary prepayments were not material to the Company's Condensed 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December 31, 2025 was $1,356.8 million compared with a carrying value (which includes a reduction for unamortized debt issuance costs and discounts) of $1,362.4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calculation of earnings per basic and diluted common share for the </w:t>
      </w:r>
      <w:r>
        <w:rPr>
          <w:rFonts w:ascii="Times New Roman" w:cs="Times New Roman" w:eastAsia="Times New Roman" w:hAnsi="Times New Roman"/>
          <w:sz w:val="17"/>
          <w:szCs w:val="17"/>
          <w:color w:val="2B2A29"/>
        </w:rPr>
        <w:t>three months ended December 31, 2025 and</w:t>
      </w:r>
      <w:r>
        <w:rPr>
          <w:rFonts w:ascii="Times New Roman" w:cs="Times New Roman" w:eastAsia="Times New Roman" w:hAnsi="Times New Roman"/>
          <w:sz w:val="17"/>
          <w:szCs w:val="17"/>
          <w:color w:val="auto"/>
        </w:rPr>
        <w:t xml:space="preserve"> 2024 </w:t>
      </w:r>
      <w:r>
        <w:rPr>
          <w:rFonts w:ascii="Times New Roman" w:cs="Times New Roman" w:eastAsia="Times New Roman" w:hAnsi="Times New Roman"/>
          <w:sz w:val="17"/>
          <w:szCs w:val="17"/>
          <w:color w:val="2B2A29"/>
        </w:rPr>
        <w:t>was as follows: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08088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123190</wp:posOffset>
            </wp:positionV>
            <wp:extent cx="708088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0885" cy="15430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088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0885" cy="154305"/>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Diluted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123190</wp:posOffset>
            </wp:positionV>
            <wp:extent cx="708088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0885" cy="15430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Earnings per common share - Basic</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Earnings per common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0885"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0885" cy="102870"/>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Antidilutive Shares (millions)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05"/>
        </w:trPr>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58,796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57,952</w:t>
            </w:r>
          </w:p>
        </w:tc>
      </w:tr>
      <w:tr>
        <w:trPr>
          <w:trHeight w:val="243"/>
        </w:trPr>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43"/>
        </w:trPr>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58,622</w:t>
            </w:r>
          </w:p>
        </w:tc>
      </w:tr>
      <w:tr>
        <w:trPr>
          <w:trHeight w:val="405"/>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05"/>
        </w:trPr>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bl>
    <w:p>
      <w:pPr>
        <w:spacing w:after="0" w:line="200" w:lineRule="exact"/>
        <w:rPr>
          <w:sz w:val="20"/>
          <w:szCs w:val="20"/>
          <w:color w:val="auto"/>
        </w:rPr>
      </w:pPr>
    </w:p>
    <w:p>
      <w:pPr>
        <w:sectPr>
          <w:pgSz w:w="11900" w:h="16838" w:orient="portrait"/>
          <w:cols w:equalWidth="0" w:num="2">
            <w:col w:w="7180" w:space="720"/>
            <w:col w:w="3340"/>
          </w:cols>
          <w:pgMar w:left="320" w:top="226" w:right="339" w:bottom="1440" w:gutter="0" w:footer="0" w:header="0"/>
          <w:type w:val="continuous"/>
        </w:sectPr>
      </w:pPr>
    </w:p>
    <w:p>
      <w:pPr>
        <w:spacing w:after="0" w:line="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 PSUs vest based upon achievement of performance targets and are excluded from the diluted shares outstanding unless the performance targets have been met as of the end of the applicable reporting period regardless of whether such performance targets are probable of achievement.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change from quarter to quarter because of variability in global pretax income or geographical mix of the Company's earnings, changes in tax laws and matters related to tax audits.</w:t>
      </w:r>
    </w:p>
    <w:p>
      <w:pPr>
        <w:spacing w:after="0" w:line="6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effective tax rates were 25.1% and 100.0% for the three months ended December 31, 2025 and 2024, respectively. The decrease in the Company's effective tax rate compared to the prior period is primarily due to the level and mix of earnings, lower limitations on the deductibility of interest expense in the U.S. and lower U.S. tax on foreign earnings.</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developed major reform of the international tax system with respect to a global minimum 15% tax rate. European Union member states agreed to adopt the OECD’s minimum tax rules, which went into effect for tax years beginning on January 1, 2024 or later. Certain countries have enacted the law changes and other countries are considering changes to their tax laws. The impact of the changes went into effect for the Company beginning in fiscal year 2025. The global minimum tax rules did not have a material impact to our provision for income taxes for the period ended December 31, 2025.</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5, 2026, the OECD released the Pillar 2 Side-by-Side Package, which addresses how subsidiaries of U.S. listed companies are taxed under Pillar 2, including the addition of some safe harbors. As countries adopt these rules, the Company will continue to evaluate the future impact of these changes.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the U.S. One Big Beautiful Bill Act ("OBBBA") was enacted which includes permanent extensions of certain expiring provisions of the Tax Cuts and Jobs Act and makes significant modifications to the U.S. international tax framework. The legislation has multiple effective dates, with certain provisions effective beginning in fiscal year ended September 30, 2025 and others becoming effective through the fiscal year ended September 30, 2027. OBBBA did not have a material impact to the Company's provision for income taxes for the period ended December 31, 2025.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Receivables Sale Agreement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Company's receivables sale agreement, $56.0 million of trade receivables were sold during the three months ended December 31, 2025, resulting in derecognition of the receivables from the Company's Condensed Consolidated Balance Sheets. Discounts recognized on the sale of trade receivables were not material to the Company's Condensed Consolidated Statements of Income. The cash received on the sale of trade receivables during the three months ended December 31, 2025 is presented in changes in trade receivables, net within operating activities in the Condensed Consolidated Statement of Cash Flows.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Financial Instruments and Fair Value Measurements</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Condensed Consolidated Balance Sheets as of December 31, 2025 and September 30, 2025, to the total amounts shown in the Condensed Consolidated Statements of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Cash and equivalents as of December 31, 2025 includes cash held in money market funds and other cash equivalents. All cash and equivalents are Level 1 in the fair value hierarchy. 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$0.9 million and $1.8 million for the three months ended December 31, 2025 and 2024, respectively, and is included as a component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Restricted cash consists of cash not readily available for use in the Company's operating activities. The Company's restricted cash balance is primarily pledged as collateral for bank guarantees related to certain customer performance guarantees and property leases internationally.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 as of December 31, 2025 and September 30,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3"/>
        </w:trPr>
        <w:tc>
          <w:tcPr>
            <w:tcW w:w="546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Foreign exchange contracts</w:t>
            </w:r>
            <w:r>
              <w:rPr>
                <w:rFonts w:ascii="Times New Roman" w:cs="Times New Roman" w:eastAsia="Times New Roman" w:hAnsi="Times New Roman"/>
                <w:sz w:val="21"/>
                <w:szCs w:val="21"/>
                <w:color w:val="auto"/>
                <w:vertAlign w:val="superscript"/>
              </w:rPr>
              <w:t>(a)</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ind w:left="340" w:hanging="332"/>
        <w:spacing w:after="0" w:line="252"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hedges of transactional foreign exchange exposures resulting primarily from intercompany payables and third-party transactions. Gains and losses on these instruments are recognized immediately in Other income (expense), net.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the first three months of fiscal year 2025, the Company recorded non-cash asset impairment charges of $10.4 million to write down the carrying value of certain property and equipment as a result of the Company's plan to discontinue the patch pump program. $6.1 million was recorded to </w:t>
      </w:r>
      <w:r>
        <w:rPr>
          <w:rFonts w:ascii="Times New Roman" w:cs="Times New Roman" w:eastAsia="Times New Roman" w:hAnsi="Times New Roman"/>
          <w:sz w:val="18"/>
          <w:szCs w:val="18"/>
          <w:i w:val="1"/>
          <w:iCs w:val="1"/>
          <w:color w:val="auto"/>
        </w:rPr>
        <w:t>Cost of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sold </w:t>
      </w:r>
      <w:r>
        <w:rPr>
          <w:rFonts w:ascii="Times New Roman" w:cs="Times New Roman" w:eastAsia="Times New Roman" w:hAnsi="Times New Roman"/>
          <w:sz w:val="18"/>
          <w:szCs w:val="18"/>
          <w:color w:val="auto"/>
        </w:rPr>
        <w:t>and $4.3 million was recorded to</w:t>
      </w:r>
      <w:r>
        <w:rPr>
          <w:rFonts w:ascii="Times New Roman" w:cs="Times New Roman" w:eastAsia="Times New Roman" w:hAnsi="Times New Roman"/>
          <w:sz w:val="18"/>
          <w:szCs w:val="18"/>
          <w:i w:val="1"/>
          <w:iCs w:val="1"/>
          <w:color w:val="auto"/>
        </w:rPr>
        <w:t xml:space="preserve"> Research and development expense</w:t>
      </w:r>
      <w:r>
        <w:rPr>
          <w:rFonts w:ascii="Times New Roman" w:cs="Times New Roman" w:eastAsia="Times New Roman" w:hAnsi="Times New Roman"/>
          <w:sz w:val="18"/>
          <w:szCs w:val="18"/>
          <w:color w:val="auto"/>
        </w:rPr>
        <w:t>. The amount recognized was recorded to adjust the carrying amount of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assets' fair values, which were estimated, based upon a market participant's perspective, using Level 3 measurements, including values estimated using the income approach.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38.1% for the three months ended December 31, 2025.</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Company's customers represented at least 10.0% of total gross trade receivables as of December 31, 2025.</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8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04"/>
        </w:trPr>
        <w:tc>
          <w:tcPr>
            <w:tcW w:w="6380" w:type="dxa"/>
            <w:vAlign w:val="bottom"/>
          </w:tcPr>
          <w:p>
            <w:pPr>
              <w:spacing w:after="0"/>
              <w:rPr>
                <w:sz w:val="17"/>
                <w:szCs w:val="17"/>
                <w:color w:val="auto"/>
              </w:rPr>
            </w:pP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791.3</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w:t>
            </w:r>
          </w:p>
        </w:tc>
      </w:tr>
      <w:tr>
        <w:trPr>
          <w:trHeight w:val="33"/>
        </w:trPr>
        <w:tc>
          <w:tcPr>
            <w:tcW w:w="63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
        </w:trPr>
        <w:tc>
          <w:tcPr>
            <w:tcW w:w="6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Condensed Consolidated Balance Sheets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920" w:type="dxa"/>
            <w:vAlign w:val="bottom"/>
            <w:tcBorders>
              <w:top w:val="single" w:sz="8" w:color="auto"/>
            </w:tcBorders>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r>
      <w:tr>
        <w:trPr>
          <w:trHeight w:val="33"/>
        </w:trPr>
        <w:tc>
          <w:tcPr>
            <w:tcW w:w="6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920" w:type="dxa"/>
            <w:vAlign w:val="bottom"/>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920" w:type="dxa"/>
            <w:vAlign w:val="bottom"/>
            <w:tcBorders>
              <w:top w:val="single" w:sz="8" w:color="auto"/>
            </w:tcBorders>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r>
      <w:tr>
        <w:trPr>
          <w:trHeight w:val="33"/>
        </w:trPr>
        <w:tc>
          <w:tcPr>
            <w:tcW w:w="6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2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18"/>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920" w:type="dxa"/>
            <w:vAlign w:val="bottom"/>
            <w:tcBorders>
              <w:top w:val="single" w:sz="8" w:color="auto"/>
            </w:tcBorders>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r>
      <w:tr>
        <w:trPr>
          <w:trHeight w:val="33"/>
        </w:trPr>
        <w:tc>
          <w:tcPr>
            <w:tcW w:w="6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920" w:type="dxa"/>
            <w:vAlign w:val="bottom"/>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920" w:type="dxa"/>
            <w:vAlign w:val="bottom"/>
            <w:tcBorders>
              <w:top w:val="single" w:sz="8" w:color="auto"/>
            </w:tcBorders>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r>
      <w:tr>
        <w:trPr>
          <w:trHeight w:val="33"/>
        </w:trPr>
        <w:tc>
          <w:tcPr>
            <w:tcW w:w="6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2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33"/>
        </w:trPr>
        <w:tc>
          <w:tcPr>
            <w:tcW w:w="6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costs incurred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0" w:type="dxa"/>
            <w:vAlign w:val="bottom"/>
          </w:tcPr>
          <w:p>
            <w:pPr>
              <w:spacing w:after="0"/>
              <w:rPr>
                <w:sz w:val="1"/>
                <w:szCs w:val="1"/>
                <w:color w:val="auto"/>
              </w:rPr>
            </w:pPr>
          </w:p>
        </w:tc>
      </w:tr>
      <w:tr>
        <w:trPr>
          <w:trHeight w:val="33"/>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482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80" w:type="dxa"/>
            <w:vAlign w:val="bottom"/>
            <w:tcBorders>
              <w:bottom w:val="single" w:sz="8" w:color="auto"/>
            </w:tcBorders>
            <w:vMerge w:val="continue"/>
          </w:tcPr>
          <w:p>
            <w:pPr>
              <w:spacing w:after="0"/>
              <w:rPr>
                <w:sz w:val="18"/>
                <w:szCs w:val="18"/>
                <w:color w:val="auto"/>
              </w:rPr>
            </w:pPr>
          </w:p>
        </w:tc>
        <w:tc>
          <w:tcPr>
            <w:tcW w:w="48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7"/>
        </w:trPr>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4820" w:type="dxa"/>
            <w:vAlign w:val="bottom"/>
            <w:shd w:val="clear" w:color="auto" w:fill="CCEEFF"/>
          </w:tcPr>
          <w:p>
            <w:pPr>
              <w:ind w:left="760"/>
              <w:spacing w:after="0" w:line="158" w:lineRule="exact"/>
              <w:rPr>
                <w:sz w:val="20"/>
                <w:szCs w:val="20"/>
                <w:color w:val="auto"/>
              </w:rPr>
            </w:pPr>
            <w:r>
              <w:rPr>
                <w:rFonts w:ascii="Times New Roman" w:cs="Times New Roman" w:eastAsia="Times New Roman" w:hAnsi="Times New Roman"/>
                <w:sz w:val="16"/>
                <w:szCs w:val="16"/>
                <w:color w:val="auto"/>
              </w:rPr>
              <w:t>Selling and administrative and Research and Development</w:t>
            </w: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29"/>
        </w:trPr>
        <w:tc>
          <w:tcPr>
            <w:tcW w:w="2680" w:type="dxa"/>
            <w:vAlign w:val="bottom"/>
            <w:vMerge w:val="continue"/>
            <w:shd w:val="clear" w:color="auto" w:fill="CCEEFF"/>
          </w:tcPr>
          <w:p>
            <w:pPr>
              <w:spacing w:after="0"/>
              <w:rPr>
                <w:sz w:val="11"/>
                <w:szCs w:val="11"/>
                <w:color w:val="auto"/>
              </w:rPr>
            </w:pPr>
          </w:p>
        </w:tc>
        <w:tc>
          <w:tcPr>
            <w:tcW w:w="482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vMerge w:val="continue"/>
            <w:shd w:val="clear" w:color="auto" w:fill="CCEEFF"/>
          </w:tcPr>
          <w:p>
            <w:pPr>
              <w:spacing w:after="0"/>
              <w:rPr>
                <w:sz w:val="11"/>
                <w:szCs w:val="11"/>
                <w:color w:val="auto"/>
              </w:rPr>
            </w:pPr>
          </w:p>
        </w:tc>
        <w:tc>
          <w:tcPr>
            <w:tcW w:w="1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80" w:type="dxa"/>
            <w:vAlign w:val="bottom"/>
            <w:shd w:val="clear" w:color="auto" w:fill="CCEEFF"/>
          </w:tcPr>
          <w:p>
            <w:pPr>
              <w:spacing w:after="0"/>
              <w:rPr>
                <w:sz w:val="7"/>
                <w:szCs w:val="7"/>
                <w:color w:val="auto"/>
              </w:rPr>
            </w:pPr>
          </w:p>
        </w:tc>
        <w:tc>
          <w:tcPr>
            <w:tcW w:w="4820" w:type="dxa"/>
            <w:vAlign w:val="bottom"/>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4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of lease assets</w:t>
            </w:r>
          </w:p>
        </w:tc>
        <w:tc>
          <w:tcPr>
            <w:tcW w:w="48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Cost of products sold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8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48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months ended December 31, 2025 and 2024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both the three months ended December 31, 2025 and 2024, right of use assets obtained in exchange for lease liabilities were not material.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for amounts included in the measurement of lease liabilities</w:t>
            </w:r>
          </w:p>
        </w:tc>
        <w:tc>
          <w:tcPr>
            <w:tcW w:w="1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
        </w:trPr>
        <w:tc>
          <w:tcPr>
            <w:tcW w:w="6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960" w:type="dxa"/>
            <w:vAlign w:val="bottom"/>
            <w:tcBorders>
              <w:bottom w:val="single" w:sz="8" w:color="CCEEFF"/>
            </w:tcBorders>
            <w:shd w:val="clear" w:color="auto" w:fill="CCEEFF"/>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1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6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64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December 31, 2025 by fiscal year are as follows: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2030</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0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2"/>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the over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Global Trade. The current global economic environment has been recently influenced by rapidly changing new tariff policies instituted by the United States government and foreign governments. As a global company that both imports raw materials and products into the U.S. and distributes raw materials and products originating from the U.S. to global manufacturing sites and markets, these new tariffs may have a financial impact on our cost of goods, our profit margins, our business generally and our global distribution strategy. These new tariffs may cause foreign governments and private purchasers to consider transitioning away from products originating from certain countries (including the U.S.) in favor of buying “local” products resulting in the additional possibility that local manufacturers, brands and other competitors may engage in aggressive competitive pricing to take advantage of the uncertain global trade environment and transition customers away from global manufacturers, all of which may impact the Company’s business and operations.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and once-weekly anti-diabetic drugs (e.g., SGLT-2s, once-weekly insulin,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 Given our global business, we expect recently announced tariffs will result in additional cost for us and our suppliers, and there is the potential that such tariffs may influence future decisions by foreign governments and private purchasers to source non-U.S., “locally” manufactured products instead of products originating from certain countries (including the U.S.) and that local manufacturers, brands and other competitors may engage in aggressive competitive pricing or other strategies to take advantage of the uncertain global trade environment and transition customers away from global manufacturers. We will continue to monitor the evolving tariff environment and we will focus on optimizing operations and leveraging existing strategies to reduce the impact from tariffs.</w:t>
      </w:r>
    </w:p>
    <w:p>
      <w:pPr>
        <w:spacing w:after="0" w:line="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continue to monitor the conflict in Ukraine and the associated sanctions and other restrictions. We also are monitoring the conflicts in the Middle East and Houthi attacks on commercial shipping vessels and other naval vessels. As of February 5, 2026,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changing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Income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820" w:type="dxa"/>
            <w:vAlign w:val="bottom"/>
            <w:tcBorders>
              <w:bottom w:val="single" w:sz="8" w:color="auto"/>
            </w:tcBorders>
          </w:tcPr>
          <w:p>
            <w:pPr>
              <w:spacing w:after="0"/>
              <w:rPr>
                <w:sz w:val="18"/>
                <w:szCs w:val="18"/>
                <w:color w:val="auto"/>
              </w:rPr>
            </w:pPr>
          </w:p>
        </w:tc>
      </w:tr>
      <w:tr>
        <w:trPr>
          <w:trHeight w:val="209"/>
        </w:trPr>
        <w:tc>
          <w:tcPr>
            <w:tcW w:w="70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261.2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(77.3)</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(114.1)</w:t>
            </w:r>
          </w:p>
        </w:tc>
      </w:tr>
      <w:tr>
        <w:trPr>
          <w:trHeight w:val="204"/>
        </w:trPr>
        <w:tc>
          <w:tcPr>
            <w:tcW w:w="7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(38.9)</w:t>
            </w:r>
          </w:p>
        </w:tc>
      </w:tr>
      <w:tr>
        <w:trPr>
          <w:trHeight w:val="33"/>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190.2</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(80.0)</w:t>
            </w: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70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not meaningful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2025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December 31, 2025 were as follows:</w:t>
      </w:r>
    </w:p>
    <w:p>
      <w:pPr>
        <w:spacing w:after="0" w:line="144"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$0.7 million to $261.2 million from $261.9 million;</w:t>
      </w:r>
    </w:p>
    <w:p>
      <w:pPr>
        <w:spacing w:after="0" w:line="144"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by $4.6 million to $161.7 million from $157.1 million. Gross profit as a percent of revenue was 61.9%, as compared to 60.0%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$54.6 million to $83.3 million from $28.7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$44.1 million to $44.1 million from $0.0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revenues decreased by $0.7 million, or 0.3%, to $261.2 million for the three months ended December 31, 2025 as compared to revenues of $261.9 million for the three months ended December 31, 2024. Changes in revenues are driven by the volume of goods that the Company sells, the prices it negotiates with customers, and changes in foreign exchange rates. The decrease in revenues was driven by $7.8 million of unfavorable changes in price and a $0.7 million decrease in contract manufacturing revenues related to sales of non-diabetes products to BD, partially offset by $4.6 million associated with the positive impact of foreign currency translation primarily due to the weakening of the U.S. dollar and $3.2 million of favorable changes in volume.</w:t>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products sold decreased by $5.3 million, or 5.1%, to $99.5 million for the three months ended December 31, 2025 as compared to $104.8 million for the three months ended December 31, 2024. Cost of products sold as a percentage of revenues was 38.1% for the three months ended December 31, 2025 as compared to 40.0% for the three months ended December 31, 2024. The decrease in cost of products sold for the three month comparative period was primarily driven by impairment charges recorded in the prior period to write down the carrying value of certain property and equipment with no comparable impairment charges in the current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decreased by $3.5 million, or 4.3%, to $77.6 million for the three months ended December 31, 2025 as compared to $81.1 million for the three months ended December 31, 2024. The decrease for the three month comparative period was primarily driven by lower compensation expense in the current period.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decreased by $15.7 million, or 77.3%, to $4.6 million for the three months ended December 31, 2025 as compared to $20.3 million for the three months ended December 31, 2024. The decrease for the three month comparative period was primarily driven by expenses incurred in connection with the development of our insulin patch pump program in the prior year before the decision was made to discontinue the program. There were no comparable expenses associated with the patch pump program in the current year.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expense, net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7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certain intellectual property rights and long-lived assets</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33"/>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expense, net incurred primarily consist of the following:</w:t>
      </w:r>
    </w:p>
    <w:p>
      <w:pPr>
        <w:spacing w:after="0" w:line="104"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auditing, legal services, marketing, supply chain, employee retention, costs associated with the implementation of our new ERP system and other Business Continuity Processes, costs associated with brand transition, and certain other costs to establish certain stand-alone functions to assist with the transition to being a stand-alone entity;</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contract termination costs associated with the discontinued patch pump program;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recognized associated with the amortization of cloud computing arrangements;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the sale of certain intellectual property rights and long-lived assets associated with the patch pump program.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Interest expense, net decreased by $3.8 million to $24.1 million for the three months ended December 31, 2025 as compared to $27.9 million for the three months ended December 31, 2024. The decrease for the three month comparative period was primarily driven by lower debt levels and lower short-term interest rates in the current period as compared to the prior period. It remains unclear whether the United States Federal Reserve will increase or decrease the benchmark interest rate during the remainder of fiscal 2026. An increase in the benchmark interest rate would result in an increase in interest expense on our variable rate debt and a decrease in the benchmark interest rate would result in a decrease in interest expense on our variable rate debt.</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was $(0.3) million and $(1.5) million for the three months ended December 31, 2025 and 2024, respectively. Other income (expense), net did not materially change in the current period as compared to the prior year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effective tax rates were 25.1% and 100.0% for the three months ended December 31, 2025 and 2024, respectively. The decrease in the Company's effective tax rate compared to the prior period is primarily due to the level and mix of earnings, lower limitations on the deductibility of interest expense in the U.S. and lower U.S. tax on foreign earnings.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679.3</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w:t>
            </w: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1,379.3</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1,352.9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December 31, 2025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1,362.4</w:t>
            </w:r>
          </w:p>
        </w:tc>
      </w:tr>
      <w:tr>
        <w:trPr>
          <w:trHeight w:val="148"/>
        </w:trPr>
        <w:tc>
          <w:tcPr>
            <w:tcW w:w="6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37"/>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r>
    </w:tbl>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December 31, 2025, we were in compliance with all of such covenants. The credit agreement and the senior secured notes are secured by substantially all assets of Embecta and each subsidiary guarantor, subject to certain exceptions.</w:t>
      </w: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three months ended</w:t>
      </w:r>
      <w:r>
        <w:rPr>
          <w:rFonts w:ascii="Times New Roman" w:cs="Times New Roman" w:eastAsia="Times New Roman" w:hAnsi="Times New Roman"/>
          <w:sz w:val="18"/>
          <w:szCs w:val="18"/>
          <w:color w:val="2B2A29"/>
        </w:rPr>
        <w:t xml:space="preserve"> December 31, 2025, the Company paid an aggregate principal amount of approximately </w:t>
      </w:r>
      <w:r>
        <w:rPr>
          <w:rFonts w:ascii="Times New Roman" w:cs="Times New Roman" w:eastAsia="Times New Roman" w:hAnsi="Times New Roman"/>
          <w:sz w:val="18"/>
          <w:szCs w:val="18"/>
          <w:color w:val="000000"/>
        </w:rPr>
        <w:t>$37.5 million</w:t>
      </w:r>
      <w:r>
        <w:rPr>
          <w:rFonts w:ascii="Times New Roman" w:cs="Times New Roman" w:eastAsia="Times New Roman" w:hAnsi="Times New Roman"/>
          <w:sz w:val="18"/>
          <w:szCs w:val="18"/>
          <w:color w:val="2B2A29"/>
        </w:rPr>
        <w:t xml:space="preserve"> on the Term Loan, of which </w:t>
      </w:r>
      <w:r>
        <w:rPr>
          <w:rFonts w:ascii="Times New Roman" w:cs="Times New Roman" w:eastAsia="Times New Roman" w:hAnsi="Times New Roman"/>
          <w:sz w:val="18"/>
          <w:szCs w:val="18"/>
          <w:color w:val="000000"/>
        </w:rPr>
        <w:t>$35.1 million</w:t>
      </w:r>
      <w:r>
        <w:rPr>
          <w:rFonts w:ascii="Times New Roman" w:cs="Times New Roman" w:eastAsia="Times New Roman" w:hAnsi="Times New Roman"/>
          <w:sz w:val="18"/>
          <w:szCs w:val="18"/>
          <w:color w:val="2B2A29"/>
        </w:rPr>
        <w:t xml:space="preserve"> was discretionary. Debt extinguishment charges as a result of these discretionary prepayments were not material to the Company's Condensed Consolidated Statements of 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three months ended </w:t>
      </w:r>
      <w:r>
        <w:rPr>
          <w:rFonts w:ascii="Times New Roman" w:cs="Times New Roman" w:eastAsia="Times New Roman" w:hAnsi="Times New Roman"/>
          <w:sz w:val="18"/>
          <w:szCs w:val="18"/>
          <w:color w:val="2B2A29"/>
        </w:rPr>
        <w:t>December 31, 2025</w:t>
      </w:r>
      <w:r>
        <w:rPr>
          <w:rFonts w:ascii="Times New Roman" w:cs="Times New Roman" w:eastAsia="Times New Roman" w:hAnsi="Times New Roman"/>
          <w:sz w:val="18"/>
          <w:szCs w:val="18"/>
          <w:color w:val="auto"/>
        </w:rPr>
        <w:t>, the Company made interest payments of $13.2 million on debt outstanding.</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from time to time, seek to retire or repurchase our outstanding debt through cash purchases and/or exchanges for equity or debt, in open-market purchase, or privately negotiated transactions, or otherwise may redeem some or all of our debt pursuant to its terms. Such repurchases or exchanges, if any, will depend upon various factors existing at the time, including prevailing market conditions, our liquidity requirements, contractual restrictions and other factors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there can be no assurance as to which, if any, of these alternatives, or combination thereof, we may choose to pursue in the future.</w:t>
      </w:r>
    </w:p>
    <w:p>
      <w:pPr>
        <w:spacing w:after="0" w:line="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12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December 31, 2025 by fiscal year are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top w:val="single" w:sz="8" w:color="auto"/>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2030</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42" w:lineRule="exact"/>
        <w:rPr>
          <w:sz w:val="20"/>
          <w:szCs w:val="20"/>
          <w:color w:val="auto"/>
        </w:rPr>
      </w:pPr>
    </w:p>
    <w:p>
      <w:pPr>
        <w:ind w:right="380"/>
        <w:spacing w:after="0" w:line="408"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18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w:t>
      </w:r>
      <w:r>
        <w:rPr>
          <w:rFonts w:ascii="Times New Roman" w:cs="Times New Roman" w:eastAsia="Times New Roman" w:hAnsi="Times New Roman"/>
          <w:sz w:val="18"/>
          <w:szCs w:val="18"/>
          <w:b w:val="1"/>
          <w:bCs w:val="1"/>
          <w:i w:val="1"/>
          <w:iCs w:val="1"/>
          <w:color w:val="auto"/>
        </w:rPr>
        <w:t>Receivables Sale Agreement</w:t>
      </w: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established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Company's receivables sale agreement, $56.0 million of trade receivables were sold during the three months ended December 31, 2025, resulting in derecognition of the receivables from the Company's Condensed Consolidated Balance Sheets. Discounts recognized on the sale of trade receivables were not material to the Company's Condensed Consolidated Statements of Income. The cash received on the sale of trade receivables during the three months ended December 31, 2025 is presented in changes in trade receivables, net within operating activities in the Condensed Consolidated Statement of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and January 2026, Moody’s Investor Services and Standard &amp; Poor’s Ratings Services published updates and reaffirmed our preexisting credit ratings. Our Moody's Investors Services credit rating is B1 and our Standard &amp; Poor's Rating Services credit rating is B+.</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$204.4 million as of December 31, 2025 as compared to $228.6 million as of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uses of cash that contributed to the $24.2 million decrease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 Cash and equivalents and restricted cash balance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investing activities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 Cash and equivalents and restricted cash balance</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w:t>
            </w:r>
          </w:p>
        </w:tc>
      </w:tr>
      <w:tr>
        <w:trPr>
          <w:trHeight w:val="21"/>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162"/>
        </w:trPr>
        <w:tc>
          <w:tcPr>
            <w:tcW w:w="9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related to depreciation and amortization, impairment of property, plant and equipment, gain on sale of certain intellectual property</w:t>
            </w:r>
          </w:p>
        </w:tc>
        <w:tc>
          <w:tcPr>
            <w:tcW w:w="6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rights and long-lived assets, stock-based compensation, and deferred income taxes</w:t>
            </w:r>
          </w:p>
        </w:tc>
        <w:tc>
          <w:tcPr>
            <w:tcW w:w="6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trade receivables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inventories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amounts due from/due to Becton, Dickinson and Company</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prepaid expenses and other</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income and other net taxes payable</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assets and liabilities, net</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accounts payable and accrued expenses is primarily attributed to timing of payments to vendors and annual bonus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trade receivables is primarily attributed to the timing of sales and receivables factored.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inventories is primarily attributed to timing of purchases, production, and sales of our inventories.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amounts previously presented within Amounts due from Becton, Dickinson and Company and Amounts due to Becton, Dickinson and Company are presented within Trade receivables, net and Accounts Payable, respectively, beginning October 1, 2025 within the Condensed Consolidated Balance Sheets. Changes in working capital associated with the agreements referenced in Note 3 to the Condensed Consolidated Financial Statements are reflected within the change in trade receivables and accounts payable and accrued expenses,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prepaid expenses and other is primarily attributed to timing of payments to vendors.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is primarily attributed to timing of required tax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attributed to costs capitalized attributed to cloud computing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December 31, 2025 was comprised of proceeds from the sale of certain intellectual property rights and long-lived assets of $10.1 million offset by capital expenditures of $0.6 million to support our business and operations.</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payments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contractual obligations as of December 31, 2025,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 Refer to "Item 7. Management's Discussion and Analysis of Financial Condition and Results of Operations" in the 2025 Form 10-K for further details. As of December 31, 2025, there have been no material changes to our contractual obligations outside the ordinary course of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significant accounting policies, which include management’s best estimates and judgments, are included in Note 2 to the Consolidated Financial Statements included in the 2025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2025 Form 10-K. There have been no changes to our critical accounting policies as of December 31,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the Patch Pump Restructuring Plan, the 2025 Restructuring Plan, expectations related to the impact of incremental tariffs, brand transition,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81"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spacing w:after="0" w:line="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costs incurred from the new tariffs instituted by the U.S. government and certain foreign governments on raw materials and products,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6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as a result of the current global trade environment from the newly instituted tariffs, certain foreign governments, private purchasers and other customers in certain countries may consider transitioning away from products originating from certain countries (including the U.S.) in favor of buying “local” products and local manufacturers and competitors may attempt to capitalize on these sentiments and participate in aggressive competitive pricing or other strategies to transition, or divert, current and potential customers away Embecta.</w:t>
      </w:r>
    </w:p>
    <w:p>
      <w:pPr>
        <w:spacing w:after="0" w:line="6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U.S. Food and Drug Administration of any product, to market and sell such products successfully, to anticipate the needs of people with diabetes, and future business decisions by Embecta and its competitors.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or geopolitical instability on Embecta’s business, including disruptions in its operations and supply chains.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including brand transition timelines and efforts, may be more difficult, time-consuming or costly than expected, the impact on its resources, systems, including ERP, procedures and controls, diversion of management’s attention and the impact on relationships with customers, suppliers, employees and other business counterparties.</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timely and successfully complete the brand transition, including any resulting regulatory delays of transferring or obtaining registrations and licenses in the “Embecta” name, interruptions in, or customer confusion from, the replacement and transfer of the rebranded product into the current commercialization, supply and distribution networks, or other issues arising out of system, supply chain logistics, administrative and adjudicative operations transitions in the end-to-end product flow and end-user access.</w:t>
      </w:r>
    </w:p>
    <w:p>
      <w:pPr>
        <w:spacing w:after="0" w:line="6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related to the costs, profitability, timing and the estimated financial impact of, and charges associated with, the Patch Pump Program Restructuring Plan and the 2025 Restructuring Plan.</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2025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2025 Form 10-K except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16,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December 31, 2025, a 100 basis points change in interest rates would have impacted interest expense on the Term Loan by $6.8 million on an annualized basis. To the extent we borrow on our Revolving Credit Facility, we will be subject to risks related to changes in SOFR.</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the Company's Chief Executive Officer and Chief Financial Officer, of the effectiveness of the design and operation of Embecta's disclosure controls and procedures (as defined in Rule 13a-15(e) under the Securities Exchange Act of 1934, as amended). Based upon that evaluation as of December 31, 2025, the Company's Chief Executive Officer and Chief Financial Officer each concluded that the design and operation of these disclosure controls and procedures were, as of the end of the period covered by this report, effective and ensure that material information relating to Embecta and its consolidated subsidiaries would be made known to them by others within these entities.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three months ended December 31, 2025, that have materially affected, or are reasonably likely to materially affect, our internal control over financial reporting.</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Embecta’s risk factors from those described in “Risk Factors” included within the 2025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5"/>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w:t>
            </w:r>
          </w:p>
        </w:tc>
        <w:tc>
          <w:tcPr>
            <w:tcW w:w="4500" w:type="dxa"/>
            <w:vAlign w:val="bottom"/>
            <w:gridSpan w:val="3"/>
          </w:tcPr>
          <w:p>
            <w:pPr>
              <w:spacing w:after="0"/>
              <w:rPr>
                <w:sz w:val="24"/>
                <w:szCs w:val="24"/>
                <w:color w:val="auto"/>
              </w:rPr>
            </w:pP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and Section 1350 of Chapter 63 of Title 18 of the U.S. Code</w:t>
            </w: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51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Balance Sheets, (iv) the Condensed Consolidated Statements of Equity, (v) the Condensed Consolidated Statements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Flows, and (vi) Notes to Condensed Consolidated Financial Statements.</w:t>
            </w:r>
          </w:p>
        </w:tc>
      </w:tr>
      <w:tr>
        <w:trPr>
          <w:trHeight w:val="52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52" w:lineRule="exact"/>
        <w:rPr>
          <w:sz w:val="20"/>
          <w:szCs w:val="20"/>
          <w:color w:val="auto"/>
        </w:rPr>
      </w:pPr>
    </w:p>
    <w:p>
      <w:pPr>
        <w:ind w:left="560" w:hanging="534"/>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60" w:hanging="534"/>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Roth</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Roth</w:t>
            </w:r>
          </w:p>
        </w:tc>
      </w:tr>
      <w:tr>
        <w:trPr>
          <w:trHeight w:val="25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40"/>
          </w:cols>
          <w:pgMar w:left="320" w:top="22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280" w:firstLine="440"/>
        <w:spacing w:after="0" w:line="250"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December 31, 2025 as filed with the Securities and Exchange Commission (the “Report”), I, Devdatt Kurdikar, the President and Chief Executive Officer of Embecta Corp., certify that, to the best of my knowledge:</w:t>
      </w:r>
    </w:p>
    <w:p>
      <w:pPr>
        <w:spacing w:after="0" w:line="109"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2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40" w:firstLine="440"/>
        <w:spacing w:after="0" w:line="250"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December 31, 2025 as filed with the Securities and Exchange Commission (the “Report”), I, Jacob Elguicze, the Chief Financial Officer of Embecta Corp., certify that, to the best of my knowledge:</w:t>
      </w:r>
    </w:p>
    <w:p>
      <w:pPr>
        <w:spacing w:after="0" w:line="109"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2026-02-05T10:36:57Z</dcterms:created>
  <dcterms:modified xsi:type="dcterms:W3CDTF">2026-02-05T10:36:57Z</dcterms:modified>
</cp:coreProperties>
</file>