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563245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144780</wp:posOffset>
            </wp:positionV>
            <wp:extent cx="14973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4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156210</wp:posOffset>
            </wp:positionV>
            <wp:extent cx="14973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68" w:lineRule="exact"/>
        <w:rPr>
          <w:sz w:val="24"/>
          <w:szCs w:val="24"/>
          <w:color w:val="auto"/>
        </w:rPr>
      </w:pPr>
    </w:p>
    <w:p>
      <w:pPr>
        <w:ind w:left="4988"/>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88"/>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8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161925</wp:posOffset>
            </wp:positionV>
            <wp:extent cx="149733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6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EMBECTA CORP.</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140335</wp:posOffset>
            </wp:positionV>
            <wp:extent cx="149733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4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(State or Other Jurisdiction</w:t>
      </w:r>
    </w:p>
    <w:p>
      <w:pPr>
        <w:jc w:val="center"/>
        <w:ind w:right="-7"/>
        <w:spacing w:after="0" w:line="236" w:lineRule="auto"/>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183" w:lineRule="exact"/>
        <w:rPr>
          <w:sz w:val="24"/>
          <w:szCs w:val="24"/>
          <w:color w:val="auto"/>
        </w:rPr>
      </w:pPr>
    </w:p>
    <w:tbl>
      <w:tblPr>
        <w:tblLayout w:type="fixed"/>
        <w:tblInd w:w="1428" w:type="dxa"/>
        <w:tblCellMar>
          <w:top w:w="0" w:type="dxa"/>
          <w:left w:w="0" w:type="dxa"/>
          <w:bottom w:w="0" w:type="dxa"/>
          <w:right w:w="0" w:type="dxa"/>
        </w:tblCellMar>
      </w:tblPr>
      <w:tr>
        <w:trPr>
          <w:trHeight w:val="159"/>
        </w:trPr>
        <w:tc>
          <w:tcPr>
            <w:tcW w:w="6320" w:type="dxa"/>
            <w:vAlign w:val="bottom"/>
          </w:tcPr>
          <w:p>
            <w:pPr>
              <w:jc w:val="center"/>
              <w:ind w:right="3506"/>
              <w:spacing w:after="0"/>
              <w:rPr>
                <w:sz w:val="20"/>
                <w:szCs w:val="20"/>
                <w:color w:val="auto"/>
              </w:rPr>
            </w:pPr>
            <w:r>
              <w:rPr>
                <w:rFonts w:ascii="Times New Roman" w:cs="Times New Roman" w:eastAsia="Times New Roman" w:hAnsi="Times New Roman"/>
                <w:sz w:val="12"/>
                <w:szCs w:val="12"/>
                <w:b w:val="1"/>
                <w:bCs w:val="1"/>
                <w:color w:val="auto"/>
                <w:w w:val="99"/>
              </w:rPr>
              <w:t>001-41186</w:t>
            </w: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87-1583942</w:t>
            </w:r>
          </w:p>
        </w:tc>
      </w:tr>
      <w:tr>
        <w:trPr>
          <w:trHeight w:val="128"/>
        </w:trPr>
        <w:tc>
          <w:tcPr>
            <w:tcW w:w="6320" w:type="dxa"/>
            <w:vAlign w:val="bottom"/>
          </w:tcPr>
          <w:p>
            <w:pPr>
              <w:jc w:val="center"/>
              <w:ind w:right="3506"/>
              <w:spacing w:after="0"/>
              <w:rPr>
                <w:sz w:val="20"/>
                <w:szCs w:val="20"/>
                <w:color w:val="auto"/>
              </w:rPr>
            </w:pPr>
            <w:r>
              <w:rPr>
                <w:rFonts w:ascii="Times New Roman" w:cs="Times New Roman" w:eastAsia="Times New Roman" w:hAnsi="Times New Roman"/>
                <w:sz w:val="10"/>
                <w:szCs w:val="10"/>
                <w:b w:val="1"/>
                <w:bCs w:val="1"/>
                <w:color w:val="auto"/>
                <w:w w:val="92"/>
              </w:rPr>
              <w:t>(Commission</w:t>
            </w:r>
          </w:p>
        </w:tc>
        <w:tc>
          <w:tcPr>
            <w:tcW w:w="1120" w:type="dxa"/>
            <w:vAlign w:val="bottom"/>
          </w:tcPr>
          <w:p>
            <w:pPr>
              <w:jc w:val="center"/>
              <w:ind w:left="327"/>
              <w:spacing w:after="0"/>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6320" w:type="dxa"/>
            <w:vAlign w:val="bottom"/>
          </w:tcPr>
          <w:p>
            <w:pPr>
              <w:jc w:val="center"/>
              <w:ind w:right="3506"/>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1120" w:type="dxa"/>
            <w:vAlign w:val="bottom"/>
          </w:tcPr>
          <w:p>
            <w:pPr>
              <w:jc w:val="center"/>
              <w:ind w:left="327"/>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r>
      <w:tr>
        <w:trPr>
          <w:trHeight w:val="422"/>
        </w:trPr>
        <w:tc>
          <w:tcPr>
            <w:tcW w:w="6320" w:type="dxa"/>
            <w:vAlign w:val="bottom"/>
          </w:tcPr>
          <w:p>
            <w:pPr>
              <w:jc w:val="center"/>
              <w:ind w:right="3506"/>
              <w:spacing w:after="0"/>
              <w:rPr>
                <w:sz w:val="20"/>
                <w:szCs w:val="20"/>
                <w:color w:val="auto"/>
              </w:rPr>
            </w:pPr>
            <w:r>
              <w:rPr>
                <w:rFonts w:ascii="Times New Roman" w:cs="Times New Roman" w:eastAsia="Times New Roman" w:hAnsi="Times New Roman"/>
                <w:sz w:val="12"/>
                <w:szCs w:val="12"/>
                <w:b w:val="1"/>
                <w:bCs w:val="1"/>
                <w:color w:val="auto"/>
                <w:w w:val="99"/>
              </w:rPr>
              <w:t>300 Kimball Drive, Suite 300, Parsippany, New Jersey</w:t>
            </w:r>
          </w:p>
        </w:tc>
        <w:tc>
          <w:tcPr>
            <w:tcW w:w="112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07054</w:t>
            </w:r>
          </w:p>
        </w:tc>
      </w:tr>
      <w:tr>
        <w:trPr>
          <w:trHeight w:val="136"/>
        </w:trPr>
        <w:tc>
          <w:tcPr>
            <w:tcW w:w="6320" w:type="dxa"/>
            <w:vAlign w:val="bottom"/>
          </w:tcPr>
          <w:p>
            <w:pPr>
              <w:jc w:val="center"/>
              <w:ind w:right="3506"/>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1120" w:type="dxa"/>
            <w:vAlign w:val="bottom"/>
          </w:tcPr>
          <w:p>
            <w:pPr>
              <w:jc w:val="center"/>
              <w:ind w:left="327"/>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314"/>
        </w:trPr>
        <w:tc>
          <w:tcPr>
            <w:tcW w:w="6320" w:type="dxa"/>
            <w:vAlign w:val="bottom"/>
          </w:tcPr>
          <w:p>
            <w:pPr>
              <w:jc w:val="center"/>
              <w:ind w:left="2066"/>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(862) 401-0000</w:t>
            </w:r>
          </w:p>
        </w:tc>
        <w:tc>
          <w:tcPr>
            <w:tcW w:w="1120" w:type="dxa"/>
            <w:vAlign w:val="bottom"/>
          </w:tcPr>
          <w:p>
            <w:pPr>
              <w:spacing w:after="0"/>
              <w:rPr>
                <w:sz w:val="24"/>
                <w:szCs w:val="24"/>
                <w:color w:val="auto"/>
              </w:rPr>
            </w:pPr>
          </w:p>
        </w:tc>
      </w:tr>
      <w:tr>
        <w:trPr>
          <w:trHeight w:val="218"/>
        </w:trPr>
        <w:tc>
          <w:tcPr>
            <w:tcW w:w="6320" w:type="dxa"/>
            <w:vAlign w:val="bottom"/>
          </w:tcPr>
          <w:p>
            <w:pPr>
              <w:jc w:val="center"/>
              <w:ind w:left="2066"/>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120" w:type="dxa"/>
            <w:vAlign w:val="bottom"/>
          </w:tcPr>
          <w:p>
            <w:pPr>
              <w:spacing w:after="0"/>
              <w:rPr>
                <w:sz w:val="18"/>
                <w:szCs w:val="18"/>
                <w:color w:val="auto"/>
              </w:rPr>
            </w:pPr>
          </w:p>
        </w:tc>
      </w:tr>
      <w:tr>
        <w:trPr>
          <w:trHeight w:val="125"/>
        </w:trPr>
        <w:tc>
          <w:tcPr>
            <w:tcW w:w="6320" w:type="dxa"/>
            <w:vAlign w:val="bottom"/>
          </w:tcPr>
          <w:p>
            <w:pPr>
              <w:jc w:val="center"/>
              <w:ind w:left="2086"/>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11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96520</wp:posOffset>
            </wp:positionV>
            <wp:extent cx="149733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29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05" w:lineRule="exact"/>
        <w:rPr>
          <w:sz w:val="24"/>
          <w:szCs w:val="24"/>
          <w:color w:val="auto"/>
        </w:rPr>
      </w:pPr>
    </w:p>
    <w:p>
      <w:pPr>
        <w:ind w:left="468" w:hanging="456"/>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468" w:hanging="456"/>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468" w:hanging="456"/>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468" w:hanging="456"/>
        <w:spacing w:after="0"/>
        <w:tabs>
          <w:tab w:leader="none" w:pos="4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70" w:lineRule="exact"/>
        <w:rPr>
          <w:sz w:val="24"/>
          <w:szCs w:val="24"/>
          <w:color w:val="auto"/>
        </w:rPr>
      </w:pPr>
    </w:p>
    <w:tbl>
      <w:tblPr>
        <w:tblLayout w:type="fixed"/>
        <w:tblInd w:w="8" w:type="dxa"/>
        <w:tblCellMar>
          <w:top w:w="0" w:type="dxa"/>
          <w:left w:w="0" w:type="dxa"/>
          <w:bottom w:w="0" w:type="dxa"/>
          <w:right w:w="0" w:type="dxa"/>
        </w:tblCellMar>
      </w:tblPr>
      <w:tr>
        <w:trPr>
          <w:trHeight w:val="117"/>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4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52"/>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80" w:type="dxa"/>
            <w:vAlign w:val="bottom"/>
          </w:tcPr>
          <w:p>
            <w:pPr>
              <w:spacing w:after="0"/>
              <w:rPr>
                <w:sz w:val="13"/>
                <w:szCs w:val="13"/>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symbol(s)</w:t>
            </w:r>
          </w:p>
        </w:tc>
        <w:tc>
          <w:tcPr>
            <w:tcW w:w="100" w:type="dxa"/>
            <w:vAlign w:val="bottom"/>
          </w:tcPr>
          <w:p>
            <w:pPr>
              <w:spacing w:after="0"/>
              <w:rPr>
                <w:sz w:val="13"/>
                <w:szCs w:val="13"/>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159"/>
        </w:trPr>
        <w:tc>
          <w:tcPr>
            <w:tcW w:w="4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$0.01 per share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EMBC</w:t>
            </w:r>
          </w:p>
        </w:tc>
        <w:tc>
          <w:tcPr>
            <w:tcW w:w="4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 (Nasdaq Global Select Market)</w:t>
            </w:r>
          </w:p>
        </w:tc>
      </w:tr>
    </w:tbl>
    <w:p>
      <w:pPr>
        <w:spacing w:after="0" w:line="151" w:lineRule="exact"/>
        <w:rPr>
          <w:sz w:val="24"/>
          <w:szCs w:val="24"/>
          <w:color w:val="auto"/>
        </w:rPr>
      </w:pPr>
    </w:p>
    <w:p>
      <w:pPr>
        <w:jc w:val="both"/>
        <w:ind w:left="8" w:right="2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36"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4"/>
          <w:szCs w:val="24"/>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Embecta Corp. (the "Company") is furnishing this Current Report on Form 8-K in connection with the disclosure of information, in the form of a press release (the “Press Release”) and investor presentation (“Investor Presentation”), with such Investor Presentation to be given at meetings with institutional investors, analysts, members of the press and the general public and others at a publicly available webcast meeting on May 22, 2025 (the “Investor Day Meeting”). During the course of the Investor Day Meeting, members of the Company’s leadership intend to discuss the Company’s strategy, value creation opportunities and it’s long range financial plan.</w:t>
      </w:r>
    </w:p>
    <w:p>
      <w:pPr>
        <w:spacing w:after="0" w:line="57" w:lineRule="exact"/>
        <w:rPr>
          <w:sz w:val="24"/>
          <w:szCs w:val="24"/>
          <w:color w:val="auto"/>
        </w:rPr>
      </w:pPr>
    </w:p>
    <w:p>
      <w:pPr>
        <w:jc w:val="both"/>
        <w:ind w:left="8"/>
        <w:spacing w:after="0" w:line="264" w:lineRule="auto"/>
        <w:rPr>
          <w:sz w:val="20"/>
          <w:szCs w:val="20"/>
          <w:color w:val="auto"/>
        </w:rPr>
      </w:pPr>
      <w:r>
        <w:rPr>
          <w:rFonts w:ascii="Times New Roman" w:cs="Times New Roman" w:eastAsia="Times New Roman" w:hAnsi="Times New Roman"/>
          <w:sz w:val="12"/>
          <w:szCs w:val="12"/>
          <w:color w:val="auto"/>
        </w:rPr>
        <w:t>Copies of the Press Release and Investor Presentation are furnished as Exhibit 99.1 and 99.2, respectively, to this Current Report on Form 8-K and incorporated into this Item 7.01 by reference, and will be available via the News &amp; Events link within the Investors section of the Company’s website located at www.embecta.com, although the Company reserves the right to discontinue that availability at any time.</w:t>
      </w:r>
    </w:p>
    <w:p>
      <w:pPr>
        <w:spacing w:after="0" w:line="106" w:lineRule="exact"/>
        <w:rPr>
          <w:sz w:val="24"/>
          <w:szCs w:val="24"/>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4"/>
          <w:szCs w:val="24"/>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Exhibits</w:t>
      </w:r>
    </w:p>
    <w:p>
      <w:pPr>
        <w:spacing w:after="0" w:line="6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are furnished as exhibits to this report:</w:t>
      </w:r>
    </w:p>
    <w:p>
      <w:pPr>
        <w:spacing w:after="0" w:line="195" w:lineRule="exact"/>
        <w:rPr>
          <w:sz w:val="24"/>
          <w:szCs w:val="24"/>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u w:val="single" w:color="auto"/>
          <w:color w:val="0000FF"/>
        </w:rPr>
        <w:t>99.1</w:t>
      </w:r>
      <w:r>
        <w:rPr>
          <w:sz w:val="20"/>
          <w:szCs w:val="20"/>
          <w:color w:val="auto"/>
        </w:rPr>
        <w:tab/>
      </w:r>
      <w:r>
        <w:rPr>
          <w:rFonts w:ascii="Times New Roman" w:cs="Times New Roman" w:eastAsia="Times New Roman" w:hAnsi="Times New Roman"/>
          <w:sz w:val="12"/>
          <w:szCs w:val="12"/>
          <w:color w:val="auto"/>
        </w:rPr>
        <w:t>Embecta Corp. Press Release, dated May 22, 2025.</w:t>
      </w:r>
    </w:p>
    <w:p>
      <w:pPr>
        <w:spacing w:after="0" w:line="213" w:lineRule="exact"/>
        <w:rPr>
          <w:sz w:val="24"/>
          <w:szCs w:val="24"/>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u w:val="single" w:color="auto"/>
          <w:color w:val="0000FF"/>
        </w:rPr>
        <w:t>99.2</w:t>
      </w:r>
      <w:r>
        <w:rPr>
          <w:sz w:val="20"/>
          <w:szCs w:val="20"/>
          <w:color w:val="auto"/>
        </w:rPr>
        <w:tab/>
      </w:r>
      <w:r>
        <w:rPr>
          <w:rFonts w:ascii="Times New Roman" w:cs="Times New Roman" w:eastAsia="Times New Roman" w:hAnsi="Times New Roman"/>
          <w:sz w:val="11"/>
          <w:szCs w:val="11"/>
          <w:color w:val="auto"/>
        </w:rPr>
        <w:t>Embecta Corp. Investor Presentation, dated May 22, 2025.</w:t>
      </w:r>
    </w:p>
    <w:p>
      <w:pPr>
        <w:spacing w:after="0" w:line="213" w:lineRule="exact"/>
        <w:rPr>
          <w:sz w:val="24"/>
          <w:szCs w:val="24"/>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432435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08" w:right="299" w:bottom="1440" w:gutter="0" w:footer="0" w:header="0"/>
        </w:sectPr>
      </w:pPr>
    </w:p>
    <w:bookmarkStart w:id="1" w:name="page2"/>
    <w:bookmarkEnd w:id="1"/>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2"/>
          <w:szCs w:val="12"/>
          <w:color w:val="auto"/>
        </w:rPr>
        <w:t>EMBECTA CORP.</w:t>
      </w:r>
    </w:p>
    <w:p>
      <w:pPr>
        <w:spacing w:after="0" w:line="213" w:lineRule="exact"/>
        <w:rPr>
          <w:sz w:val="20"/>
          <w:szCs w:val="20"/>
          <w:color w:val="auto"/>
        </w:rPr>
      </w:pPr>
    </w:p>
    <w:p>
      <w:pPr>
        <w:spacing w:after="0"/>
        <w:tabs>
          <w:tab w:leader="none" w:pos="5360" w:val="left"/>
          <w:tab w:leader="none" w:pos="5900" w:val="left"/>
        </w:tabs>
        <w:rPr>
          <w:sz w:val="20"/>
          <w:szCs w:val="20"/>
          <w:color w:val="auto"/>
        </w:rPr>
      </w:pPr>
      <w:r>
        <w:rPr>
          <w:rFonts w:ascii="Times New Roman" w:cs="Times New Roman" w:eastAsia="Times New Roman" w:hAnsi="Times New Roman"/>
          <w:sz w:val="12"/>
          <w:szCs w:val="12"/>
          <w:color w:val="auto"/>
        </w:rPr>
        <w:t>Dated: May 22,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16510</wp:posOffset>
            </wp:positionV>
            <wp:extent cx="34175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2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Jacob Elguicze</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665" w:right="1440" w:bottom="1440" w:gutter="0" w:footer="0" w:header="0"/>
        </w:sectPr>
      </w:pPr>
    </w:p>
    <w:bookmarkStart w:id="2" w:name="page3"/>
    <w:bookmarkEnd w:id="2"/>
    <w:p>
      <w:pPr>
        <w:ind w:left="240"/>
        <w:spacing w:after="0"/>
        <w:rPr>
          <w:sz w:val="20"/>
          <w:szCs w:val="20"/>
          <w:color w:val="auto"/>
        </w:rPr>
      </w:pPr>
      <w:r>
        <w:rPr>
          <w:rFonts w:ascii="Arial" w:cs="Arial" w:eastAsia="Arial" w:hAnsi="Arial"/>
          <w:sz w:val="11"/>
          <w:szCs w:val="11"/>
          <w:color w:val="auto"/>
        </w:rPr>
        <w:t>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60A3D"/>
        </w:rPr>
        <w:t>embecta to Showcase Phased Approach for Value Creation and Present Long Range Financial Plan at 2025 Analyst and Investor Day</w:t>
      </w:r>
    </w:p>
    <w:p>
      <w:pPr>
        <w:spacing w:after="0" w:line="176" w:lineRule="exact"/>
        <w:rPr>
          <w:sz w:val="20"/>
          <w:szCs w:val="20"/>
          <w:color w:val="auto"/>
        </w:rPr>
      </w:pPr>
    </w:p>
    <w:p>
      <w:pPr>
        <w:jc w:val="both"/>
        <w:spacing w:after="0" w:line="316" w:lineRule="auto"/>
        <w:rPr>
          <w:sz w:val="20"/>
          <w:szCs w:val="20"/>
          <w:color w:val="auto"/>
        </w:rPr>
      </w:pPr>
      <w:r>
        <w:rPr>
          <w:rFonts w:ascii="Arial" w:cs="Arial" w:eastAsia="Arial" w:hAnsi="Arial"/>
          <w:sz w:val="11"/>
          <w:szCs w:val="11"/>
          <w:color w:val="auto"/>
        </w:rPr>
        <w:t>PARSIPPANY, N.J., May 22, 2025 (GLOBE NEWSWIRE) -- Embecta Corp. ("embecta"; "The Company") (Nasdaq: EMBC), a global diabetes care company with a 100-year legacy in insulin delivery, will host its inaugural Analyst and Investor Day today to showcase its phased approach for value creation and present its long range financial plan (“LRP”).</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"Our Investor Day will provide a comprehensive view of our roadmap for transitioning embecta to growth. We look forward to sharing how we are positioning embecta for long-term success in an evolving healthcare landscape," said Dev Kurdikar, President and Chief Executive Officer. "Today, we reiterate our commitment to maintaining our leadership in insulin injection while outlining our long term vision to transform embecta into a more broad-based medical supplies company, paving the way toward a life unlimited for all."</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Strategic Priorities</w:t>
      </w:r>
    </w:p>
    <w:p>
      <w:pPr>
        <w:spacing w:after="0" w:line="19" w:lineRule="exact"/>
        <w:rPr>
          <w:sz w:val="20"/>
          <w:szCs w:val="20"/>
          <w:color w:val="auto"/>
        </w:rPr>
      </w:pPr>
    </w:p>
    <w:p>
      <w:pPr>
        <w:jc w:val="both"/>
        <w:spacing w:after="0" w:line="297" w:lineRule="auto"/>
        <w:rPr>
          <w:sz w:val="20"/>
          <w:szCs w:val="20"/>
          <w:color w:val="auto"/>
        </w:rPr>
      </w:pPr>
      <w:r>
        <w:rPr>
          <w:rFonts w:ascii="Arial" w:cs="Arial" w:eastAsia="Arial" w:hAnsi="Arial"/>
          <w:sz w:val="11"/>
          <w:szCs w:val="11"/>
          <w:color w:val="auto"/>
        </w:rPr>
        <w:t>embecta’s core insulin injection business has long provided a stable, recurring, and geographically diversified revenue base with an attractive margin profile. Following a successful three-year effort to establish embecta as an independent, standalone organization, the Company is currently focused on three strategic priorities aimed at positioning embecta for sustainable, long-term success:</w:t>
      </w:r>
    </w:p>
    <w:p>
      <w:pPr>
        <w:spacing w:after="0" w:line="118" w:lineRule="exact"/>
        <w:rPr>
          <w:sz w:val="20"/>
          <w:szCs w:val="20"/>
          <w:color w:val="auto"/>
        </w:rPr>
      </w:pPr>
    </w:p>
    <w:p>
      <w:pPr>
        <w:ind w:left="420" w:hanging="212"/>
        <w:spacing w:after="0" w:line="298" w:lineRule="auto"/>
        <w:tabs>
          <w:tab w:leader="none" w:pos="415" w:val="left"/>
        </w:tabs>
        <w:numPr>
          <w:ilvl w:val="0"/>
          <w:numId w:val="3"/>
        </w:numPr>
        <w:rPr>
          <w:rFonts w:ascii="Times New Roman" w:cs="Times New Roman" w:eastAsia="Times New Roman" w:hAnsi="Times New Roman"/>
          <w:sz w:val="11"/>
          <w:szCs w:val="11"/>
          <w:color w:val="auto"/>
        </w:rPr>
      </w:pPr>
      <w:r>
        <w:rPr>
          <w:rFonts w:ascii="Arial" w:cs="Arial" w:eastAsia="Arial" w:hAnsi="Arial"/>
          <w:sz w:val="11"/>
          <w:szCs w:val="11"/>
          <w:color w:val="auto"/>
        </w:rPr>
        <w:t>Strengthening the core business, which includes executing a seamless brand transition to ensure embecta’s identity resonates globally while maintaining the trust of customers. At the same time, the company is continuing to identify opportunities within its core portfolio that bolster its leadership position in injection devices.</w:t>
      </w:r>
    </w:p>
    <w:p>
      <w:pPr>
        <w:spacing w:after="0" w:line="117"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3"/>
        </w:numPr>
        <w:rPr>
          <w:rFonts w:ascii="Times New Roman" w:cs="Times New Roman" w:eastAsia="Times New Roman" w:hAnsi="Times New Roman"/>
          <w:sz w:val="11"/>
          <w:szCs w:val="11"/>
          <w:color w:val="auto"/>
        </w:rPr>
      </w:pPr>
      <w:r>
        <w:rPr>
          <w:rFonts w:ascii="Arial" w:cs="Arial" w:eastAsia="Arial" w:hAnsi="Arial"/>
          <w:sz w:val="11"/>
          <w:szCs w:val="11"/>
          <w:color w:val="auto"/>
        </w:rPr>
        <w:t>Expanding the Company’s product portfolio through the introduction of products that leverage embecta’s expertise in high-volume manufacturing and the strength of its global commercial channel.</w:t>
      </w:r>
    </w:p>
    <w:p>
      <w:pPr>
        <w:spacing w:after="0" w:line="170"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3"/>
        </w:numPr>
        <w:rPr>
          <w:rFonts w:ascii="Times New Roman" w:cs="Times New Roman" w:eastAsia="Times New Roman" w:hAnsi="Times New Roman"/>
          <w:sz w:val="11"/>
          <w:szCs w:val="11"/>
          <w:color w:val="auto"/>
        </w:rPr>
      </w:pPr>
      <w:r>
        <w:rPr>
          <w:rFonts w:ascii="Arial" w:cs="Arial" w:eastAsia="Arial" w:hAnsi="Arial"/>
          <w:sz w:val="11"/>
          <w:szCs w:val="11"/>
          <w:color w:val="auto"/>
        </w:rPr>
        <w:t>Increasing financial flexibility by generating cost savings through operational efficiencies and prioritizing debt reduction, thereby enhancing the Company’s financial agility and ability to make future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Fiscal Year 2025 Financial Guidance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embecta today reaffirmed its fiscal year 2025 guidance, originally provided in conjunction with its second quarter of fiscal 2025 financial results announced on May 9,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Dollars in millions, except percentages and per share data</w:t>
            </w:r>
          </w:p>
        </w:tc>
        <w:tc>
          <w:tcPr>
            <w:tcW w:w="31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61"/>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Reported Revenues</w:t>
            </w:r>
          </w:p>
        </w:tc>
        <w:tc>
          <w:tcPr>
            <w:tcW w:w="3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$1,073</w:t>
            </w:r>
          </w:p>
        </w:tc>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$1,090</w:t>
            </w:r>
          </w:p>
        </w:tc>
      </w:tr>
      <w:tr>
        <w:trPr>
          <w:trHeight w:val="151"/>
        </w:trPr>
        <w:tc>
          <w:tcPr>
            <w:tcW w:w="6280" w:type="dxa"/>
            <w:vAlign w:val="bottom"/>
            <w:gridSpan w:val="2"/>
          </w:tcPr>
          <w:p>
            <w:pPr>
              <w:spacing w:after="0"/>
              <w:rPr>
                <w:sz w:val="20"/>
                <w:szCs w:val="20"/>
                <w:color w:val="auto"/>
              </w:rPr>
            </w:pPr>
            <w:r>
              <w:rPr>
                <w:rFonts w:ascii="Arial" w:cs="Arial" w:eastAsia="Arial" w:hAnsi="Arial"/>
                <w:sz w:val="11"/>
                <w:szCs w:val="11"/>
                <w:color w:val="auto"/>
              </w:rPr>
              <w:t>Reported Revenue Growth (%)</w:t>
            </w:r>
          </w:p>
        </w:tc>
        <w:tc>
          <w:tcPr>
            <w:tcW w:w="3520" w:type="dxa"/>
            <w:vAlign w:val="bottom"/>
          </w:tcPr>
          <w:p>
            <w:pPr>
              <w:jc w:val="right"/>
              <w:spacing w:after="0"/>
              <w:rPr>
                <w:sz w:val="20"/>
                <w:szCs w:val="20"/>
                <w:color w:val="auto"/>
              </w:rPr>
            </w:pPr>
            <w:r>
              <w:rPr>
                <w:rFonts w:ascii="Arial" w:cs="Arial" w:eastAsia="Arial" w:hAnsi="Arial"/>
                <w:sz w:val="11"/>
                <w:szCs w:val="11"/>
                <w:color w:val="auto"/>
              </w:rPr>
              <w:t>(4.4)%</w:t>
            </w:r>
          </w:p>
        </w:tc>
        <w:tc>
          <w:tcPr>
            <w:tcW w:w="1500" w:type="dxa"/>
            <w:vAlign w:val="bottom"/>
          </w:tcPr>
          <w:p>
            <w:pPr>
              <w:ind w:left="20"/>
              <w:spacing w:after="0"/>
              <w:rPr>
                <w:sz w:val="20"/>
                <w:szCs w:val="20"/>
                <w:color w:val="auto"/>
              </w:rPr>
            </w:pPr>
            <w:r>
              <w:rPr>
                <w:rFonts w:ascii="Arial" w:cs="Arial" w:eastAsia="Arial" w:hAnsi="Arial"/>
                <w:sz w:val="11"/>
                <w:szCs w:val="11"/>
                <w:color w:val="auto"/>
              </w:rPr>
              <w:t>- (2.9)%</w:t>
            </w:r>
          </w:p>
        </w:tc>
      </w:tr>
      <w:tr>
        <w:trPr>
          <w:trHeight w:val="155"/>
        </w:trPr>
        <w:tc>
          <w:tcPr>
            <w:tcW w:w="628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Impact of F/X (%)</w:t>
            </w:r>
          </w:p>
        </w:tc>
        <w:tc>
          <w:tcPr>
            <w:tcW w:w="5020" w:type="dxa"/>
            <w:vAlign w:val="bottom"/>
            <w:gridSpan w:val="2"/>
            <w:shd w:val="clear" w:color="auto" w:fill="CCEEFF"/>
          </w:tcPr>
          <w:p>
            <w:pPr>
              <w:jc w:val="right"/>
              <w:ind w:right="1243"/>
              <w:spacing w:after="0"/>
              <w:rPr>
                <w:sz w:val="20"/>
                <w:szCs w:val="20"/>
                <w:color w:val="auto"/>
              </w:rPr>
            </w:pPr>
            <w:r>
              <w:rPr>
                <w:rFonts w:ascii="Arial" w:cs="Arial" w:eastAsia="Arial" w:hAnsi="Arial"/>
                <w:sz w:val="11"/>
                <w:szCs w:val="11"/>
                <w:i w:val="1"/>
                <w:iCs w:val="1"/>
                <w:color w:val="auto"/>
              </w:rPr>
              <w:t>(0.8)%</w:t>
            </w:r>
          </w:p>
        </w:tc>
      </w:tr>
      <w:tr>
        <w:trPr>
          <w:trHeight w:val="207"/>
        </w:trPr>
        <w:tc>
          <w:tcPr>
            <w:tcW w:w="6280" w:type="dxa"/>
            <w:vAlign w:val="bottom"/>
            <w:gridSpan w:val="2"/>
          </w:tcPr>
          <w:p>
            <w:pPr>
              <w:ind w:left="80"/>
              <w:spacing w:after="0"/>
              <w:rPr>
                <w:sz w:val="20"/>
                <w:szCs w:val="20"/>
                <w:color w:val="auto"/>
              </w:rPr>
            </w:pPr>
            <w:r>
              <w:rPr>
                <w:rFonts w:ascii="Arial" w:cs="Arial" w:eastAsia="Arial" w:hAnsi="Arial"/>
                <w:sz w:val="11"/>
                <w:szCs w:val="11"/>
                <w:i w:val="1"/>
                <w:iCs w:val="1"/>
                <w:color w:val="auto"/>
              </w:rPr>
              <w:t xml:space="preserve">Impact of Italian Payback Measure </w:t>
            </w:r>
            <w:r>
              <w:rPr>
                <w:rFonts w:ascii="Arial" w:cs="Arial" w:eastAsia="Arial" w:hAnsi="Arial"/>
                <w:sz w:val="14"/>
                <w:szCs w:val="14"/>
                <w:i w:val="1"/>
                <w:iCs w:val="1"/>
                <w:color w:val="auto"/>
                <w:vertAlign w:val="superscript"/>
              </w:rPr>
              <w:t>(1)</w:t>
            </w:r>
            <w:r>
              <w:rPr>
                <w:rFonts w:ascii="Arial" w:cs="Arial" w:eastAsia="Arial" w:hAnsi="Arial"/>
                <w:sz w:val="11"/>
                <w:szCs w:val="11"/>
                <w:i w:val="1"/>
                <w:iCs w:val="1"/>
                <w:color w:val="auto"/>
              </w:rPr>
              <w:t xml:space="preserve"> (%)</w:t>
            </w:r>
          </w:p>
        </w:tc>
        <w:tc>
          <w:tcPr>
            <w:tcW w:w="5020" w:type="dxa"/>
            <w:vAlign w:val="bottom"/>
            <w:gridSpan w:val="2"/>
          </w:tcPr>
          <w:p>
            <w:pPr>
              <w:jc w:val="right"/>
              <w:ind w:right="1283"/>
              <w:spacing w:after="0"/>
              <w:rPr>
                <w:sz w:val="20"/>
                <w:szCs w:val="20"/>
                <w:color w:val="auto"/>
              </w:rPr>
            </w:pPr>
            <w:r>
              <w:rPr>
                <w:rFonts w:ascii="Arial" w:cs="Arial" w:eastAsia="Arial" w:hAnsi="Arial"/>
                <w:sz w:val="11"/>
                <w:szCs w:val="11"/>
                <w:i w:val="1"/>
                <w:iCs w:val="1"/>
                <w:color w:val="auto"/>
              </w:rPr>
              <w:t>0.4%</w:t>
            </w:r>
          </w:p>
        </w:tc>
      </w:tr>
      <w:tr>
        <w:trPr>
          <w:trHeight w:val="153"/>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Adjusted Constant Currency Revenue Growth (%)</w:t>
            </w:r>
          </w:p>
        </w:tc>
        <w:tc>
          <w:tcPr>
            <w:tcW w:w="3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(2.5)%</w:t>
            </w:r>
          </w:p>
        </w:tc>
      </w:tr>
      <w:tr>
        <w:trPr>
          <w:trHeight w:val="151"/>
        </w:trPr>
        <w:tc>
          <w:tcPr>
            <w:tcW w:w="6280" w:type="dxa"/>
            <w:vAlign w:val="bottom"/>
            <w:gridSpan w:val="2"/>
          </w:tcPr>
          <w:p>
            <w:pPr>
              <w:spacing w:after="0"/>
              <w:rPr>
                <w:sz w:val="20"/>
                <w:szCs w:val="20"/>
                <w:color w:val="auto"/>
              </w:rPr>
            </w:pPr>
            <w:r>
              <w:rPr>
                <w:rFonts w:ascii="Arial" w:cs="Arial" w:eastAsia="Arial" w:hAnsi="Arial"/>
                <w:sz w:val="11"/>
                <w:szCs w:val="11"/>
                <w:color w:val="auto"/>
              </w:rPr>
              <w:t>Adjusted Gross Margin (%)</w:t>
            </w:r>
          </w:p>
        </w:tc>
        <w:tc>
          <w:tcPr>
            <w:tcW w:w="3520" w:type="dxa"/>
            <w:vAlign w:val="bottom"/>
          </w:tcPr>
          <w:p>
            <w:pPr>
              <w:jc w:val="right"/>
              <w:spacing w:after="0"/>
              <w:rPr>
                <w:sz w:val="20"/>
                <w:szCs w:val="20"/>
                <w:color w:val="auto"/>
              </w:rPr>
            </w:pPr>
            <w:r>
              <w:rPr>
                <w:rFonts w:ascii="Arial" w:cs="Arial" w:eastAsia="Arial" w:hAnsi="Arial"/>
                <w:sz w:val="11"/>
                <w:szCs w:val="11"/>
                <w:color w:val="auto"/>
              </w:rPr>
              <w:t>62.75%</w:t>
            </w:r>
          </w:p>
        </w:tc>
        <w:tc>
          <w:tcPr>
            <w:tcW w:w="1500" w:type="dxa"/>
            <w:vAlign w:val="bottom"/>
          </w:tcPr>
          <w:p>
            <w:pPr>
              <w:ind w:left="20"/>
              <w:spacing w:after="0"/>
              <w:rPr>
                <w:sz w:val="20"/>
                <w:szCs w:val="20"/>
                <w:color w:val="auto"/>
              </w:rPr>
            </w:pPr>
            <w:r>
              <w:rPr>
                <w:rFonts w:ascii="Arial" w:cs="Arial" w:eastAsia="Arial" w:hAnsi="Arial"/>
                <w:sz w:val="11"/>
                <w:szCs w:val="11"/>
                <w:color w:val="auto"/>
              </w:rPr>
              <w:t>- 63.75%</w:t>
            </w:r>
          </w:p>
        </w:tc>
      </w:tr>
      <w:tr>
        <w:trPr>
          <w:trHeight w:val="15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Adjusted Operating Margin (%)</w:t>
            </w:r>
          </w:p>
        </w:tc>
        <w:tc>
          <w:tcPr>
            <w:tcW w:w="3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29.75%</w:t>
            </w:r>
          </w:p>
        </w:tc>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- 30.75%</w:t>
            </w:r>
          </w:p>
        </w:tc>
      </w:tr>
      <w:tr>
        <w:trPr>
          <w:trHeight w:val="151"/>
        </w:trPr>
        <w:tc>
          <w:tcPr>
            <w:tcW w:w="6280" w:type="dxa"/>
            <w:vAlign w:val="bottom"/>
            <w:gridSpan w:val="2"/>
          </w:tcPr>
          <w:p>
            <w:pPr>
              <w:spacing w:after="0"/>
              <w:rPr>
                <w:sz w:val="20"/>
                <w:szCs w:val="20"/>
                <w:color w:val="auto"/>
              </w:rPr>
            </w:pPr>
            <w:r>
              <w:rPr>
                <w:rFonts w:ascii="Arial" w:cs="Arial" w:eastAsia="Arial" w:hAnsi="Arial"/>
                <w:sz w:val="11"/>
                <w:szCs w:val="11"/>
                <w:color w:val="auto"/>
              </w:rPr>
              <w:t>Adjusted Earnings per Diluted Share</w:t>
            </w:r>
          </w:p>
        </w:tc>
        <w:tc>
          <w:tcPr>
            <w:tcW w:w="3520" w:type="dxa"/>
            <w:vAlign w:val="bottom"/>
          </w:tcPr>
          <w:p>
            <w:pPr>
              <w:jc w:val="right"/>
              <w:spacing w:after="0"/>
              <w:rPr>
                <w:sz w:val="20"/>
                <w:szCs w:val="20"/>
                <w:color w:val="auto"/>
              </w:rPr>
            </w:pPr>
            <w:r>
              <w:rPr>
                <w:rFonts w:ascii="Arial" w:cs="Arial" w:eastAsia="Arial" w:hAnsi="Arial"/>
                <w:sz w:val="11"/>
                <w:szCs w:val="11"/>
                <w:color w:val="auto"/>
              </w:rPr>
              <w:t>$2.70</w:t>
            </w:r>
          </w:p>
        </w:tc>
        <w:tc>
          <w:tcPr>
            <w:tcW w:w="1500" w:type="dxa"/>
            <w:vAlign w:val="bottom"/>
          </w:tcPr>
          <w:p>
            <w:pPr>
              <w:ind w:left="20"/>
              <w:spacing w:after="0"/>
              <w:rPr>
                <w:sz w:val="20"/>
                <w:szCs w:val="20"/>
                <w:color w:val="auto"/>
              </w:rPr>
            </w:pPr>
            <w:r>
              <w:rPr>
                <w:rFonts w:ascii="Arial" w:cs="Arial" w:eastAsia="Arial" w:hAnsi="Arial"/>
                <w:sz w:val="11"/>
                <w:szCs w:val="11"/>
                <w:color w:val="auto"/>
              </w:rPr>
              <w:t>- $2.90</w:t>
            </w:r>
          </w:p>
        </w:tc>
      </w:tr>
      <w:tr>
        <w:trPr>
          <w:trHeight w:val="15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Adjusted EBITDA Margin (%)</w:t>
            </w:r>
          </w:p>
        </w:tc>
        <w:tc>
          <w:tcPr>
            <w:tcW w:w="3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36.25%</w:t>
            </w:r>
          </w:p>
        </w:tc>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- 37.25%</w:t>
            </w:r>
          </w:p>
        </w:tc>
      </w:tr>
    </w:tbl>
    <w:p>
      <w:pPr>
        <w:spacing w:after="0" w:line="220"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Reflects the recognition of incremental Italian payback accruals resulting from the two July 22, 2024 rulings by the Constitutional Court of Italy relating to certain prior years since 2015 recorded in Revenues.</w:t>
      </w:r>
    </w:p>
    <w:p>
      <w:pPr>
        <w:sectPr>
          <w:pgSz w:w="11900" w:h="16838" w:orient="portrait"/>
          <w:cols w:equalWidth="0" w:num="1">
            <w:col w:w="11300"/>
          </w:cols>
          <w:pgMar w:left="300" w:top="827" w:right="299" w:bottom="1440" w:gutter="0" w:footer="0" w:header="0"/>
        </w:sectPr>
      </w:pPr>
    </w:p>
    <w:bookmarkStart w:id="3" w:name="page4"/>
    <w:bookmarkEnd w:id="3"/>
    <w:p>
      <w:pPr>
        <w:spacing w:after="0"/>
        <w:rPr>
          <w:sz w:val="20"/>
          <w:szCs w:val="20"/>
          <w:color w:val="auto"/>
        </w:rPr>
      </w:pPr>
      <w:r>
        <w:rPr>
          <w:rFonts w:ascii="Arial" w:cs="Arial" w:eastAsia="Arial" w:hAnsi="Arial"/>
          <w:sz w:val="11"/>
          <w:szCs w:val="11"/>
          <w:b w:val="1"/>
          <w:bCs w:val="1"/>
          <w:color w:val="auto"/>
        </w:rPr>
        <w:t>Long Range Financial Plan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embecta today announced its long range financial plan for fiscal 2025 through fiscal 2028.</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color w:val="auto"/>
        </w:rPr>
        <w:t>Over this period, the Company expects to:</w:t>
      </w:r>
    </w:p>
    <w:p>
      <w:pPr>
        <w:spacing w:after="0" w:line="72"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1"/>
          <w:szCs w:val="11"/>
          <w:color w:val="auto"/>
        </w:rPr>
      </w:pPr>
      <w:r>
        <w:rPr>
          <w:rFonts w:ascii="Arial" w:cs="Arial" w:eastAsia="Arial" w:hAnsi="Arial"/>
          <w:sz w:val="11"/>
          <w:szCs w:val="11"/>
          <w:color w:val="auto"/>
        </w:rPr>
        <w:t>Maintain a flattish constant currency revenue CAGR</w:t>
      </w:r>
    </w:p>
    <w:p>
      <w:pPr>
        <w:spacing w:after="0" w:line="71"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4"/>
        </w:numPr>
        <w:rPr>
          <w:rFonts w:ascii="Times New Roman" w:cs="Times New Roman" w:eastAsia="Times New Roman" w:hAnsi="Times New Roman"/>
          <w:sz w:val="11"/>
          <w:szCs w:val="11"/>
          <w:color w:val="auto"/>
        </w:rPr>
      </w:pPr>
      <w:r>
        <w:rPr>
          <w:rFonts w:ascii="Arial" w:cs="Arial" w:eastAsia="Arial" w:hAnsi="Arial"/>
          <w:sz w:val="11"/>
          <w:szCs w:val="11"/>
          <w:color w:val="auto"/>
        </w:rPr>
        <w:t>Achieve an adjusted operating margin of approximately 28% to 30%</w:t>
      </w:r>
    </w:p>
    <w:p>
      <w:pPr>
        <w:spacing w:after="0" w:line="71"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4"/>
        </w:numPr>
        <w:rPr>
          <w:rFonts w:ascii="Times New Roman" w:cs="Times New Roman" w:eastAsia="Times New Roman" w:hAnsi="Times New Roman"/>
          <w:sz w:val="11"/>
          <w:szCs w:val="11"/>
          <w:color w:val="auto"/>
        </w:rPr>
      </w:pPr>
      <w:r>
        <w:rPr>
          <w:rFonts w:ascii="Arial" w:cs="Arial" w:eastAsia="Arial" w:hAnsi="Arial"/>
          <w:sz w:val="11"/>
          <w:szCs w:val="11"/>
          <w:color w:val="auto"/>
        </w:rPr>
        <w:t>Generate approximately $600 million of cumulative free cash flow</w:t>
      </w:r>
      <w:r>
        <w:rPr>
          <w:rFonts w:ascii="Arial" w:cs="Arial" w:eastAsia="Arial" w:hAnsi="Arial"/>
          <w:sz w:val="14"/>
          <w:szCs w:val="14"/>
          <w:color w:val="auto"/>
          <w:vertAlign w:val="superscript"/>
        </w:rPr>
        <w:t>(1)</w:t>
      </w:r>
    </w:p>
    <w:p>
      <w:pPr>
        <w:spacing w:after="0" w:line="38" w:lineRule="exact"/>
        <w:rPr>
          <w:rFonts w:ascii="Times New Roman" w:cs="Times New Roman" w:eastAsia="Times New Roman" w:hAnsi="Times New Roman"/>
          <w:sz w:val="11"/>
          <w:szCs w:val="11"/>
          <w:color w:val="auto"/>
        </w:rPr>
      </w:pPr>
    </w:p>
    <w:p>
      <w:pPr>
        <w:ind w:left="420" w:hanging="212"/>
        <w:spacing w:after="0"/>
        <w:tabs>
          <w:tab w:leader="none" w:pos="420" w:val="left"/>
        </w:tabs>
        <w:numPr>
          <w:ilvl w:val="0"/>
          <w:numId w:val="4"/>
        </w:numPr>
        <w:rPr>
          <w:rFonts w:ascii="Times New Roman" w:cs="Times New Roman" w:eastAsia="Times New Roman" w:hAnsi="Times New Roman"/>
          <w:sz w:val="11"/>
          <w:szCs w:val="11"/>
          <w:color w:val="auto"/>
        </w:rPr>
      </w:pPr>
      <w:r>
        <w:rPr>
          <w:rFonts w:ascii="Arial" w:cs="Arial" w:eastAsia="Arial" w:hAnsi="Arial"/>
          <w:sz w:val="11"/>
          <w:szCs w:val="11"/>
          <w:color w:val="auto"/>
        </w:rPr>
        <w:t>Repay between $450 million and $500 million of debt</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are unable to present a quantitative reconciliation of our expected adjusted gross margin, expected adjusted operating margin, expected adjusted earnings per diluted share, expected adjusted EBITDA margin, expected constant currency revenue CAGR (for the LRP), and expected cumulative free cash flow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2025 Analyst and Investor Day</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The Company’s inaugural Analyst and Investor day will take place live in New York City and via webcast on May 22, 2025, beginning at 9:00 a.m. EDT.</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 xml:space="preserve">Visit </w:t>
      </w:r>
      <w:r>
        <w:rPr>
          <w:rFonts w:ascii="Arial" w:cs="Arial" w:eastAsia="Arial" w:hAnsi="Arial"/>
          <w:sz w:val="11"/>
          <w:szCs w:val="11"/>
          <w:u w:val="single" w:color="auto"/>
          <w:color w:val="0000FF"/>
        </w:rPr>
        <w:t>InvestorDay.embecta.com</w:t>
      </w:r>
      <w:r>
        <w:rPr>
          <w:rFonts w:ascii="Arial" w:cs="Arial" w:eastAsia="Arial" w:hAnsi="Arial"/>
          <w:sz w:val="11"/>
          <w:szCs w:val="11"/>
          <w:color w:val="auto"/>
        </w:rPr>
        <w:t xml:space="preserve"> to view the agenda for the event and watch the live webcast. A replay of the webcast, along with the related presentation materials, will be available on the "Events &amp; Presentations" section of the Company's Investor Relations website following the conclusion of the event.</w:t>
      </w:r>
    </w:p>
    <w:p>
      <w:pPr>
        <w:spacing w:after="0" w:line="108" w:lineRule="exact"/>
        <w:rPr>
          <w:sz w:val="20"/>
          <w:szCs w:val="20"/>
          <w:color w:val="auto"/>
        </w:rPr>
      </w:pPr>
    </w:p>
    <w:p>
      <w:pPr>
        <w:spacing w:after="0"/>
        <w:rPr>
          <w:sz w:val="20"/>
          <w:szCs w:val="20"/>
          <w:color w:val="auto"/>
        </w:rPr>
      </w:pPr>
      <w:r>
        <w:rPr>
          <w:rFonts w:ascii="Arial" w:cs="Arial" w:eastAsia="Arial" w:hAnsi="Arial"/>
          <w:sz w:val="10"/>
          <w:szCs w:val="10"/>
          <w:color w:val="auto"/>
        </w:rPr>
        <w:t>(1) Free cash flow defined as cash flow from operations less capital expenditures</w:t>
      </w:r>
    </w:p>
    <w:p>
      <w:pPr>
        <w:sectPr>
          <w:pgSz w:w="11900" w:h="16838" w:orient="portrait"/>
          <w:cols w:equalWidth="0" w:num="1">
            <w:col w:w="11300"/>
          </w:cols>
          <w:pgMar w:left="300" w:top="827" w:right="299" w:bottom="1440" w:gutter="0" w:footer="0" w:header="0"/>
        </w:sectPr>
      </w:pPr>
    </w:p>
    <w:bookmarkStart w:id="4" w:name="page5"/>
    <w:bookmarkEnd w:id="4"/>
    <w:p>
      <w:pPr>
        <w:spacing w:after="0"/>
        <w:rPr>
          <w:sz w:val="20"/>
          <w:szCs w:val="20"/>
          <w:color w:val="auto"/>
        </w:rPr>
      </w:pPr>
      <w:r>
        <w:rPr>
          <w:rFonts w:ascii="Arial" w:cs="Arial" w:eastAsia="Arial" w:hAnsi="Arial"/>
          <w:sz w:val="11"/>
          <w:szCs w:val="11"/>
          <w:b w:val="1"/>
          <w:bCs w:val="1"/>
          <w:color w:val="auto"/>
        </w:rPr>
        <w:t>Forward-Looking Statements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1"/>
          <w:szCs w:val="11"/>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“grow,” "expects," "anticipates," "estimates," "plans," "intends," “pursue,” “will,” “expands,” “opportunity,” “positioning,” “strategy,” or similar expressions, we are making forward-looking statements. For example, embecta is using forward-looking statements when discussing our fiscal 2025 financial guidance, expectations concerning our LRP, expectations for value creation, opportunities to transition into a broad-based medical supplies company, ability to increase our financial flexibility, expansion of our product portfolio, expectations related to the impact of incremental tariffs, and execution of our brand transition plan.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Becton, Dickinson and Company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our customers; (v) increases in operating costs, including costs incurred from newly instituted tariffs by the U.S. government and certain foreign governments on raw materials and products, fluctuations in the cost and availability of raw materials or components used in our products, the ability to maintain favorable supplier arrangements and relationships, and the potential adverse effects of any disruption in the availability of such items; (vi) the impact of the global trade environment resulting from newly instituted tariffs causing certain foreign governments, private purchasers and others to consider transitioning away from products originating from certain countries (including the U.S.) in favor of buying “local” products; (vii) changes in reimbursement practices of governments or private payers or other cost containment measures; (viii) the adverse financial impact resulting from unfavorable changes in foreign currency exchange rates, as well as regional, national and foreign economic factors, including inflation, deflation, and fluctuations in interest rates; (ix) the impact of changes in U.S. federal laws and policy that could affect fiscal and tax policies, healthcare and international trade, including import and export regulation and international trade agreements; (x) any new pandemic, or any geopolitical instability, including disruptions in our operations and supply chains; (xi) new or changing laws and regulations, or changes in enforcement practices, including laws relating to healthcare, environmental protection, trade, monetary and fiscal policies, taxation and licensing and regulatory requirements for products; (xii) the expected benefits of the separation from BD; (xiii) risks associated with embecta’s indebtedness; (xiv) the risk that ongoing dis-synergy costs, costs of restructuring and other costs incurred in connection with the separation from BD will exceed our estimates of these costs; (xv) the risk that it will be more difficult than expected to effect embecta’s full separation from BD; (xvi) the risks related to timely and successfully completing the brand transition, including any resulting regulatory registration and license delays and interruptions in the transition of the rebranded products into commercial operations, networks, administrative operations and end-to-end product flow and user access; (xvii) expectations related to the costs, profitability, timing and the estimated financial impact of, and charges and savings associated with, the restructuring plans we announced; (xviii) risks associated with not completing strategic collaborative partnerships and acquisitions for innovative technologies, complementary product lines, and new markets; and (xix)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ectPr>
          <w:pgSz w:w="11900" w:h="16838" w:orient="portrait"/>
          <w:cols w:equalWidth="0" w:num="1">
            <w:col w:w="11300"/>
          </w:cols>
          <w:pgMar w:left="300" w:top="899" w:right="299" w:bottom="1440" w:gutter="0" w:footer="0" w:header="0"/>
        </w:sectPr>
      </w:pPr>
    </w:p>
    <w:bookmarkStart w:id="5" w:name="page6"/>
    <w:bookmarkEnd w:id="5"/>
    <w:p>
      <w:pPr>
        <w:spacing w:after="0"/>
        <w:rPr>
          <w:sz w:val="20"/>
          <w:szCs w:val="20"/>
          <w:color w:val="auto"/>
        </w:rPr>
      </w:pPr>
      <w:r>
        <w:rPr>
          <w:rFonts w:ascii="Arial" w:cs="Arial" w:eastAsia="Arial" w:hAnsi="Arial"/>
          <w:sz w:val="11"/>
          <w:szCs w:val="11"/>
          <w:b w:val="1"/>
          <w:bCs w:val="1"/>
          <w:color w:val="auto"/>
        </w:rPr>
        <w:t>About embecta</w:t>
      </w:r>
    </w:p>
    <w:p>
      <w:pPr>
        <w:spacing w:after="0" w:line="63" w:lineRule="exact"/>
        <w:rPr>
          <w:sz w:val="20"/>
          <w:szCs w:val="20"/>
          <w:color w:val="auto"/>
        </w:rPr>
      </w:pPr>
    </w:p>
    <w:p>
      <w:pPr>
        <w:spacing w:after="0" w:line="316" w:lineRule="auto"/>
        <w:rPr>
          <w:sz w:val="20"/>
          <w:szCs w:val="20"/>
          <w:color w:val="auto"/>
        </w:rPr>
      </w:pPr>
      <w:r>
        <w:rPr>
          <w:rFonts w:ascii="Arial" w:cs="Arial" w:eastAsia="Arial" w:hAnsi="Arial"/>
          <w:sz w:val="11"/>
          <w:szCs w:val="11"/>
          <w:color w:val="auto"/>
        </w:rPr>
        <w:t xml:space="preserve">embecta is a global diabetes care company that is leveraging its 100-year legacy in insulin delivery to empower people with diabetes to live their best life through innovative solutions, partnerships, and the passion of approximately 2,000 employees around the globe. For more information, visit </w:t>
      </w:r>
      <w:r>
        <w:rPr>
          <w:rFonts w:ascii="Arial" w:cs="Arial" w:eastAsia="Arial" w:hAnsi="Arial"/>
          <w:sz w:val="11"/>
          <w:szCs w:val="11"/>
          <w:u w:val="single" w:color="auto"/>
          <w:color w:val="0000FF"/>
        </w:rPr>
        <w:t>embecta.com</w:t>
      </w:r>
      <w:r>
        <w:rPr>
          <w:rFonts w:ascii="Arial" w:cs="Arial" w:eastAsia="Arial" w:hAnsi="Arial"/>
          <w:sz w:val="11"/>
          <w:szCs w:val="11"/>
          <w:color w:val="auto"/>
        </w:rPr>
        <w:t xml:space="preserve"> or follow our social channels on </w:t>
      </w:r>
      <w:r>
        <w:rPr>
          <w:rFonts w:ascii="Arial" w:cs="Arial" w:eastAsia="Arial" w:hAnsi="Arial"/>
          <w:sz w:val="11"/>
          <w:szCs w:val="11"/>
          <w:u w:val="single" w:color="auto"/>
          <w:color w:val="0000FF"/>
        </w:rPr>
        <w:t>LinkedIn</w:t>
      </w:r>
      <w:r>
        <w:rPr>
          <w:rFonts w:ascii="Arial" w:cs="Arial" w:eastAsia="Arial" w:hAnsi="Arial"/>
          <w:sz w:val="11"/>
          <w:szCs w:val="11"/>
          <w:color w:val="auto"/>
          <w:highlight w:val="white"/>
        </w:rPr>
        <w:t>,</w:t>
      </w:r>
      <w:r>
        <w:rPr>
          <w:rFonts w:ascii="Arial" w:cs="Arial" w:eastAsia="Arial" w:hAnsi="Arial"/>
          <w:sz w:val="11"/>
          <w:szCs w:val="11"/>
          <w:color w:val="auto"/>
        </w:rPr>
        <w:t xml:space="preserve"> </w:t>
      </w:r>
      <w:r>
        <w:rPr>
          <w:rFonts w:ascii="Arial" w:cs="Arial" w:eastAsia="Arial" w:hAnsi="Arial"/>
          <w:sz w:val="11"/>
          <w:szCs w:val="11"/>
          <w:u w:val="single" w:color="auto"/>
          <w:color w:val="0000FF"/>
          <w:highlight w:val="white"/>
        </w:rPr>
        <w:t>Facebook</w:t>
      </w:r>
      <w:r>
        <w:rPr>
          <w:rFonts w:ascii="Arial" w:cs="Arial" w:eastAsia="Arial" w:hAnsi="Arial"/>
          <w:sz w:val="11"/>
          <w:szCs w:val="11"/>
          <w:color w:val="auto"/>
          <w:highlight w:val="white"/>
        </w:rPr>
        <w:t>, and</w:t>
      </w:r>
      <w:r>
        <w:rPr>
          <w:rFonts w:ascii="Arial" w:cs="Arial" w:eastAsia="Arial" w:hAnsi="Arial"/>
          <w:sz w:val="11"/>
          <w:szCs w:val="11"/>
          <w:color w:val="auto"/>
        </w:rPr>
        <w:t xml:space="preserve"> </w:t>
      </w:r>
      <w:r>
        <w:rPr>
          <w:rFonts w:ascii="Arial" w:cs="Arial" w:eastAsia="Arial" w:hAnsi="Arial"/>
          <w:sz w:val="11"/>
          <w:szCs w:val="11"/>
          <w:u w:val="single" w:color="auto"/>
          <w:color w:val="0000FF"/>
          <w:highlight w:val="white"/>
        </w:rPr>
        <w:t>Instagram</w:t>
      </w:r>
      <w:r>
        <w:rPr>
          <w:rFonts w:ascii="Arial" w:cs="Arial" w:eastAsia="Arial" w:hAnsi="Arial"/>
          <w:sz w:val="11"/>
          <w:szCs w:val="11"/>
          <w:color w:val="auto"/>
        </w:rPr>
        <w: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20" w:type="dxa"/>
            <w:vAlign w:val="bottom"/>
            <w:gridSpan w:val="2"/>
          </w:tcPr>
          <w:p>
            <w:pPr>
              <w:spacing w:after="0"/>
              <w:rPr>
                <w:sz w:val="20"/>
                <w:szCs w:val="20"/>
                <w:color w:val="auto"/>
              </w:rPr>
            </w:pPr>
            <w:r>
              <w:rPr>
                <w:rFonts w:ascii="Arial" w:cs="Arial" w:eastAsia="Arial" w:hAnsi="Arial"/>
                <w:sz w:val="11"/>
                <w:szCs w:val="11"/>
                <w:b w:val="1"/>
                <w:bCs w:val="1"/>
                <w:color w:val="auto"/>
              </w:rPr>
              <w:t>Contacts:</w:t>
            </w: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26"/>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w:t>
            </w:r>
          </w:p>
        </w:tc>
        <w:tc>
          <w:tcPr>
            <w:tcW w:w="2000" w:type="dxa"/>
            <w:vAlign w:val="bottom"/>
            <w:gridSpan w:val="2"/>
          </w:tcPr>
          <w:p>
            <w:pPr>
              <w:spacing w:after="0"/>
              <w:rPr>
                <w:sz w:val="20"/>
                <w:szCs w:val="20"/>
                <w:color w:val="auto"/>
              </w:rPr>
            </w:pPr>
            <w:r>
              <w:rPr>
                <w:rFonts w:ascii="Arial" w:cs="Arial" w:eastAsia="Arial" w:hAnsi="Arial"/>
                <w:sz w:val="11"/>
                <w:szCs w:val="11"/>
                <w:color w:val="auto"/>
              </w:rPr>
              <w:t>Investors</w:t>
            </w:r>
          </w:p>
        </w:tc>
      </w:tr>
      <w:tr>
        <w:trPr>
          <w:trHeight w:val="154"/>
        </w:trPr>
        <w:tc>
          <w:tcPr>
            <w:tcW w:w="5620" w:type="dxa"/>
            <w:vAlign w:val="bottom"/>
            <w:gridSpan w:val="2"/>
          </w:tcPr>
          <w:p>
            <w:pPr>
              <w:spacing w:after="0"/>
              <w:rPr>
                <w:sz w:val="20"/>
                <w:szCs w:val="20"/>
                <w:color w:val="auto"/>
              </w:rPr>
            </w:pPr>
            <w:r>
              <w:rPr>
                <w:rFonts w:ascii="Arial" w:cs="Arial" w:eastAsia="Arial" w:hAnsi="Arial"/>
                <w:sz w:val="11"/>
                <w:szCs w:val="11"/>
                <w:color w:val="auto"/>
              </w:rPr>
              <w:t>Christian Glazar</w:t>
            </w:r>
          </w:p>
        </w:tc>
        <w:tc>
          <w:tcPr>
            <w:tcW w:w="2000" w:type="dxa"/>
            <w:vAlign w:val="bottom"/>
            <w:gridSpan w:val="2"/>
          </w:tcPr>
          <w:p>
            <w:pPr>
              <w:spacing w:after="0"/>
              <w:rPr>
                <w:sz w:val="20"/>
                <w:szCs w:val="20"/>
                <w:color w:val="auto"/>
              </w:rPr>
            </w:pPr>
            <w:r>
              <w:rPr>
                <w:rFonts w:ascii="Arial" w:cs="Arial" w:eastAsia="Arial" w:hAnsi="Arial"/>
                <w:sz w:val="11"/>
                <w:szCs w:val="11"/>
                <w:color w:val="auto"/>
              </w:rPr>
              <w:t>Pravesh Khandelwal</w:t>
            </w:r>
          </w:p>
        </w:tc>
      </w:tr>
      <w:tr>
        <w:trPr>
          <w:trHeight w:val="225"/>
        </w:trPr>
        <w:tc>
          <w:tcPr>
            <w:tcW w:w="5620" w:type="dxa"/>
            <w:vAlign w:val="bottom"/>
            <w:gridSpan w:val="2"/>
          </w:tcPr>
          <w:p>
            <w:pPr>
              <w:spacing w:after="0"/>
              <w:rPr>
                <w:sz w:val="20"/>
                <w:szCs w:val="20"/>
                <w:color w:val="auto"/>
              </w:rPr>
            </w:pPr>
            <w:r>
              <w:rPr>
                <w:rFonts w:ascii="Arial" w:cs="Arial" w:eastAsia="Arial" w:hAnsi="Arial"/>
                <w:sz w:val="11"/>
                <w:szCs w:val="11"/>
                <w:color w:val="auto"/>
              </w:rPr>
              <w:t>Sr. Director, Corporate Communications</w:t>
            </w:r>
          </w:p>
        </w:tc>
        <w:tc>
          <w:tcPr>
            <w:tcW w:w="2000" w:type="dxa"/>
            <w:vAlign w:val="bottom"/>
            <w:gridSpan w:val="2"/>
          </w:tcPr>
          <w:p>
            <w:pPr>
              <w:spacing w:after="0"/>
              <w:rPr>
                <w:sz w:val="20"/>
                <w:szCs w:val="20"/>
                <w:color w:val="auto"/>
              </w:rPr>
            </w:pPr>
            <w:r>
              <w:rPr>
                <w:rFonts w:ascii="Arial" w:cs="Arial" w:eastAsia="Arial" w:hAnsi="Arial"/>
                <w:sz w:val="11"/>
                <w:szCs w:val="11"/>
                <w:color w:val="auto"/>
              </w:rPr>
              <w:t>Sr. Director, Corporate Communications</w:t>
            </w:r>
          </w:p>
        </w:tc>
      </w:tr>
      <w:tr>
        <w:trPr>
          <w:trHeight w:val="225"/>
        </w:trPr>
        <w:tc>
          <w:tcPr>
            <w:tcW w:w="1240" w:type="dxa"/>
            <w:vAlign w:val="bottom"/>
          </w:tcPr>
          <w:p>
            <w:pPr>
              <w:spacing w:after="0"/>
              <w:rPr>
                <w:sz w:val="20"/>
                <w:szCs w:val="20"/>
                <w:color w:val="auto"/>
              </w:rPr>
            </w:pPr>
            <w:r>
              <w:rPr>
                <w:rFonts w:ascii="Arial" w:cs="Arial" w:eastAsia="Arial" w:hAnsi="Arial"/>
                <w:sz w:val="11"/>
                <w:szCs w:val="11"/>
                <w:color w:val="auto"/>
              </w:rPr>
              <w:t>908-821-6922</w:t>
            </w:r>
          </w:p>
        </w:tc>
        <w:tc>
          <w:tcPr>
            <w:tcW w:w="438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1"/>
                <w:szCs w:val="11"/>
                <w:color w:val="auto"/>
              </w:rPr>
              <w:t>551-264-6547</w:t>
            </w:r>
          </w:p>
        </w:tc>
      </w:tr>
      <w:tr>
        <w:trPr>
          <w:trHeight w:val="126"/>
        </w:trPr>
        <w:tc>
          <w:tcPr>
            <w:tcW w:w="5620" w:type="dxa"/>
            <w:vAlign w:val="bottom"/>
            <w:gridSpan w:val="2"/>
          </w:tcPr>
          <w:p>
            <w:pPr>
              <w:spacing w:after="0"/>
              <w:rPr>
                <w:sz w:val="20"/>
                <w:szCs w:val="20"/>
                <w:color w:val="auto"/>
              </w:rPr>
            </w:pPr>
            <w:r>
              <w:rPr>
                <w:rFonts w:ascii="Arial" w:cs="Arial" w:eastAsia="Arial" w:hAnsi="Arial"/>
                <w:sz w:val="11"/>
                <w:szCs w:val="11"/>
                <w:color w:val="0000FF"/>
              </w:rPr>
              <w:t>Contact Media Relations</w:t>
            </w:r>
          </w:p>
        </w:tc>
        <w:tc>
          <w:tcPr>
            <w:tcW w:w="2000" w:type="dxa"/>
            <w:vAlign w:val="bottom"/>
            <w:gridSpan w:val="2"/>
          </w:tcPr>
          <w:p>
            <w:pPr>
              <w:spacing w:after="0"/>
              <w:rPr>
                <w:sz w:val="20"/>
                <w:szCs w:val="20"/>
                <w:color w:val="auto"/>
              </w:rPr>
            </w:pPr>
            <w:r>
              <w:rPr>
                <w:rFonts w:ascii="Arial" w:cs="Arial" w:eastAsia="Arial" w:hAnsi="Arial"/>
                <w:sz w:val="11"/>
                <w:szCs w:val="11"/>
                <w:color w:val="0000FF"/>
              </w:rPr>
              <w:t>Contact IR</w:t>
            </w:r>
          </w:p>
        </w:tc>
      </w:tr>
      <w:tr>
        <w:trPr>
          <w:trHeight w:val="20"/>
        </w:trPr>
        <w:tc>
          <w:tcPr>
            <w:tcW w:w="124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0800"/>
          </w:cols>
          <w:pgMar w:left="300" w:top="890" w:right="7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2025-05-22T07:59:25Z</dcterms:created>
  <dcterms:modified xsi:type="dcterms:W3CDTF">2025-05-22T07:59:25Z</dcterms:modified>
</cp:coreProperties>
</file>