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488950</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563245</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14" w:lineRule="exact"/>
        <w:rPr>
          <w:sz w:val="24"/>
          <w:szCs w:val="24"/>
          <w:color w:val="auto"/>
        </w:rPr>
      </w:pPr>
    </w:p>
    <w:p>
      <w:pPr>
        <w:jc w:val="center"/>
        <w:ind w:right="-7"/>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2840355</wp:posOffset>
            </wp:positionH>
            <wp:positionV relativeFrom="paragraph">
              <wp:posOffset>144780</wp:posOffset>
            </wp:positionV>
            <wp:extent cx="149733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7330" cy="5715"/>
                    </a:xfrm>
                    <a:prstGeom prst="rect">
                      <a:avLst/>
                    </a:prstGeom>
                    <a:noFill/>
                  </pic:spPr>
                </pic:pic>
              </a:graphicData>
            </a:graphic>
          </wp:anchor>
        </w:drawing>
      </w:r>
    </w:p>
    <w:p>
      <w:pPr>
        <w:spacing w:after="0" w:line="352" w:lineRule="exact"/>
        <w:rPr>
          <w:sz w:val="24"/>
          <w:szCs w:val="24"/>
          <w:color w:val="auto"/>
        </w:rPr>
      </w:pPr>
    </w:p>
    <w:p>
      <w:pPr>
        <w:jc w:val="center"/>
        <w:ind w:right="-7"/>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2840355</wp:posOffset>
            </wp:positionH>
            <wp:positionV relativeFrom="paragraph">
              <wp:posOffset>153670</wp:posOffset>
            </wp:positionV>
            <wp:extent cx="149733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7330" cy="5715"/>
                    </a:xfrm>
                    <a:prstGeom prst="rect">
                      <a:avLst/>
                    </a:prstGeom>
                    <a:noFill/>
                  </pic:spPr>
                </pic:pic>
              </a:graphicData>
            </a:graphic>
          </wp:anchor>
        </w:drawing>
      </w:r>
    </w:p>
    <w:p>
      <w:pPr>
        <w:spacing w:after="0" w:line="366" w:lineRule="exact"/>
        <w:rPr>
          <w:sz w:val="24"/>
          <w:szCs w:val="24"/>
          <w:color w:val="auto"/>
        </w:rPr>
      </w:pPr>
    </w:p>
    <w:p>
      <w:pPr>
        <w:ind w:left="4988"/>
        <w:spacing w:after="0"/>
        <w:rPr>
          <w:sz w:val="20"/>
          <w:szCs w:val="20"/>
          <w:color w:val="auto"/>
        </w:rPr>
      </w:pPr>
      <w:r>
        <w:rPr>
          <w:rFonts w:ascii="Arial" w:cs="Arial" w:eastAsia="Arial" w:hAnsi="Arial"/>
          <w:sz w:val="14"/>
          <w:szCs w:val="14"/>
          <w:b w:val="1"/>
          <w:bCs w:val="1"/>
          <w:color w:val="auto"/>
        </w:rPr>
        <w:t>CURRENT REPORT</w:t>
      </w:r>
    </w:p>
    <w:p>
      <w:pPr>
        <w:spacing w:after="0" w:line="25" w:lineRule="exact"/>
        <w:rPr>
          <w:sz w:val="24"/>
          <w:szCs w:val="24"/>
          <w:color w:val="auto"/>
        </w:rPr>
      </w:pPr>
    </w:p>
    <w:p>
      <w:pPr>
        <w:ind w:left="4688"/>
        <w:spacing w:after="0"/>
        <w:rPr>
          <w:sz w:val="20"/>
          <w:szCs w:val="20"/>
          <w:color w:val="auto"/>
        </w:rPr>
      </w:pPr>
      <w:r>
        <w:rPr>
          <w:rFonts w:ascii="Arial" w:cs="Arial" w:eastAsia="Arial" w:hAnsi="Arial"/>
          <w:sz w:val="14"/>
          <w:szCs w:val="14"/>
          <w:b w:val="1"/>
          <w:bCs w:val="1"/>
          <w:color w:val="auto"/>
        </w:rPr>
        <w:t>Pursuant to Section 13 or 15(d)</w:t>
      </w:r>
    </w:p>
    <w:p>
      <w:pPr>
        <w:spacing w:after="0" w:line="2" w:lineRule="exact"/>
        <w:rPr>
          <w:sz w:val="24"/>
          <w:szCs w:val="24"/>
          <w:color w:val="auto"/>
        </w:rPr>
      </w:pPr>
    </w:p>
    <w:p>
      <w:pPr>
        <w:jc w:val="center"/>
        <w:ind w:right="-7"/>
        <w:spacing w:after="0"/>
        <w:rPr>
          <w:sz w:val="20"/>
          <w:szCs w:val="20"/>
          <w:color w:val="auto"/>
        </w:rPr>
      </w:pPr>
      <w:r>
        <w:rPr>
          <w:rFonts w:ascii="Arial" w:cs="Arial" w:eastAsia="Arial" w:hAnsi="Arial"/>
          <w:sz w:val="14"/>
          <w:szCs w:val="14"/>
          <w:b w:val="1"/>
          <w:bCs w:val="1"/>
          <w:color w:val="auto"/>
        </w:rPr>
        <w:t>of the Securities Exchange Act of 1934</w:t>
      </w:r>
    </w:p>
    <w:p>
      <w:pPr>
        <w:spacing w:after="0" w:line="84" w:lineRule="exact"/>
        <w:rPr>
          <w:sz w:val="24"/>
          <w:szCs w:val="24"/>
          <w:color w:val="auto"/>
        </w:rPr>
      </w:pPr>
    </w:p>
    <w:p>
      <w:pPr>
        <w:jc w:val="center"/>
        <w:ind w:right="-7"/>
        <w:spacing w:after="0"/>
        <w:rPr>
          <w:sz w:val="20"/>
          <w:szCs w:val="20"/>
          <w:color w:val="auto"/>
        </w:rPr>
      </w:pPr>
      <w:r>
        <w:rPr>
          <w:rFonts w:ascii="Arial" w:cs="Arial" w:eastAsia="Arial" w:hAnsi="Arial"/>
          <w:sz w:val="14"/>
          <w:szCs w:val="14"/>
          <w:b w:val="1"/>
          <w:bCs w:val="1"/>
          <w:color w:val="auto"/>
        </w:rPr>
        <w:t>Date of Report (Date of earliest event reported): November 21,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2840355</wp:posOffset>
            </wp:positionH>
            <wp:positionV relativeFrom="paragraph">
              <wp:posOffset>160655</wp:posOffset>
            </wp:positionV>
            <wp:extent cx="149733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7330" cy="5715"/>
                    </a:xfrm>
                    <a:prstGeom prst="rect">
                      <a:avLst/>
                    </a:prstGeom>
                    <a:noFill/>
                  </pic:spPr>
                </pic:pic>
              </a:graphicData>
            </a:graphic>
          </wp:anchor>
        </w:drawing>
      </w:r>
    </w:p>
    <w:p>
      <w:pPr>
        <w:spacing w:after="0" w:line="368" w:lineRule="exact"/>
        <w:rPr>
          <w:sz w:val="24"/>
          <w:szCs w:val="24"/>
          <w:color w:val="auto"/>
        </w:rPr>
      </w:pPr>
    </w:p>
    <w:p>
      <w:pPr>
        <w:jc w:val="center"/>
        <w:ind w:right="-7"/>
        <w:spacing w:after="0"/>
        <w:rPr>
          <w:sz w:val="20"/>
          <w:szCs w:val="20"/>
          <w:color w:val="auto"/>
        </w:rPr>
      </w:pPr>
      <w:r>
        <w:rPr>
          <w:rFonts w:ascii="Arial" w:cs="Arial" w:eastAsia="Arial" w:hAnsi="Arial"/>
          <w:sz w:val="29"/>
          <w:szCs w:val="29"/>
          <w:b w:val="1"/>
          <w:bCs w:val="1"/>
          <w:color w:val="auto"/>
        </w:rPr>
        <w:t>EMBECTA CORP.</w:t>
      </w:r>
    </w:p>
    <w:p>
      <w:pPr>
        <w:spacing w:after="0" w:line="28"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2840355</wp:posOffset>
            </wp:positionH>
            <wp:positionV relativeFrom="paragraph">
              <wp:posOffset>140335</wp:posOffset>
            </wp:positionV>
            <wp:extent cx="149733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7330" cy="5715"/>
                    </a:xfrm>
                    <a:prstGeom prst="rect">
                      <a:avLst/>
                    </a:prstGeom>
                    <a:noFill/>
                  </pic:spPr>
                </pic:pic>
              </a:graphicData>
            </a:graphic>
          </wp:anchor>
        </w:drawing>
      </w:r>
    </w:p>
    <w:p>
      <w:pPr>
        <w:spacing w:after="0" w:line="350"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Delaware</w:t>
      </w:r>
    </w:p>
    <w:p>
      <w:pPr>
        <w:spacing w:after="0" w:line="7" w:lineRule="exact"/>
        <w:rPr>
          <w:sz w:val="24"/>
          <w:szCs w:val="24"/>
          <w:color w:val="auto"/>
        </w:rPr>
      </w:pPr>
    </w:p>
    <w:p>
      <w:pPr>
        <w:jc w:val="center"/>
        <w:ind w:right="-7"/>
        <w:spacing w:after="0"/>
        <w:rPr>
          <w:sz w:val="20"/>
          <w:szCs w:val="20"/>
          <w:color w:val="auto"/>
        </w:rPr>
      </w:pPr>
      <w:r>
        <w:rPr>
          <w:rFonts w:ascii="Arial" w:cs="Arial" w:eastAsia="Arial" w:hAnsi="Arial"/>
          <w:sz w:val="10"/>
          <w:szCs w:val="10"/>
          <w:b w:val="1"/>
          <w:bCs w:val="1"/>
          <w:color w:val="auto"/>
        </w:rPr>
        <w:t>(State or Other Jurisdiction</w:t>
      </w:r>
    </w:p>
    <w:p>
      <w:pPr>
        <w:jc w:val="center"/>
        <w:ind w:right="-7"/>
        <w:spacing w:after="0" w:line="236" w:lineRule="auto"/>
        <w:rPr>
          <w:sz w:val="20"/>
          <w:szCs w:val="20"/>
          <w:color w:val="auto"/>
        </w:rPr>
      </w:pPr>
      <w:r>
        <w:rPr>
          <w:rFonts w:ascii="Arial" w:cs="Arial" w:eastAsia="Arial" w:hAnsi="Arial"/>
          <w:sz w:val="10"/>
          <w:szCs w:val="10"/>
          <w:b w:val="1"/>
          <w:bCs w:val="1"/>
          <w:color w:val="auto"/>
        </w:rPr>
        <w:t>of Incorporation)</w:t>
      </w:r>
    </w:p>
    <w:p>
      <w:pPr>
        <w:spacing w:after="0" w:line="185" w:lineRule="exact"/>
        <w:rPr>
          <w:sz w:val="24"/>
          <w:szCs w:val="24"/>
          <w:color w:val="auto"/>
        </w:rPr>
      </w:pPr>
    </w:p>
    <w:tbl>
      <w:tblPr>
        <w:tblLayout w:type="fixed"/>
        <w:tblInd w:w="1428" w:type="dxa"/>
        <w:tblCellMar>
          <w:top w:w="0" w:type="dxa"/>
          <w:left w:w="0" w:type="dxa"/>
          <w:bottom w:w="0" w:type="dxa"/>
          <w:right w:w="0" w:type="dxa"/>
        </w:tblCellMar>
      </w:tblPr>
      <w:tr>
        <w:trPr>
          <w:trHeight w:val="157"/>
        </w:trPr>
        <w:tc>
          <w:tcPr>
            <w:tcW w:w="6320" w:type="dxa"/>
            <w:vAlign w:val="bottom"/>
          </w:tcPr>
          <w:p>
            <w:pPr>
              <w:jc w:val="center"/>
              <w:ind w:right="3506"/>
              <w:spacing w:after="0"/>
              <w:rPr>
                <w:sz w:val="20"/>
                <w:szCs w:val="20"/>
                <w:color w:val="auto"/>
              </w:rPr>
            </w:pPr>
            <w:r>
              <w:rPr>
                <w:rFonts w:ascii="Arial" w:cs="Arial" w:eastAsia="Arial" w:hAnsi="Arial"/>
                <w:sz w:val="12"/>
                <w:szCs w:val="12"/>
                <w:b w:val="1"/>
                <w:bCs w:val="1"/>
                <w:color w:val="auto"/>
                <w:w w:val="90"/>
              </w:rPr>
              <w:t>001-41186</w:t>
            </w:r>
          </w:p>
        </w:tc>
        <w:tc>
          <w:tcPr>
            <w:tcW w:w="1120" w:type="dxa"/>
            <w:vAlign w:val="bottom"/>
          </w:tcPr>
          <w:p>
            <w:pPr>
              <w:jc w:val="right"/>
              <w:ind w:right="27"/>
              <w:spacing w:after="0"/>
              <w:rPr>
                <w:sz w:val="20"/>
                <w:szCs w:val="20"/>
                <w:color w:val="auto"/>
              </w:rPr>
            </w:pPr>
            <w:r>
              <w:rPr>
                <w:rFonts w:ascii="Arial" w:cs="Arial" w:eastAsia="Arial" w:hAnsi="Arial"/>
                <w:sz w:val="12"/>
                <w:szCs w:val="12"/>
                <w:b w:val="1"/>
                <w:bCs w:val="1"/>
                <w:color w:val="auto"/>
              </w:rPr>
              <w:t>87-1583942</w:t>
            </w:r>
          </w:p>
        </w:tc>
      </w:tr>
      <w:tr>
        <w:trPr>
          <w:trHeight w:val="130"/>
        </w:trPr>
        <w:tc>
          <w:tcPr>
            <w:tcW w:w="6320" w:type="dxa"/>
            <w:vAlign w:val="bottom"/>
          </w:tcPr>
          <w:p>
            <w:pPr>
              <w:jc w:val="center"/>
              <w:ind w:right="3506"/>
              <w:spacing w:after="0"/>
              <w:rPr>
                <w:sz w:val="20"/>
                <w:szCs w:val="20"/>
                <w:color w:val="auto"/>
              </w:rPr>
            </w:pPr>
            <w:r>
              <w:rPr>
                <w:rFonts w:ascii="Arial" w:cs="Arial" w:eastAsia="Arial" w:hAnsi="Arial"/>
                <w:sz w:val="10"/>
                <w:szCs w:val="10"/>
                <w:b w:val="1"/>
                <w:bCs w:val="1"/>
                <w:color w:val="auto"/>
                <w:w w:val="82"/>
              </w:rPr>
              <w:t>(Commission</w:t>
            </w:r>
          </w:p>
        </w:tc>
        <w:tc>
          <w:tcPr>
            <w:tcW w:w="1120" w:type="dxa"/>
            <w:vAlign w:val="bottom"/>
          </w:tcPr>
          <w:p>
            <w:pPr>
              <w:jc w:val="center"/>
              <w:ind w:left="327"/>
              <w:spacing w:after="0"/>
              <w:rPr>
                <w:sz w:val="20"/>
                <w:szCs w:val="20"/>
                <w:color w:val="auto"/>
              </w:rPr>
            </w:pPr>
            <w:r>
              <w:rPr>
                <w:rFonts w:ascii="Arial" w:cs="Arial" w:eastAsia="Arial" w:hAnsi="Arial"/>
                <w:sz w:val="10"/>
                <w:szCs w:val="10"/>
                <w:b w:val="1"/>
                <w:bCs w:val="1"/>
                <w:color w:val="auto"/>
                <w:w w:val="90"/>
              </w:rPr>
              <w:t>(IRS Employer</w:t>
            </w:r>
          </w:p>
        </w:tc>
      </w:tr>
      <w:tr>
        <w:trPr>
          <w:trHeight w:val="123"/>
        </w:trPr>
        <w:tc>
          <w:tcPr>
            <w:tcW w:w="6320" w:type="dxa"/>
            <w:vAlign w:val="bottom"/>
          </w:tcPr>
          <w:p>
            <w:pPr>
              <w:jc w:val="center"/>
              <w:ind w:right="3506"/>
              <w:spacing w:after="0"/>
              <w:rPr>
                <w:sz w:val="20"/>
                <w:szCs w:val="20"/>
                <w:color w:val="auto"/>
              </w:rPr>
            </w:pPr>
            <w:r>
              <w:rPr>
                <w:rFonts w:ascii="Arial" w:cs="Arial" w:eastAsia="Arial" w:hAnsi="Arial"/>
                <w:sz w:val="10"/>
                <w:szCs w:val="10"/>
                <w:b w:val="1"/>
                <w:bCs w:val="1"/>
                <w:color w:val="auto"/>
                <w:w w:val="91"/>
              </w:rPr>
              <w:t>File Number)</w:t>
            </w:r>
          </w:p>
        </w:tc>
        <w:tc>
          <w:tcPr>
            <w:tcW w:w="1120" w:type="dxa"/>
            <w:vAlign w:val="bottom"/>
          </w:tcPr>
          <w:p>
            <w:pPr>
              <w:jc w:val="center"/>
              <w:ind w:left="327"/>
              <w:spacing w:after="0"/>
              <w:rPr>
                <w:sz w:val="20"/>
                <w:szCs w:val="20"/>
                <w:color w:val="auto"/>
              </w:rPr>
            </w:pPr>
            <w:r>
              <w:rPr>
                <w:rFonts w:ascii="Arial" w:cs="Arial" w:eastAsia="Arial" w:hAnsi="Arial"/>
                <w:sz w:val="10"/>
                <w:szCs w:val="10"/>
                <w:b w:val="1"/>
                <w:bCs w:val="1"/>
                <w:color w:val="auto"/>
                <w:w w:val="87"/>
              </w:rPr>
              <w:t>Identification No.)</w:t>
            </w:r>
          </w:p>
        </w:tc>
      </w:tr>
      <w:tr>
        <w:trPr>
          <w:trHeight w:val="422"/>
        </w:trPr>
        <w:tc>
          <w:tcPr>
            <w:tcW w:w="6320" w:type="dxa"/>
            <w:vAlign w:val="bottom"/>
          </w:tcPr>
          <w:p>
            <w:pPr>
              <w:jc w:val="center"/>
              <w:ind w:right="3506"/>
              <w:spacing w:after="0"/>
              <w:rPr>
                <w:sz w:val="20"/>
                <w:szCs w:val="20"/>
                <w:color w:val="auto"/>
              </w:rPr>
            </w:pPr>
            <w:r>
              <w:rPr>
                <w:rFonts w:ascii="Arial" w:cs="Arial" w:eastAsia="Arial" w:hAnsi="Arial"/>
                <w:sz w:val="12"/>
                <w:szCs w:val="12"/>
                <w:b w:val="1"/>
                <w:bCs w:val="1"/>
                <w:color w:val="auto"/>
                <w:w w:val="90"/>
              </w:rPr>
              <w:t>300 Kimball Drive, Suite 300, Parsippany, New Jersey</w:t>
            </w:r>
          </w:p>
        </w:tc>
        <w:tc>
          <w:tcPr>
            <w:tcW w:w="1120" w:type="dxa"/>
            <w:vAlign w:val="bottom"/>
          </w:tcPr>
          <w:p>
            <w:pPr>
              <w:jc w:val="right"/>
              <w:ind w:right="167"/>
              <w:spacing w:after="0"/>
              <w:rPr>
                <w:sz w:val="20"/>
                <w:szCs w:val="20"/>
                <w:color w:val="auto"/>
              </w:rPr>
            </w:pPr>
            <w:r>
              <w:rPr>
                <w:rFonts w:ascii="Arial" w:cs="Arial" w:eastAsia="Arial" w:hAnsi="Arial"/>
                <w:sz w:val="12"/>
                <w:szCs w:val="12"/>
                <w:b w:val="1"/>
                <w:bCs w:val="1"/>
                <w:color w:val="auto"/>
              </w:rPr>
              <w:t>07054</w:t>
            </w:r>
          </w:p>
        </w:tc>
      </w:tr>
      <w:tr>
        <w:trPr>
          <w:trHeight w:val="136"/>
        </w:trPr>
        <w:tc>
          <w:tcPr>
            <w:tcW w:w="6320" w:type="dxa"/>
            <w:vAlign w:val="bottom"/>
          </w:tcPr>
          <w:p>
            <w:pPr>
              <w:jc w:val="center"/>
              <w:ind w:right="3506"/>
              <w:spacing w:after="0"/>
              <w:rPr>
                <w:sz w:val="20"/>
                <w:szCs w:val="20"/>
                <w:color w:val="auto"/>
              </w:rPr>
            </w:pPr>
            <w:r>
              <w:rPr>
                <w:rFonts w:ascii="Arial" w:cs="Arial" w:eastAsia="Arial" w:hAnsi="Arial"/>
                <w:sz w:val="10"/>
                <w:szCs w:val="10"/>
                <w:b w:val="1"/>
                <w:bCs w:val="1"/>
                <w:color w:val="auto"/>
                <w:w w:val="85"/>
              </w:rPr>
              <w:t>(Address of principal executive offices)</w:t>
            </w:r>
          </w:p>
        </w:tc>
        <w:tc>
          <w:tcPr>
            <w:tcW w:w="1120" w:type="dxa"/>
            <w:vAlign w:val="bottom"/>
          </w:tcPr>
          <w:p>
            <w:pPr>
              <w:jc w:val="center"/>
              <w:ind w:left="327"/>
              <w:spacing w:after="0"/>
              <w:rPr>
                <w:sz w:val="20"/>
                <w:szCs w:val="20"/>
                <w:color w:val="auto"/>
              </w:rPr>
            </w:pPr>
            <w:r>
              <w:rPr>
                <w:rFonts w:ascii="Arial" w:cs="Arial" w:eastAsia="Arial" w:hAnsi="Arial"/>
                <w:sz w:val="10"/>
                <w:szCs w:val="10"/>
                <w:b w:val="1"/>
                <w:bCs w:val="1"/>
                <w:color w:val="auto"/>
                <w:w w:val="92"/>
              </w:rPr>
              <w:t>(Zip Code)</w:t>
            </w:r>
          </w:p>
        </w:tc>
      </w:tr>
      <w:tr>
        <w:trPr>
          <w:trHeight w:val="314"/>
        </w:trPr>
        <w:tc>
          <w:tcPr>
            <w:tcW w:w="6320" w:type="dxa"/>
            <w:vAlign w:val="bottom"/>
          </w:tcPr>
          <w:p>
            <w:pPr>
              <w:jc w:val="center"/>
              <w:ind w:left="2066"/>
              <w:spacing w:after="0"/>
              <w:rPr>
                <w:sz w:val="20"/>
                <w:szCs w:val="20"/>
                <w:color w:val="auto"/>
              </w:rPr>
            </w:pPr>
            <w:r>
              <w:rPr>
                <w:rFonts w:ascii="Arial" w:cs="Arial" w:eastAsia="Arial" w:hAnsi="Arial"/>
                <w:sz w:val="12"/>
                <w:szCs w:val="12"/>
                <w:b w:val="1"/>
                <w:bCs w:val="1"/>
                <w:color w:val="auto"/>
                <w:w w:val="89"/>
              </w:rPr>
              <w:t>Registrant’s telephone number, including area code: (862) 401-0000</w:t>
            </w:r>
          </w:p>
        </w:tc>
        <w:tc>
          <w:tcPr>
            <w:tcW w:w="1120" w:type="dxa"/>
            <w:vAlign w:val="bottom"/>
          </w:tcPr>
          <w:p>
            <w:pPr>
              <w:spacing w:after="0"/>
              <w:rPr>
                <w:sz w:val="24"/>
                <w:szCs w:val="24"/>
                <w:color w:val="auto"/>
              </w:rPr>
            </w:pPr>
          </w:p>
        </w:tc>
      </w:tr>
      <w:tr>
        <w:trPr>
          <w:trHeight w:val="220"/>
        </w:trPr>
        <w:tc>
          <w:tcPr>
            <w:tcW w:w="6320" w:type="dxa"/>
            <w:vAlign w:val="bottom"/>
          </w:tcPr>
          <w:p>
            <w:pPr>
              <w:jc w:val="center"/>
              <w:ind w:left="2066"/>
              <w:spacing w:after="0"/>
              <w:rPr>
                <w:sz w:val="20"/>
                <w:szCs w:val="20"/>
                <w:color w:val="auto"/>
              </w:rPr>
            </w:pPr>
            <w:r>
              <w:rPr>
                <w:rFonts w:ascii="Arial" w:cs="Arial" w:eastAsia="Arial" w:hAnsi="Arial"/>
                <w:sz w:val="12"/>
                <w:szCs w:val="12"/>
                <w:b w:val="1"/>
                <w:bCs w:val="1"/>
                <w:color w:val="auto"/>
                <w:w w:val="96"/>
              </w:rPr>
              <w:t>N/A</w:t>
            </w:r>
          </w:p>
        </w:tc>
        <w:tc>
          <w:tcPr>
            <w:tcW w:w="1120" w:type="dxa"/>
            <w:vAlign w:val="bottom"/>
          </w:tcPr>
          <w:p>
            <w:pPr>
              <w:spacing w:after="0"/>
              <w:rPr>
                <w:sz w:val="19"/>
                <w:szCs w:val="19"/>
                <w:color w:val="auto"/>
              </w:rPr>
            </w:pPr>
          </w:p>
        </w:tc>
      </w:tr>
      <w:tr>
        <w:trPr>
          <w:trHeight w:val="123"/>
        </w:trPr>
        <w:tc>
          <w:tcPr>
            <w:tcW w:w="6320" w:type="dxa"/>
            <w:vAlign w:val="bottom"/>
          </w:tcPr>
          <w:p>
            <w:pPr>
              <w:jc w:val="center"/>
              <w:ind w:left="2086"/>
              <w:spacing w:after="0"/>
              <w:rPr>
                <w:sz w:val="20"/>
                <w:szCs w:val="20"/>
                <w:color w:val="auto"/>
              </w:rPr>
            </w:pPr>
            <w:r>
              <w:rPr>
                <w:rFonts w:ascii="Arial" w:cs="Arial" w:eastAsia="Arial" w:hAnsi="Arial"/>
                <w:sz w:val="10"/>
                <w:szCs w:val="10"/>
                <w:b w:val="1"/>
                <w:bCs w:val="1"/>
                <w:color w:val="auto"/>
                <w:w w:val="86"/>
              </w:rPr>
              <w:t>(Former name or former address, if changed since last report)</w:t>
            </w:r>
          </w:p>
        </w:tc>
        <w:tc>
          <w:tcPr>
            <w:tcW w:w="1120" w:type="dxa"/>
            <w:vAlign w:val="bottom"/>
          </w:tcPr>
          <w:p>
            <w:pPr>
              <w:spacing w:after="0"/>
              <w:rPr>
                <w:sz w:val="10"/>
                <w:szCs w:val="1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2840355</wp:posOffset>
            </wp:positionH>
            <wp:positionV relativeFrom="paragraph">
              <wp:posOffset>96520</wp:posOffset>
            </wp:positionV>
            <wp:extent cx="149733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7330" cy="5715"/>
                    </a:xfrm>
                    <a:prstGeom prst="rect">
                      <a:avLst/>
                    </a:prstGeom>
                    <a:noFill/>
                  </pic:spPr>
                </pic:pic>
              </a:graphicData>
            </a:graphic>
          </wp:anchor>
        </w:drawing>
      </w:r>
    </w:p>
    <w:p>
      <w:pPr>
        <w:spacing w:after="0" w:line="294" w:lineRule="exact"/>
        <w:rPr>
          <w:sz w:val="24"/>
          <w:szCs w:val="24"/>
          <w:color w:val="auto"/>
        </w:rPr>
      </w:pPr>
    </w:p>
    <w:p>
      <w:pPr>
        <w:ind w:left="8"/>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105" w:lineRule="exact"/>
        <w:rPr>
          <w:sz w:val="24"/>
          <w:szCs w:val="24"/>
          <w:color w:val="auto"/>
        </w:rPr>
      </w:pPr>
    </w:p>
    <w:p>
      <w:pPr>
        <w:ind w:left="468" w:hanging="456"/>
        <w:spacing w:after="0"/>
        <w:tabs>
          <w:tab w:leader="none" w:pos="46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114" w:lineRule="exact"/>
        <w:rPr>
          <w:rFonts w:ascii="MS PGothic" w:cs="MS PGothic" w:eastAsia="MS PGothic" w:hAnsi="MS PGothic"/>
          <w:sz w:val="12"/>
          <w:szCs w:val="12"/>
          <w:color w:val="auto"/>
        </w:rPr>
      </w:pPr>
    </w:p>
    <w:p>
      <w:pPr>
        <w:ind w:left="468" w:hanging="456"/>
        <w:spacing w:after="0"/>
        <w:tabs>
          <w:tab w:leader="none" w:pos="46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105" w:lineRule="exact"/>
        <w:rPr>
          <w:rFonts w:ascii="MS PGothic" w:cs="MS PGothic" w:eastAsia="MS PGothic" w:hAnsi="MS PGothic"/>
          <w:sz w:val="12"/>
          <w:szCs w:val="12"/>
          <w:color w:val="auto"/>
        </w:rPr>
      </w:pPr>
    </w:p>
    <w:p>
      <w:pPr>
        <w:ind w:left="468" w:hanging="456"/>
        <w:spacing w:after="0"/>
        <w:tabs>
          <w:tab w:leader="none" w:pos="46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114" w:lineRule="exact"/>
        <w:rPr>
          <w:rFonts w:ascii="MS PGothic" w:cs="MS PGothic" w:eastAsia="MS PGothic" w:hAnsi="MS PGothic"/>
          <w:sz w:val="12"/>
          <w:szCs w:val="12"/>
          <w:color w:val="auto"/>
        </w:rPr>
      </w:pPr>
    </w:p>
    <w:p>
      <w:pPr>
        <w:ind w:left="468" w:hanging="456"/>
        <w:spacing w:after="0"/>
        <w:tabs>
          <w:tab w:leader="none" w:pos="46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270" w:lineRule="exact"/>
        <w:rPr>
          <w:sz w:val="24"/>
          <w:szCs w:val="24"/>
          <w:color w:val="auto"/>
        </w:rPr>
      </w:pPr>
    </w:p>
    <w:tbl>
      <w:tblPr>
        <w:tblLayout w:type="fixed"/>
        <w:tblInd w:w="8" w:type="dxa"/>
        <w:tblCellMar>
          <w:top w:w="0" w:type="dxa"/>
          <w:left w:w="0" w:type="dxa"/>
          <w:bottom w:w="0" w:type="dxa"/>
          <w:right w:w="0" w:type="dxa"/>
        </w:tblCellMar>
      </w:tblPr>
      <w:tr>
        <w:trPr>
          <w:trHeight w:val="117"/>
        </w:trPr>
        <w:tc>
          <w:tcPr>
            <w:tcW w:w="4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10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2"/>
              </w:rPr>
              <w:t>Trading</w:t>
            </w:r>
          </w:p>
        </w:tc>
        <w:tc>
          <w:tcPr>
            <w:tcW w:w="4400" w:type="dxa"/>
            <w:vAlign w:val="bottom"/>
          </w:tcPr>
          <w:p>
            <w:pPr>
              <w:jc w:val="center"/>
              <w:spacing w:after="0"/>
              <w:rPr>
                <w:sz w:val="20"/>
                <w:szCs w:val="20"/>
                <w:color w:val="auto"/>
              </w:rPr>
            </w:pPr>
            <w:r>
              <w:rPr>
                <w:rFonts w:ascii="Arial" w:cs="Arial" w:eastAsia="Arial" w:hAnsi="Arial"/>
                <w:sz w:val="10"/>
                <w:szCs w:val="10"/>
                <w:b w:val="1"/>
                <w:bCs w:val="1"/>
                <w:color w:val="auto"/>
                <w:w w:val="84"/>
              </w:rPr>
              <w:t>Name of each exchange</w:t>
            </w:r>
          </w:p>
        </w:tc>
      </w:tr>
      <w:tr>
        <w:trPr>
          <w:trHeight w:val="150"/>
        </w:trPr>
        <w:tc>
          <w:tcPr>
            <w:tcW w:w="47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3"/>
              </w:rPr>
              <w:t>Title of each class</w:t>
            </w:r>
          </w:p>
        </w:tc>
        <w:tc>
          <w:tcPr>
            <w:tcW w:w="80" w:type="dxa"/>
            <w:vAlign w:val="bottom"/>
          </w:tcPr>
          <w:p>
            <w:pPr>
              <w:spacing w:after="0"/>
              <w:rPr>
                <w:sz w:val="13"/>
                <w:szCs w:val="13"/>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0"/>
              </w:rPr>
              <w:t>symbol(s)</w:t>
            </w:r>
          </w:p>
        </w:tc>
        <w:tc>
          <w:tcPr>
            <w:tcW w:w="100" w:type="dxa"/>
            <w:vAlign w:val="bottom"/>
          </w:tcPr>
          <w:p>
            <w:pPr>
              <w:spacing w:after="0"/>
              <w:rPr>
                <w:sz w:val="13"/>
                <w:szCs w:val="13"/>
                <w:color w:val="auto"/>
              </w:rPr>
            </w:pPr>
          </w:p>
        </w:tc>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4"/>
              </w:rPr>
              <w:t>on which registered</w:t>
            </w:r>
          </w:p>
        </w:tc>
      </w:tr>
      <w:tr>
        <w:trPr>
          <w:trHeight w:val="159"/>
        </w:trPr>
        <w:tc>
          <w:tcPr>
            <w:tcW w:w="478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89"/>
              </w:rPr>
              <w:t>Common Stock, par value $0.01 per share</w:t>
            </w:r>
          </w:p>
        </w:tc>
        <w:tc>
          <w:tcPr>
            <w:tcW w:w="21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EMBC</w:t>
            </w:r>
          </w:p>
        </w:tc>
        <w:tc>
          <w:tcPr>
            <w:tcW w:w="4400" w:type="dxa"/>
            <w:vAlign w:val="bottom"/>
          </w:tcPr>
          <w:p>
            <w:pPr>
              <w:jc w:val="center"/>
              <w:spacing w:after="0"/>
              <w:rPr>
                <w:sz w:val="20"/>
                <w:szCs w:val="20"/>
                <w:color w:val="auto"/>
              </w:rPr>
            </w:pPr>
            <w:r>
              <w:rPr>
                <w:rFonts w:ascii="Arial" w:cs="Arial" w:eastAsia="Arial" w:hAnsi="Arial"/>
                <w:sz w:val="12"/>
                <w:szCs w:val="12"/>
                <w:b w:val="1"/>
                <w:bCs w:val="1"/>
                <w:color w:val="auto"/>
                <w:w w:val="92"/>
              </w:rPr>
              <w:t>The Nasdaq Stock Market LLC (Nasdaq Global Select Market)</w:t>
            </w:r>
          </w:p>
        </w:tc>
      </w:tr>
    </w:tbl>
    <w:p>
      <w:pPr>
        <w:spacing w:after="0" w:line="153" w:lineRule="exact"/>
        <w:rPr>
          <w:sz w:val="24"/>
          <w:szCs w:val="24"/>
          <w:color w:val="auto"/>
        </w:rPr>
      </w:pPr>
    </w:p>
    <w:p>
      <w:pPr>
        <w:jc w:val="both"/>
        <w:ind w:left="9848" w:hanging="9855"/>
        <w:spacing w:after="0" w:line="203" w:lineRule="exact"/>
        <w:rPr>
          <w:sz w:val="20"/>
          <w:szCs w:val="20"/>
          <w:color w:val="auto"/>
        </w:rPr>
      </w:pPr>
      <w:r>
        <w:rPr>
          <w:rFonts w:ascii="Arial" w:cs="Arial" w:eastAsia="Arial" w:hAnsi="Arial"/>
          <w:sz w:val="11"/>
          <w:szCs w:val="11"/>
          <w:color w:val="auto"/>
        </w:rPr>
        <w:t xml:space="preserve">Indicate by check mark whether the registrant is an emerging growth company as defined in Rule 405 of the Securities Act of 1933 (17 CFR §230.405) or Rule 12b-2 of the Securities Exchange Act of 1934 (17 CFR §240.12b-2). Emerging growth company </w:t>
      </w:r>
      <w:r>
        <w:rPr>
          <w:rFonts w:ascii="MS PGothic" w:cs="MS PGothic" w:eastAsia="MS PGothic" w:hAnsi="MS PGothic"/>
          <w:sz w:val="11"/>
          <w:szCs w:val="11"/>
          <w:color w:val="auto"/>
        </w:rPr>
        <w:t>☐</w:t>
      </w:r>
    </w:p>
    <w:p>
      <w:pPr>
        <w:spacing w:after="0" w:line="63" w:lineRule="exact"/>
        <w:rPr>
          <w:sz w:val="24"/>
          <w:szCs w:val="24"/>
          <w:color w:val="auto"/>
        </w:rPr>
      </w:pPr>
    </w:p>
    <w:p>
      <w:pPr>
        <w:jc w:val="both"/>
        <w:ind w:left="8" w:right="20"/>
        <w:spacing w:after="0" w:line="153"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131445</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182880</wp:posOffset>
            </wp:positionV>
            <wp:extent cx="71780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8"/>
        <w:spacing w:after="0"/>
        <w:tabs>
          <w:tab w:leader="none" w:pos="848" w:val="left"/>
        </w:tabs>
        <w:rPr>
          <w:sz w:val="20"/>
          <w:szCs w:val="20"/>
          <w:color w:val="auto"/>
        </w:rPr>
      </w:pPr>
      <w:r>
        <w:rPr>
          <w:rFonts w:ascii="Arial" w:cs="Arial" w:eastAsia="Arial" w:hAnsi="Arial"/>
          <w:sz w:val="12"/>
          <w:szCs w:val="12"/>
          <w:b w:val="1"/>
          <w:bCs w:val="1"/>
          <w:color w:val="auto"/>
        </w:rPr>
        <w:t>Item 2.02.</w:t>
      </w:r>
      <w:r>
        <w:rPr>
          <w:sz w:val="20"/>
          <w:szCs w:val="20"/>
          <w:color w:val="auto"/>
        </w:rPr>
        <w:tab/>
      </w:r>
      <w:r>
        <w:rPr>
          <w:rFonts w:ascii="Arial" w:cs="Arial" w:eastAsia="Arial" w:hAnsi="Arial"/>
          <w:sz w:val="10"/>
          <w:szCs w:val="10"/>
          <w:b w:val="1"/>
          <w:bCs w:val="1"/>
          <w:color w:val="auto"/>
        </w:rPr>
        <w:t>Results of Operations and Financial Condition.</w:t>
      </w:r>
    </w:p>
    <w:p>
      <w:pPr>
        <w:spacing w:after="0" w:line="73" w:lineRule="exact"/>
        <w:rPr>
          <w:sz w:val="24"/>
          <w:szCs w:val="24"/>
          <w:color w:val="auto"/>
        </w:rPr>
      </w:pPr>
    </w:p>
    <w:p>
      <w:pPr>
        <w:jc w:val="both"/>
        <w:ind w:left="8"/>
        <w:spacing w:after="0" w:line="276" w:lineRule="auto"/>
        <w:rPr>
          <w:sz w:val="20"/>
          <w:szCs w:val="20"/>
          <w:color w:val="auto"/>
        </w:rPr>
      </w:pPr>
      <w:r>
        <w:rPr>
          <w:rFonts w:ascii="Arial" w:cs="Arial" w:eastAsia="Arial" w:hAnsi="Arial"/>
          <w:sz w:val="12"/>
          <w:szCs w:val="12"/>
          <w:color w:val="auto"/>
        </w:rPr>
        <w:t>On November 21, 2023, Embecta Corp. (the “Company” or "embecta") issued a press release (the “Earnings Release”) regarding its results for the quarter and fiscal year ended September 30, 2023. The Earnings Release is furnished as Exhibit 99.1 to this report.</w:t>
      </w:r>
    </w:p>
    <w:p>
      <w:pPr>
        <w:spacing w:after="0" w:line="102" w:lineRule="exact"/>
        <w:rPr>
          <w:sz w:val="24"/>
          <w:szCs w:val="24"/>
          <w:color w:val="auto"/>
        </w:rPr>
      </w:pPr>
    </w:p>
    <w:p>
      <w:pPr>
        <w:ind w:left="8"/>
        <w:spacing w:after="0"/>
        <w:tabs>
          <w:tab w:leader="none" w:pos="848" w:val="left"/>
        </w:tabs>
        <w:rPr>
          <w:sz w:val="20"/>
          <w:szCs w:val="20"/>
          <w:color w:val="auto"/>
        </w:rPr>
      </w:pPr>
      <w:r>
        <w:rPr>
          <w:rFonts w:ascii="Arial" w:cs="Arial" w:eastAsia="Arial" w:hAnsi="Arial"/>
          <w:sz w:val="12"/>
          <w:szCs w:val="12"/>
          <w:b w:val="1"/>
          <w:bCs w:val="1"/>
          <w:color w:val="auto"/>
        </w:rPr>
        <w:t>Item 7.01.</w:t>
      </w:r>
      <w:r>
        <w:rPr>
          <w:sz w:val="20"/>
          <w:szCs w:val="20"/>
          <w:color w:val="auto"/>
        </w:rPr>
        <w:tab/>
      </w:r>
      <w:r>
        <w:rPr>
          <w:rFonts w:ascii="Arial" w:cs="Arial" w:eastAsia="Arial" w:hAnsi="Arial"/>
          <w:sz w:val="10"/>
          <w:szCs w:val="10"/>
          <w:b w:val="1"/>
          <w:bCs w:val="1"/>
          <w:color w:val="auto"/>
        </w:rPr>
        <w:t>Regulation FD Disclosure.</w:t>
      </w:r>
    </w:p>
    <w:p>
      <w:pPr>
        <w:spacing w:after="0" w:line="2" w:lineRule="exact"/>
        <w:rPr>
          <w:sz w:val="24"/>
          <w:szCs w:val="24"/>
          <w:color w:val="auto"/>
        </w:rPr>
      </w:pPr>
    </w:p>
    <w:p>
      <w:pPr>
        <w:ind w:left="8" w:right="300"/>
        <w:spacing w:after="0" w:line="243" w:lineRule="auto"/>
        <w:rPr>
          <w:sz w:val="20"/>
          <w:szCs w:val="20"/>
          <w:color w:val="auto"/>
        </w:rPr>
      </w:pPr>
      <w:r>
        <w:rPr>
          <w:rFonts w:ascii="Arial" w:cs="Arial" w:eastAsia="Arial" w:hAnsi="Arial"/>
          <w:sz w:val="12"/>
          <w:szCs w:val="12"/>
          <w:color w:val="auto"/>
        </w:rPr>
        <w:t>On November 21, 2023, the Company posted a presentation regarding diabetes market considerations to its website at https://investors.embecta.com/news-events/presentations (the "Diabetes Presentation"). A copy of the Diabetes Presentation is furnished as Exhibit 99.2 to this report.</w:t>
      </w:r>
    </w:p>
    <w:p>
      <w:pPr>
        <w:spacing w:after="0" w:line="130" w:lineRule="exact"/>
        <w:rPr>
          <w:sz w:val="24"/>
          <w:szCs w:val="24"/>
          <w:color w:val="auto"/>
        </w:rPr>
      </w:pPr>
    </w:p>
    <w:p>
      <w:pPr>
        <w:ind w:left="8"/>
        <w:spacing w:after="0"/>
        <w:tabs>
          <w:tab w:leader="none" w:pos="848" w:val="left"/>
        </w:tabs>
        <w:rPr>
          <w:sz w:val="20"/>
          <w:szCs w:val="20"/>
          <w:color w:val="auto"/>
        </w:rPr>
      </w:pPr>
      <w:r>
        <w:rPr>
          <w:rFonts w:ascii="Arial" w:cs="Arial" w:eastAsia="Arial" w:hAnsi="Arial"/>
          <w:sz w:val="12"/>
          <w:szCs w:val="12"/>
          <w:b w:val="1"/>
          <w:bCs w:val="1"/>
          <w:color w:val="auto"/>
        </w:rPr>
        <w:t>Item 9.01.</w:t>
      </w:r>
      <w:r>
        <w:rPr>
          <w:sz w:val="20"/>
          <w:szCs w:val="20"/>
          <w:color w:val="auto"/>
        </w:rPr>
        <w:tab/>
      </w:r>
      <w:r>
        <w:rPr>
          <w:rFonts w:ascii="Arial" w:cs="Arial" w:eastAsia="Arial" w:hAnsi="Arial"/>
          <w:sz w:val="10"/>
          <w:szCs w:val="10"/>
          <w:b w:val="1"/>
          <w:bCs w:val="1"/>
          <w:color w:val="auto"/>
        </w:rPr>
        <w:t>Financial Statements and Exhibits.</w:t>
      </w:r>
    </w:p>
    <w:p>
      <w:pPr>
        <w:spacing w:after="0" w:line="73" w:lineRule="exact"/>
        <w:rPr>
          <w:sz w:val="24"/>
          <w:szCs w:val="24"/>
          <w:color w:val="auto"/>
        </w:rPr>
      </w:pPr>
    </w:p>
    <w:p>
      <w:pPr>
        <w:ind w:left="208" w:hanging="208"/>
        <w:spacing w:after="0"/>
        <w:tabs>
          <w:tab w:leader="none" w:pos="208" w:val="left"/>
        </w:tabs>
        <w:numPr>
          <w:ilvl w:val="0"/>
          <w:numId w:val="2"/>
        </w:numPr>
        <w:rPr>
          <w:rFonts w:ascii="Arial" w:cs="Arial" w:eastAsia="Arial" w:hAnsi="Arial"/>
          <w:sz w:val="12"/>
          <w:szCs w:val="12"/>
          <w:color w:val="auto"/>
        </w:rPr>
      </w:pPr>
      <w:r>
        <w:rPr>
          <w:rFonts w:ascii="Arial" w:cs="Arial" w:eastAsia="Arial" w:hAnsi="Arial"/>
          <w:sz w:val="12"/>
          <w:szCs w:val="12"/>
          <w:u w:val="single" w:color="auto"/>
          <w:color w:val="auto"/>
        </w:rPr>
        <w:t>Exhibits</w:t>
      </w:r>
    </w:p>
    <w:p>
      <w:pPr>
        <w:spacing w:after="0" w:line="78" w:lineRule="exact"/>
        <w:rPr>
          <w:sz w:val="24"/>
          <w:szCs w:val="24"/>
          <w:color w:val="auto"/>
        </w:rPr>
      </w:pPr>
    </w:p>
    <w:p>
      <w:pPr>
        <w:ind w:left="8"/>
        <w:spacing w:after="0"/>
        <w:rPr>
          <w:sz w:val="20"/>
          <w:szCs w:val="20"/>
          <w:color w:val="auto"/>
        </w:rPr>
      </w:pPr>
      <w:r>
        <w:rPr>
          <w:rFonts w:ascii="Arial" w:cs="Arial" w:eastAsia="Arial" w:hAnsi="Arial"/>
          <w:sz w:val="12"/>
          <w:szCs w:val="12"/>
          <w:color w:val="auto"/>
        </w:rPr>
        <w:t>The following is furnished as an exhibit to this report:</w:t>
      </w:r>
    </w:p>
    <w:p>
      <w:pPr>
        <w:spacing w:after="0" w:line="195" w:lineRule="exact"/>
        <w:rPr>
          <w:sz w:val="24"/>
          <w:szCs w:val="24"/>
          <w:color w:val="auto"/>
        </w:rPr>
      </w:pPr>
    </w:p>
    <w:p>
      <w:pPr>
        <w:ind w:left="8"/>
        <w:spacing w:after="0"/>
        <w:tabs>
          <w:tab w:leader="none" w:pos="528" w:val="left"/>
        </w:tabs>
        <w:rPr>
          <w:sz w:val="20"/>
          <w:szCs w:val="20"/>
          <w:color w:val="auto"/>
        </w:rPr>
      </w:pPr>
      <w:r>
        <w:rPr>
          <w:rFonts w:ascii="Arial" w:cs="Arial" w:eastAsia="Arial" w:hAnsi="Arial"/>
          <w:sz w:val="12"/>
          <w:szCs w:val="12"/>
          <w:u w:val="single" w:color="auto"/>
          <w:color w:val="0000FF"/>
        </w:rPr>
        <w:t>99.1</w:t>
      </w:r>
      <w:r>
        <w:rPr>
          <w:sz w:val="20"/>
          <w:szCs w:val="20"/>
          <w:color w:val="auto"/>
        </w:rPr>
        <w:tab/>
      </w:r>
      <w:r>
        <w:rPr>
          <w:rFonts w:ascii="Arial" w:cs="Arial" w:eastAsia="Arial" w:hAnsi="Arial"/>
          <w:sz w:val="10"/>
          <w:szCs w:val="10"/>
          <w:color w:val="auto"/>
        </w:rPr>
        <w:t>Press Release, dated November 21, 2023.</w:t>
      </w:r>
    </w:p>
    <w:p>
      <w:pPr>
        <w:spacing w:after="0" w:line="213" w:lineRule="exact"/>
        <w:rPr>
          <w:sz w:val="24"/>
          <w:szCs w:val="24"/>
          <w:color w:val="auto"/>
        </w:rPr>
      </w:pPr>
    </w:p>
    <w:p>
      <w:pPr>
        <w:ind w:left="8"/>
        <w:spacing w:after="0"/>
        <w:tabs>
          <w:tab w:leader="none" w:pos="528" w:val="left"/>
        </w:tabs>
        <w:rPr>
          <w:sz w:val="20"/>
          <w:szCs w:val="20"/>
          <w:color w:val="auto"/>
        </w:rPr>
      </w:pPr>
      <w:r>
        <w:rPr>
          <w:rFonts w:ascii="Arial" w:cs="Arial" w:eastAsia="Arial" w:hAnsi="Arial"/>
          <w:sz w:val="12"/>
          <w:szCs w:val="12"/>
          <w:u w:val="single" w:color="auto"/>
          <w:color w:val="0000FF"/>
        </w:rPr>
        <w:t>99.2</w:t>
      </w:r>
      <w:r>
        <w:rPr>
          <w:sz w:val="20"/>
          <w:szCs w:val="20"/>
          <w:color w:val="auto"/>
        </w:rPr>
        <w:tab/>
      </w:r>
      <w:r>
        <w:rPr>
          <w:rFonts w:ascii="Arial" w:cs="Arial" w:eastAsia="Arial" w:hAnsi="Arial"/>
          <w:sz w:val="10"/>
          <w:szCs w:val="10"/>
          <w:color w:val="auto"/>
        </w:rPr>
        <w:t>Presentation, dated November 21, 2023.</w:t>
      </w:r>
    </w:p>
    <w:p>
      <w:pPr>
        <w:spacing w:after="0" w:line="213" w:lineRule="exact"/>
        <w:rPr>
          <w:sz w:val="24"/>
          <w:szCs w:val="24"/>
          <w:color w:val="auto"/>
        </w:rPr>
      </w:pPr>
    </w:p>
    <w:p>
      <w:pPr>
        <w:ind w:left="8"/>
        <w:spacing w:after="0"/>
        <w:tabs>
          <w:tab w:leader="none" w:pos="528" w:val="left"/>
        </w:tabs>
        <w:rPr>
          <w:sz w:val="20"/>
          <w:szCs w:val="20"/>
          <w:color w:val="auto"/>
        </w:rPr>
      </w:pPr>
      <w:r>
        <w:rPr>
          <w:rFonts w:ascii="Arial" w:cs="Arial" w:eastAsia="Arial" w:hAnsi="Arial"/>
          <w:sz w:val="12"/>
          <w:szCs w:val="12"/>
          <w:color w:val="auto"/>
        </w:rPr>
        <w:t>104</w:t>
      </w:r>
      <w:r>
        <w:rPr>
          <w:sz w:val="20"/>
          <w:szCs w:val="20"/>
          <w:color w:val="auto"/>
        </w:rPr>
        <w:tab/>
      </w:r>
      <w:r>
        <w:rPr>
          <w:rFonts w:ascii="Arial" w:cs="Arial" w:eastAsia="Arial" w:hAnsi="Arial"/>
          <w:sz w:val="12"/>
          <w:szCs w:val="12"/>
          <w:color w:val="auto"/>
        </w:rPr>
        <w:t>Cover Page Interactive Data File (embedded within the Inline XBRL document)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431165</wp:posOffset>
            </wp:positionV>
            <wp:extent cx="7203440"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012" w:right="299" w:bottom="1440" w:gutter="0" w:footer="0" w:header="0"/>
        </w:sectPr>
      </w:pPr>
    </w:p>
    <w:bookmarkStart w:id="1" w:name="page2"/>
    <w:bookmarkEnd w:id="1"/>
    <w:p>
      <w:pPr>
        <w:ind w:left="5260"/>
        <w:spacing w:after="0"/>
        <w:rPr>
          <w:sz w:val="20"/>
          <w:szCs w:val="20"/>
          <w:color w:val="auto"/>
        </w:rPr>
      </w:pPr>
      <w:r>
        <w:rPr>
          <w:rFonts w:ascii="Arial" w:cs="Arial" w:eastAsia="Arial" w:hAnsi="Arial"/>
          <w:sz w:val="12"/>
          <w:szCs w:val="12"/>
          <w:b w:val="1"/>
          <w:bCs w:val="1"/>
          <w:color w:val="auto"/>
        </w:rPr>
        <w:t>SIGNATURES</w:t>
      </w:r>
    </w:p>
    <w:p>
      <w:pPr>
        <w:spacing w:after="0" w:line="145" w:lineRule="exact"/>
        <w:rPr>
          <w:sz w:val="20"/>
          <w:szCs w:val="20"/>
          <w:color w:val="auto"/>
        </w:rPr>
      </w:pPr>
    </w:p>
    <w:p>
      <w:pPr>
        <w:spacing w:after="0"/>
        <w:rPr>
          <w:sz w:val="20"/>
          <w:szCs w:val="20"/>
          <w:color w:val="auto"/>
        </w:rPr>
      </w:pPr>
      <w:r>
        <w:rPr>
          <w:rFonts w:ascii="Arial" w:cs="Arial" w:eastAsia="Arial" w:hAnsi="Arial"/>
          <w:sz w:val="10"/>
          <w:szCs w:val="10"/>
          <w:color w:val="auto"/>
        </w:rPr>
        <w:t>Pursuant to the requirements of the Securities Exchange Act of 1934, the registrant has duly caused this report to be signed on its behalf by the undersigned hereunto duly authorized.</w:t>
      </w:r>
    </w:p>
    <w:p>
      <w:pPr>
        <w:spacing w:after="0" w:line="227" w:lineRule="exact"/>
        <w:rPr>
          <w:sz w:val="20"/>
          <w:szCs w:val="20"/>
          <w:color w:val="auto"/>
        </w:rPr>
      </w:pPr>
    </w:p>
    <w:p>
      <w:pPr>
        <w:ind w:left="5380"/>
        <w:spacing w:after="0"/>
        <w:rPr>
          <w:sz w:val="20"/>
          <w:szCs w:val="20"/>
          <w:color w:val="auto"/>
        </w:rPr>
      </w:pPr>
      <w:r>
        <w:rPr>
          <w:rFonts w:ascii="Arial" w:cs="Arial" w:eastAsia="Arial" w:hAnsi="Arial"/>
          <w:sz w:val="12"/>
          <w:szCs w:val="12"/>
          <w:color w:val="auto"/>
        </w:rPr>
        <w:t>EMBECTA CORP.</w:t>
      </w:r>
    </w:p>
    <w:p>
      <w:pPr>
        <w:spacing w:after="0" w:line="213" w:lineRule="exact"/>
        <w:rPr>
          <w:sz w:val="20"/>
          <w:szCs w:val="20"/>
          <w:color w:val="auto"/>
        </w:rPr>
      </w:pPr>
    </w:p>
    <w:p>
      <w:pPr>
        <w:spacing w:after="0"/>
        <w:tabs>
          <w:tab w:leader="none" w:pos="5360" w:val="left"/>
          <w:tab w:leader="none" w:pos="5900" w:val="left"/>
        </w:tabs>
        <w:rPr>
          <w:sz w:val="20"/>
          <w:szCs w:val="20"/>
          <w:color w:val="auto"/>
        </w:rPr>
      </w:pPr>
      <w:r>
        <w:rPr>
          <w:rFonts w:ascii="Arial" w:cs="Arial" w:eastAsia="Arial" w:hAnsi="Arial"/>
          <w:sz w:val="12"/>
          <w:szCs w:val="12"/>
          <w:color w:val="auto"/>
        </w:rPr>
        <w:t>Dated: November 21, 2023</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0"/>
          <w:szCs w:val="10"/>
          <w:color w:val="auto"/>
        </w:rPr>
        <w:t>/s/ Jacob Elguicze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3755390</wp:posOffset>
            </wp:positionH>
            <wp:positionV relativeFrom="paragraph">
              <wp:posOffset>15240</wp:posOffset>
            </wp:positionV>
            <wp:extent cx="341757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17570" cy="5715"/>
                    </a:xfrm>
                    <a:prstGeom prst="rect">
                      <a:avLst/>
                    </a:prstGeom>
                    <a:noFill/>
                  </pic:spPr>
                </pic:pic>
              </a:graphicData>
            </a:graphic>
          </wp:anchor>
        </w:drawing>
      </w:r>
    </w:p>
    <w:p>
      <w:pPr>
        <w:spacing w:after="0" w:line="22" w:lineRule="exact"/>
        <w:rPr>
          <w:sz w:val="20"/>
          <w:szCs w:val="20"/>
          <w:color w:val="auto"/>
        </w:rPr>
      </w:pPr>
    </w:p>
    <w:p>
      <w:pPr>
        <w:ind w:left="5920"/>
        <w:spacing w:after="0"/>
        <w:rPr>
          <w:sz w:val="20"/>
          <w:szCs w:val="20"/>
          <w:color w:val="auto"/>
        </w:rPr>
      </w:pPr>
      <w:r>
        <w:rPr>
          <w:rFonts w:ascii="Arial" w:cs="Arial" w:eastAsia="Arial" w:hAnsi="Arial"/>
          <w:sz w:val="12"/>
          <w:szCs w:val="12"/>
          <w:color w:val="auto"/>
        </w:rPr>
        <w:t>Jacob Elguicze</w:t>
      </w:r>
    </w:p>
    <w:p>
      <w:pPr>
        <w:spacing w:after="0" w:line="7" w:lineRule="exact"/>
        <w:rPr>
          <w:sz w:val="20"/>
          <w:szCs w:val="20"/>
          <w:color w:val="auto"/>
        </w:rPr>
      </w:pPr>
    </w:p>
    <w:p>
      <w:pPr>
        <w:ind w:left="5920"/>
        <w:spacing w:after="0"/>
        <w:rPr>
          <w:sz w:val="20"/>
          <w:szCs w:val="20"/>
          <w:color w:val="auto"/>
        </w:rPr>
      </w:pPr>
      <w:r>
        <w:rPr>
          <w:rFonts w:ascii="Arial" w:cs="Arial" w:eastAsia="Arial" w:hAnsi="Arial"/>
          <w:sz w:val="12"/>
          <w:szCs w:val="12"/>
          <w:color w:val="auto"/>
        </w:rPr>
        <w:t>Chief Financial Officer</w:t>
      </w:r>
    </w:p>
    <w:p>
      <w:pPr>
        <w:sectPr>
          <w:pgSz w:w="11900" w:h="16838" w:orient="portrait"/>
          <w:cols w:equalWidth="0" w:num="1">
            <w:col w:w="10159"/>
          </w:cols>
          <w:pgMar w:left="300" w:top="667" w:right="1440" w:bottom="1440" w:gutter="0" w:footer="0" w:header="0"/>
        </w:sectPr>
      </w:pPr>
    </w:p>
    <w:bookmarkStart w:id="2" w:name="page3"/>
    <w:bookmarkEnd w:id="2"/>
    <w:p>
      <w:pPr>
        <w:jc w:val="right"/>
        <w:spacing w:after="0"/>
        <w:rPr>
          <w:sz w:val="20"/>
          <w:szCs w:val="20"/>
          <w:color w:val="auto"/>
        </w:rPr>
      </w:pPr>
      <w:r>
        <w:rPr>
          <w:rFonts w:ascii="Arial" w:cs="Arial" w:eastAsia="Arial" w:hAnsi="Arial"/>
          <w:sz w:val="14"/>
          <w:szCs w:val="14"/>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298450</wp:posOffset>
            </wp:positionV>
            <wp:extent cx="765810" cy="3429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6581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Embecta Corp. Reports Fiscal 2023 Fourth Quarter and Full Year Financial Results and Provides Initial Fiscal 2024 Financial Guidance</w:t>
      </w:r>
    </w:p>
    <w:p>
      <w:pPr>
        <w:spacing w:after="0" w:line="365" w:lineRule="exact"/>
        <w:rPr>
          <w:sz w:val="20"/>
          <w:szCs w:val="20"/>
          <w:color w:val="auto"/>
        </w:rPr>
      </w:pPr>
    </w:p>
    <w:p>
      <w:pPr>
        <w:jc w:val="both"/>
        <w:spacing w:after="0" w:line="302" w:lineRule="auto"/>
        <w:rPr>
          <w:sz w:val="20"/>
          <w:szCs w:val="20"/>
          <w:color w:val="auto"/>
        </w:rPr>
      </w:pPr>
      <w:r>
        <w:rPr>
          <w:rFonts w:ascii="Arial" w:cs="Arial" w:eastAsia="Arial" w:hAnsi="Arial"/>
          <w:sz w:val="11"/>
          <w:szCs w:val="11"/>
          <w:b w:val="1"/>
          <w:bCs w:val="1"/>
          <w:color w:val="auto"/>
        </w:rPr>
        <w:t xml:space="preserve">PARSIPPANY, N.J., </w:t>
      </w:r>
      <w:r>
        <w:rPr>
          <w:rFonts w:ascii="Arial" w:cs="Arial" w:eastAsia="Arial" w:hAnsi="Arial"/>
          <w:sz w:val="11"/>
          <w:szCs w:val="11"/>
          <w:color w:val="auto"/>
        </w:rPr>
        <w:t>Nov 21, 2023 (GLOBE NEWSWIRE) – Embecta Corp. (“embecta” or the "Company") (Nasdaq: EMBC), a global diabetes care company, today reported financial results for the three- and twelve-month</w:t>
      </w:r>
      <w:r>
        <w:rPr>
          <w:rFonts w:ascii="Arial" w:cs="Arial" w:eastAsia="Arial" w:hAnsi="Arial"/>
          <w:sz w:val="11"/>
          <w:szCs w:val="11"/>
          <w:b w:val="1"/>
          <w:bCs w:val="1"/>
          <w:color w:val="auto"/>
        </w:rPr>
        <w:t xml:space="preserve"> </w:t>
      </w:r>
      <w:r>
        <w:rPr>
          <w:rFonts w:ascii="Arial" w:cs="Arial" w:eastAsia="Arial" w:hAnsi="Arial"/>
          <w:sz w:val="11"/>
          <w:szCs w:val="11"/>
          <w:color w:val="auto"/>
        </w:rPr>
        <w:t>periods ended September 30, 2023.</w:t>
      </w:r>
    </w:p>
    <w:p>
      <w:pPr>
        <w:spacing w:after="0" w:line="75" w:lineRule="exact"/>
        <w:rPr>
          <w:sz w:val="20"/>
          <w:szCs w:val="20"/>
          <w:color w:val="auto"/>
        </w:rPr>
      </w:pPr>
    </w:p>
    <w:p>
      <w:pPr>
        <w:jc w:val="both"/>
        <w:spacing w:after="0" w:line="273" w:lineRule="auto"/>
        <w:rPr>
          <w:sz w:val="20"/>
          <w:szCs w:val="20"/>
          <w:color w:val="auto"/>
        </w:rPr>
      </w:pPr>
      <w:r>
        <w:rPr>
          <w:rFonts w:ascii="Arial" w:cs="Arial" w:eastAsia="Arial" w:hAnsi="Arial"/>
          <w:sz w:val="11"/>
          <w:szCs w:val="11"/>
          <w:color w:val="auto"/>
        </w:rPr>
        <w:t>"During fiscal 2023, our first full year as an independent company, we delivered better than expected performance during each quarter, including strong performance during our fiscal fourth quarter," said Devdatt (Dev) Kurdikar, Chief Executive Officer of embecta. "As we look ahead to fiscal 2024, we remain focused on advancing our strategic priorities and continuing to invest in the development of our type 2 closed loop insulin delivery system."</w:t>
      </w:r>
    </w:p>
    <w:p>
      <w:pPr>
        <w:spacing w:after="0" w:line="216" w:lineRule="exact"/>
        <w:rPr>
          <w:sz w:val="20"/>
          <w:szCs w:val="20"/>
          <w:color w:val="auto"/>
        </w:rPr>
      </w:pPr>
    </w:p>
    <w:p>
      <w:pPr>
        <w:jc w:val="both"/>
        <w:spacing w:after="0" w:line="265" w:lineRule="auto"/>
        <w:rPr>
          <w:sz w:val="20"/>
          <w:szCs w:val="20"/>
          <w:color w:val="auto"/>
        </w:rPr>
      </w:pPr>
      <w:r>
        <w:rPr>
          <w:rFonts w:ascii="Arial" w:cs="Arial" w:eastAsia="Arial" w:hAnsi="Arial"/>
          <w:sz w:val="11"/>
          <w:szCs w:val="11"/>
          <w:color w:val="auto"/>
        </w:rPr>
        <w:t>embecta spun off from Becton, Dickinson and Company (“BD”) on April 1, 2022 (the "Separation Date"). Financial results during the pre-spin period were presented on the carve-out basis of accounting and do not purport to reflect what embecta’s financial results would have been had embecta operated as a standalone public company. Therefore, financial results for the twelve-month periods ended September 30, 2022 and September 30, 2023 are not meaningfully comparable.</w:t>
      </w:r>
    </w:p>
    <w:p>
      <w:pPr>
        <w:spacing w:after="0" w:line="79" w:lineRule="exact"/>
        <w:rPr>
          <w:sz w:val="20"/>
          <w:szCs w:val="20"/>
          <w:color w:val="auto"/>
        </w:rPr>
      </w:pPr>
    </w:p>
    <w:p>
      <w:pPr>
        <w:spacing w:after="0"/>
        <w:rPr>
          <w:sz w:val="20"/>
          <w:szCs w:val="20"/>
          <w:color w:val="auto"/>
        </w:rPr>
      </w:pPr>
      <w:r>
        <w:rPr>
          <w:rFonts w:ascii="Arial" w:cs="Arial" w:eastAsia="Arial" w:hAnsi="Arial"/>
          <w:sz w:val="11"/>
          <w:szCs w:val="11"/>
          <w:b w:val="1"/>
          <w:bCs w:val="1"/>
          <w:u w:val="single" w:color="auto"/>
          <w:color w:val="auto"/>
        </w:rPr>
        <w:t>Fourth Quarter Fiscal Year 2023 Financial Highlights</w:t>
      </w:r>
      <w:r>
        <w:rPr>
          <w:rFonts w:ascii="Arial" w:cs="Arial" w:eastAsia="Arial" w:hAnsi="Arial"/>
          <w:sz w:val="11"/>
          <w:szCs w:val="11"/>
          <w:b w:val="1"/>
          <w:bCs w:val="1"/>
          <w:color w:val="auto"/>
        </w:rPr>
        <w:t>:</w:t>
      </w:r>
    </w:p>
    <w:p>
      <w:pPr>
        <w:spacing w:after="0" w:line="114" w:lineRule="exact"/>
        <w:rPr>
          <w:sz w:val="20"/>
          <w:szCs w:val="20"/>
          <w:color w:val="auto"/>
        </w:rPr>
      </w:pPr>
    </w:p>
    <w:p>
      <w:pPr>
        <w:ind w:left="420" w:hanging="212"/>
        <w:spacing w:after="0"/>
        <w:tabs>
          <w:tab w:leader="none" w:pos="420" w:val="left"/>
        </w:tabs>
        <w:numPr>
          <w:ilvl w:val="0"/>
          <w:numId w:val="3"/>
        </w:numPr>
        <w:rPr>
          <w:rFonts w:ascii="Arial" w:cs="Arial" w:eastAsia="Arial" w:hAnsi="Arial"/>
          <w:sz w:val="11"/>
          <w:szCs w:val="11"/>
          <w:color w:val="auto"/>
        </w:rPr>
      </w:pPr>
      <w:r>
        <w:rPr>
          <w:rFonts w:ascii="Arial" w:cs="Arial" w:eastAsia="Arial" w:hAnsi="Arial"/>
          <w:sz w:val="11"/>
          <w:szCs w:val="11"/>
          <w:color w:val="auto"/>
        </w:rPr>
        <w:t>Revenues of $281.9 million, up 2.7% on a reported basis; up 2.1% on a constant currency basis</w:t>
      </w:r>
    </w:p>
    <w:p>
      <w:pPr>
        <w:spacing w:after="0" w:line="116" w:lineRule="exact"/>
        <w:rPr>
          <w:rFonts w:ascii="Arial" w:cs="Arial" w:eastAsia="Arial" w:hAnsi="Arial"/>
          <w:sz w:val="11"/>
          <w:szCs w:val="11"/>
          <w:color w:val="auto"/>
        </w:rPr>
      </w:pPr>
    </w:p>
    <w:p>
      <w:pPr>
        <w:ind w:left="860" w:hanging="220"/>
        <w:spacing w:after="0"/>
        <w:tabs>
          <w:tab w:leader="none" w:pos="860" w:val="left"/>
        </w:tabs>
        <w:numPr>
          <w:ilvl w:val="1"/>
          <w:numId w:val="3"/>
        </w:numPr>
        <w:rPr>
          <w:rFonts w:ascii="Arial" w:cs="Arial" w:eastAsia="Arial" w:hAnsi="Arial"/>
          <w:sz w:val="11"/>
          <w:szCs w:val="11"/>
          <w:color w:val="auto"/>
        </w:rPr>
      </w:pPr>
      <w:r>
        <w:rPr>
          <w:rFonts w:ascii="Arial" w:cs="Arial" w:eastAsia="Arial" w:hAnsi="Arial"/>
          <w:sz w:val="11"/>
          <w:szCs w:val="11"/>
          <w:color w:val="auto"/>
        </w:rPr>
        <w:t>U.S. revenues increased 1.3% on both a reported and constant currency basis</w:t>
      </w:r>
    </w:p>
    <w:p>
      <w:pPr>
        <w:spacing w:after="0" w:line="107" w:lineRule="exact"/>
        <w:rPr>
          <w:rFonts w:ascii="Arial" w:cs="Arial" w:eastAsia="Arial" w:hAnsi="Arial"/>
          <w:sz w:val="11"/>
          <w:szCs w:val="11"/>
          <w:color w:val="auto"/>
        </w:rPr>
      </w:pPr>
    </w:p>
    <w:p>
      <w:pPr>
        <w:ind w:left="860" w:hanging="220"/>
        <w:spacing w:after="0"/>
        <w:tabs>
          <w:tab w:leader="none" w:pos="860" w:val="left"/>
        </w:tabs>
        <w:numPr>
          <w:ilvl w:val="1"/>
          <w:numId w:val="3"/>
        </w:numPr>
        <w:rPr>
          <w:rFonts w:ascii="Arial" w:cs="Arial" w:eastAsia="Arial" w:hAnsi="Arial"/>
          <w:sz w:val="11"/>
          <w:szCs w:val="11"/>
          <w:color w:val="auto"/>
        </w:rPr>
      </w:pPr>
      <w:r>
        <w:rPr>
          <w:rFonts w:ascii="Arial" w:cs="Arial" w:eastAsia="Arial" w:hAnsi="Arial"/>
          <w:sz w:val="11"/>
          <w:szCs w:val="11"/>
          <w:color w:val="auto"/>
        </w:rPr>
        <w:t>International revenues increased 4.3% on a reported basis, and increased 3.0% on a constant currency basis</w:t>
      </w:r>
    </w:p>
    <w:p>
      <w:pPr>
        <w:spacing w:after="0" w:line="116" w:lineRule="exact"/>
        <w:rPr>
          <w:rFonts w:ascii="Arial" w:cs="Arial" w:eastAsia="Arial" w:hAnsi="Arial"/>
          <w:sz w:val="11"/>
          <w:szCs w:val="11"/>
          <w:color w:val="auto"/>
        </w:rPr>
      </w:pPr>
    </w:p>
    <w:p>
      <w:pPr>
        <w:ind w:left="420" w:hanging="212"/>
        <w:spacing w:after="0"/>
        <w:tabs>
          <w:tab w:leader="none" w:pos="420" w:val="left"/>
        </w:tabs>
        <w:numPr>
          <w:ilvl w:val="0"/>
          <w:numId w:val="3"/>
        </w:numPr>
        <w:rPr>
          <w:rFonts w:ascii="Arial" w:cs="Arial" w:eastAsia="Arial" w:hAnsi="Arial"/>
          <w:sz w:val="11"/>
          <w:szCs w:val="11"/>
          <w:color w:val="auto"/>
        </w:rPr>
      </w:pPr>
      <w:r>
        <w:rPr>
          <w:rFonts w:ascii="Arial" w:cs="Arial" w:eastAsia="Arial" w:hAnsi="Arial"/>
          <w:sz w:val="11"/>
          <w:szCs w:val="11"/>
          <w:color w:val="auto"/>
        </w:rPr>
        <w:t>Gross profit and margin of $181.8 million and 64.5%, compared to $176.9 million and 64.4% in the prior year period</w:t>
      </w:r>
    </w:p>
    <w:p>
      <w:pPr>
        <w:spacing w:after="0" w:line="116" w:lineRule="exact"/>
        <w:rPr>
          <w:rFonts w:ascii="Arial" w:cs="Arial" w:eastAsia="Arial" w:hAnsi="Arial"/>
          <w:sz w:val="11"/>
          <w:szCs w:val="11"/>
          <w:color w:val="auto"/>
        </w:rPr>
      </w:pPr>
    </w:p>
    <w:p>
      <w:pPr>
        <w:ind w:left="420" w:hanging="212"/>
        <w:spacing w:after="0"/>
        <w:tabs>
          <w:tab w:leader="none" w:pos="420" w:val="left"/>
        </w:tabs>
        <w:numPr>
          <w:ilvl w:val="0"/>
          <w:numId w:val="3"/>
        </w:numPr>
        <w:rPr>
          <w:rFonts w:ascii="Arial" w:cs="Arial" w:eastAsia="Arial" w:hAnsi="Arial"/>
          <w:sz w:val="11"/>
          <w:szCs w:val="11"/>
          <w:color w:val="auto"/>
        </w:rPr>
      </w:pPr>
      <w:r>
        <w:rPr>
          <w:rFonts w:ascii="Arial" w:cs="Arial" w:eastAsia="Arial" w:hAnsi="Arial"/>
          <w:sz w:val="11"/>
          <w:szCs w:val="11"/>
          <w:color w:val="auto"/>
        </w:rPr>
        <w:t>Adjusted gross profit and margin of $182.6 million and 64.8%</w:t>
      </w:r>
    </w:p>
    <w:p>
      <w:pPr>
        <w:spacing w:after="0" w:line="107" w:lineRule="exact"/>
        <w:rPr>
          <w:rFonts w:ascii="Arial" w:cs="Arial" w:eastAsia="Arial" w:hAnsi="Arial"/>
          <w:sz w:val="11"/>
          <w:szCs w:val="11"/>
          <w:color w:val="auto"/>
        </w:rPr>
      </w:pPr>
    </w:p>
    <w:p>
      <w:pPr>
        <w:ind w:left="420" w:hanging="212"/>
        <w:spacing w:after="0"/>
        <w:tabs>
          <w:tab w:leader="none" w:pos="420" w:val="left"/>
        </w:tabs>
        <w:numPr>
          <w:ilvl w:val="0"/>
          <w:numId w:val="3"/>
        </w:numPr>
        <w:rPr>
          <w:rFonts w:ascii="Arial" w:cs="Arial" w:eastAsia="Arial" w:hAnsi="Arial"/>
          <w:sz w:val="11"/>
          <w:szCs w:val="11"/>
          <w:color w:val="auto"/>
        </w:rPr>
      </w:pPr>
      <w:r>
        <w:rPr>
          <w:rFonts w:ascii="Arial" w:cs="Arial" w:eastAsia="Arial" w:hAnsi="Arial"/>
          <w:sz w:val="11"/>
          <w:szCs w:val="11"/>
          <w:color w:val="auto"/>
        </w:rPr>
        <w:t>Operating income (loss) and margin of $25.8 million and 9.2%, compared to $(3.0) million and (1.1)% in the prior year period</w:t>
      </w:r>
    </w:p>
    <w:p>
      <w:pPr>
        <w:spacing w:after="0" w:line="116" w:lineRule="exact"/>
        <w:rPr>
          <w:rFonts w:ascii="Arial" w:cs="Arial" w:eastAsia="Arial" w:hAnsi="Arial"/>
          <w:sz w:val="11"/>
          <w:szCs w:val="11"/>
          <w:color w:val="auto"/>
        </w:rPr>
      </w:pPr>
    </w:p>
    <w:p>
      <w:pPr>
        <w:ind w:left="420" w:hanging="212"/>
        <w:spacing w:after="0"/>
        <w:tabs>
          <w:tab w:leader="none" w:pos="420" w:val="left"/>
        </w:tabs>
        <w:numPr>
          <w:ilvl w:val="0"/>
          <w:numId w:val="3"/>
        </w:numPr>
        <w:rPr>
          <w:rFonts w:ascii="Arial" w:cs="Arial" w:eastAsia="Arial" w:hAnsi="Arial"/>
          <w:sz w:val="11"/>
          <w:szCs w:val="11"/>
          <w:color w:val="auto"/>
        </w:rPr>
      </w:pPr>
      <w:r>
        <w:rPr>
          <w:rFonts w:ascii="Arial" w:cs="Arial" w:eastAsia="Arial" w:hAnsi="Arial"/>
          <w:sz w:val="11"/>
          <w:szCs w:val="11"/>
          <w:color w:val="auto"/>
        </w:rPr>
        <w:t>Adjusted operating income and margin of $65.2 million and 23.1%</w:t>
      </w:r>
    </w:p>
    <w:p>
      <w:pPr>
        <w:spacing w:after="0" w:line="107" w:lineRule="exact"/>
        <w:rPr>
          <w:rFonts w:ascii="Arial" w:cs="Arial" w:eastAsia="Arial" w:hAnsi="Arial"/>
          <w:sz w:val="11"/>
          <w:szCs w:val="11"/>
          <w:color w:val="auto"/>
        </w:rPr>
      </w:pPr>
    </w:p>
    <w:p>
      <w:pPr>
        <w:jc w:val="both"/>
        <w:ind w:left="420" w:hanging="212"/>
        <w:spacing w:after="0" w:line="265" w:lineRule="auto"/>
        <w:tabs>
          <w:tab w:leader="none" w:pos="415" w:val="left"/>
        </w:tabs>
        <w:numPr>
          <w:ilvl w:val="0"/>
          <w:numId w:val="3"/>
        </w:numPr>
        <w:rPr>
          <w:rFonts w:ascii="Arial" w:cs="Arial" w:eastAsia="Arial" w:hAnsi="Arial"/>
          <w:sz w:val="11"/>
          <w:szCs w:val="11"/>
          <w:color w:val="auto"/>
        </w:rPr>
      </w:pPr>
      <w:r>
        <w:rPr>
          <w:rFonts w:ascii="Arial" w:cs="Arial" w:eastAsia="Arial" w:hAnsi="Arial"/>
          <w:sz w:val="11"/>
          <w:szCs w:val="11"/>
          <w:color w:val="auto"/>
        </w:rPr>
        <w:t>Net income (loss) of $6.0 million and earnings per diluted share of $0.10. This compares to net income (loss) of $(17.2) million and earnings per diluted share of $(0.30) in the prior year period inclusive of an impairment charge of $58.9 million related to the abandonment of certain manufacturing production lines in the United States that are no longer expected to be completed, and a $5.5 million charge related to purchase commitments associated with the abandonment of the assets noted above.</w:t>
      </w:r>
    </w:p>
    <w:p>
      <w:pPr>
        <w:spacing w:after="0" w:line="85" w:lineRule="exact"/>
        <w:rPr>
          <w:rFonts w:ascii="Arial" w:cs="Arial" w:eastAsia="Arial" w:hAnsi="Arial"/>
          <w:sz w:val="11"/>
          <w:szCs w:val="11"/>
          <w:color w:val="auto"/>
        </w:rPr>
      </w:pPr>
    </w:p>
    <w:p>
      <w:pPr>
        <w:ind w:left="420" w:hanging="212"/>
        <w:spacing w:after="0"/>
        <w:tabs>
          <w:tab w:leader="none" w:pos="420" w:val="left"/>
        </w:tabs>
        <w:numPr>
          <w:ilvl w:val="0"/>
          <w:numId w:val="3"/>
        </w:numPr>
        <w:rPr>
          <w:rFonts w:ascii="Arial" w:cs="Arial" w:eastAsia="Arial" w:hAnsi="Arial"/>
          <w:sz w:val="11"/>
          <w:szCs w:val="11"/>
          <w:color w:val="auto"/>
        </w:rPr>
      </w:pPr>
      <w:r>
        <w:rPr>
          <w:rFonts w:ascii="Arial" w:cs="Arial" w:eastAsia="Arial" w:hAnsi="Arial"/>
          <w:sz w:val="11"/>
          <w:szCs w:val="11"/>
          <w:color w:val="auto"/>
        </w:rPr>
        <w:t>Adjusted net income and adjusted earnings per diluted share of $34.1 million and $0.59</w:t>
      </w:r>
    </w:p>
    <w:p>
      <w:pPr>
        <w:spacing w:after="0" w:line="107" w:lineRule="exact"/>
        <w:rPr>
          <w:rFonts w:ascii="Arial" w:cs="Arial" w:eastAsia="Arial" w:hAnsi="Arial"/>
          <w:sz w:val="11"/>
          <w:szCs w:val="11"/>
          <w:color w:val="auto"/>
        </w:rPr>
      </w:pPr>
    </w:p>
    <w:p>
      <w:pPr>
        <w:ind w:left="420" w:hanging="212"/>
        <w:spacing w:after="0"/>
        <w:tabs>
          <w:tab w:leader="none" w:pos="420" w:val="left"/>
        </w:tabs>
        <w:numPr>
          <w:ilvl w:val="0"/>
          <w:numId w:val="3"/>
        </w:numPr>
        <w:rPr>
          <w:rFonts w:ascii="Arial" w:cs="Arial" w:eastAsia="Arial" w:hAnsi="Arial"/>
          <w:sz w:val="11"/>
          <w:szCs w:val="11"/>
          <w:color w:val="auto"/>
        </w:rPr>
      </w:pPr>
      <w:r>
        <w:rPr>
          <w:rFonts w:ascii="Arial" w:cs="Arial" w:eastAsia="Arial" w:hAnsi="Arial"/>
          <w:sz w:val="11"/>
          <w:szCs w:val="11"/>
          <w:color w:val="auto"/>
        </w:rPr>
        <w:t>Adjusted EBITDA and margin of $79.6 million and 28.2%, compared to $87.2 million and 31.8% in the prior year period</w:t>
      </w:r>
    </w:p>
    <w:p>
      <w:pPr>
        <w:spacing w:after="0" w:line="116" w:lineRule="exact"/>
        <w:rPr>
          <w:rFonts w:ascii="Arial" w:cs="Arial" w:eastAsia="Arial" w:hAnsi="Arial"/>
          <w:sz w:val="11"/>
          <w:szCs w:val="11"/>
          <w:color w:val="auto"/>
        </w:rPr>
      </w:pPr>
    </w:p>
    <w:p>
      <w:pPr>
        <w:ind w:left="420" w:hanging="212"/>
        <w:spacing w:after="0"/>
        <w:tabs>
          <w:tab w:leader="none" w:pos="420" w:val="left"/>
        </w:tabs>
        <w:numPr>
          <w:ilvl w:val="0"/>
          <w:numId w:val="3"/>
        </w:numPr>
        <w:rPr>
          <w:rFonts w:ascii="Arial" w:cs="Arial" w:eastAsia="Arial" w:hAnsi="Arial"/>
          <w:sz w:val="11"/>
          <w:szCs w:val="11"/>
          <w:color w:val="auto"/>
        </w:rPr>
      </w:pPr>
      <w:r>
        <w:rPr>
          <w:rFonts w:ascii="Arial" w:cs="Arial" w:eastAsia="Arial" w:hAnsi="Arial"/>
          <w:sz w:val="11"/>
          <w:szCs w:val="11"/>
          <w:color w:val="auto"/>
        </w:rPr>
        <w:t>Announced a dividend of $0.15 per share</w:t>
      </w:r>
    </w:p>
    <w:p>
      <w:pPr>
        <w:spacing w:after="0" w:line="102" w:lineRule="exact"/>
        <w:rPr>
          <w:sz w:val="20"/>
          <w:szCs w:val="20"/>
          <w:color w:val="auto"/>
        </w:rPr>
      </w:pPr>
    </w:p>
    <w:p>
      <w:pPr>
        <w:spacing w:after="0"/>
        <w:rPr>
          <w:sz w:val="20"/>
          <w:szCs w:val="20"/>
          <w:color w:val="auto"/>
        </w:rPr>
      </w:pPr>
      <w:r>
        <w:rPr>
          <w:rFonts w:ascii="Arial" w:cs="Arial" w:eastAsia="Arial" w:hAnsi="Arial"/>
          <w:sz w:val="11"/>
          <w:szCs w:val="11"/>
          <w:b w:val="1"/>
          <w:bCs w:val="1"/>
          <w:u w:val="single" w:color="auto"/>
          <w:color w:val="auto"/>
        </w:rPr>
        <w:t>Twelve Months Ended September 30 Fiscal Year 2023 Financial Highlights</w:t>
      </w:r>
      <w:r>
        <w:rPr>
          <w:rFonts w:ascii="Arial" w:cs="Arial" w:eastAsia="Arial" w:hAnsi="Arial"/>
          <w:sz w:val="11"/>
          <w:szCs w:val="11"/>
          <w:b w:val="1"/>
          <w:bCs w:val="1"/>
          <w:color w:val="auto"/>
        </w:rPr>
        <w:t>:</w:t>
      </w:r>
    </w:p>
    <w:p>
      <w:pPr>
        <w:spacing w:after="0" w:line="123" w:lineRule="exact"/>
        <w:rPr>
          <w:sz w:val="20"/>
          <w:szCs w:val="20"/>
          <w:color w:val="auto"/>
        </w:rPr>
      </w:pPr>
    </w:p>
    <w:p>
      <w:pPr>
        <w:ind w:left="420" w:hanging="212"/>
        <w:spacing w:after="0"/>
        <w:tabs>
          <w:tab w:leader="none" w:pos="420" w:val="left"/>
        </w:tabs>
        <w:numPr>
          <w:ilvl w:val="0"/>
          <w:numId w:val="4"/>
        </w:numPr>
        <w:rPr>
          <w:rFonts w:ascii="Arial" w:cs="Arial" w:eastAsia="Arial" w:hAnsi="Arial"/>
          <w:sz w:val="11"/>
          <w:szCs w:val="11"/>
          <w:color w:val="auto"/>
        </w:rPr>
      </w:pPr>
      <w:r>
        <w:rPr>
          <w:rFonts w:ascii="Arial" w:cs="Arial" w:eastAsia="Arial" w:hAnsi="Arial"/>
          <w:sz w:val="11"/>
          <w:szCs w:val="11"/>
          <w:color w:val="auto"/>
        </w:rPr>
        <w:t>Revenues of $1,120.8 million, down 0.8% on a reported basis; up 1.6% on a constant currency basis</w:t>
      </w:r>
    </w:p>
    <w:p>
      <w:pPr>
        <w:spacing w:after="0" w:line="107" w:lineRule="exact"/>
        <w:rPr>
          <w:rFonts w:ascii="Arial" w:cs="Arial" w:eastAsia="Arial" w:hAnsi="Arial"/>
          <w:sz w:val="11"/>
          <w:szCs w:val="11"/>
          <w:color w:val="auto"/>
        </w:rPr>
      </w:pPr>
    </w:p>
    <w:p>
      <w:pPr>
        <w:ind w:left="860" w:hanging="220"/>
        <w:spacing w:after="0"/>
        <w:tabs>
          <w:tab w:leader="none" w:pos="860" w:val="left"/>
        </w:tabs>
        <w:numPr>
          <w:ilvl w:val="1"/>
          <w:numId w:val="4"/>
        </w:numPr>
        <w:rPr>
          <w:rFonts w:ascii="Arial" w:cs="Arial" w:eastAsia="Arial" w:hAnsi="Arial"/>
          <w:sz w:val="11"/>
          <w:szCs w:val="11"/>
          <w:color w:val="auto"/>
        </w:rPr>
      </w:pPr>
      <w:r>
        <w:rPr>
          <w:rFonts w:ascii="Arial" w:cs="Arial" w:eastAsia="Arial" w:hAnsi="Arial"/>
          <w:sz w:val="11"/>
          <w:szCs w:val="11"/>
          <w:color w:val="auto"/>
        </w:rPr>
        <w:t>U.S. revenues increased 0.2% on both a reported and constant currency basis</w:t>
      </w:r>
    </w:p>
    <w:p>
      <w:pPr>
        <w:spacing w:after="0" w:line="116" w:lineRule="exact"/>
        <w:rPr>
          <w:rFonts w:ascii="Arial" w:cs="Arial" w:eastAsia="Arial" w:hAnsi="Arial"/>
          <w:sz w:val="11"/>
          <w:szCs w:val="11"/>
          <w:color w:val="auto"/>
        </w:rPr>
      </w:pPr>
    </w:p>
    <w:p>
      <w:pPr>
        <w:ind w:left="860" w:hanging="220"/>
        <w:spacing w:after="0"/>
        <w:tabs>
          <w:tab w:leader="none" w:pos="860" w:val="left"/>
        </w:tabs>
        <w:numPr>
          <w:ilvl w:val="1"/>
          <w:numId w:val="4"/>
        </w:numPr>
        <w:rPr>
          <w:rFonts w:ascii="Arial" w:cs="Arial" w:eastAsia="Arial" w:hAnsi="Arial"/>
          <w:sz w:val="11"/>
          <w:szCs w:val="11"/>
          <w:color w:val="auto"/>
        </w:rPr>
      </w:pPr>
      <w:r>
        <w:rPr>
          <w:rFonts w:ascii="Arial" w:cs="Arial" w:eastAsia="Arial" w:hAnsi="Arial"/>
          <w:sz w:val="11"/>
          <w:szCs w:val="11"/>
          <w:color w:val="auto"/>
        </w:rPr>
        <w:t>International revenues decreased 1.9% on a reported basis, and increased 3.2% on a constant currency basis</w:t>
      </w:r>
    </w:p>
    <w:p>
      <w:pPr>
        <w:spacing w:after="0" w:line="107" w:lineRule="exact"/>
        <w:rPr>
          <w:rFonts w:ascii="Arial" w:cs="Arial" w:eastAsia="Arial" w:hAnsi="Arial"/>
          <w:sz w:val="11"/>
          <w:szCs w:val="11"/>
          <w:color w:val="auto"/>
        </w:rPr>
      </w:pPr>
    </w:p>
    <w:p>
      <w:pPr>
        <w:ind w:left="420" w:hanging="212"/>
        <w:spacing w:after="0"/>
        <w:tabs>
          <w:tab w:leader="none" w:pos="420" w:val="left"/>
        </w:tabs>
        <w:numPr>
          <w:ilvl w:val="0"/>
          <w:numId w:val="4"/>
        </w:numPr>
        <w:rPr>
          <w:rFonts w:ascii="Arial" w:cs="Arial" w:eastAsia="Arial" w:hAnsi="Arial"/>
          <w:sz w:val="11"/>
          <w:szCs w:val="11"/>
          <w:color w:val="auto"/>
        </w:rPr>
      </w:pPr>
      <w:r>
        <w:rPr>
          <w:rFonts w:ascii="Arial" w:cs="Arial" w:eastAsia="Arial" w:hAnsi="Arial"/>
          <w:sz w:val="11"/>
          <w:szCs w:val="11"/>
          <w:color w:val="auto"/>
        </w:rPr>
        <w:t>Gross profit and margin of $749.9 million and 66.9%, compared to $774.9 million and 68.6% in the prior 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w:t>
      </w:r>
    </w:p>
    <w:p>
      <w:pPr>
        <w:sectPr>
          <w:pgSz w:w="11900" w:h="16838" w:orient="portrait"/>
          <w:cols w:equalWidth="0" w:num="1">
            <w:col w:w="11300"/>
          </w:cols>
          <w:pgMar w:left="300" w:top="111" w:right="299" w:bottom="1440" w:gutter="0" w:footer="0" w:header="0"/>
        </w:sectPr>
      </w:pPr>
    </w:p>
    <w:bookmarkStart w:id="3" w:name="page4"/>
    <w:bookmarkEnd w:id="3"/>
    <w:p>
      <w:pPr>
        <w:ind w:left="420" w:hanging="212"/>
        <w:spacing w:after="0"/>
        <w:tabs>
          <w:tab w:leader="none" w:pos="420" w:val="left"/>
        </w:tabs>
        <w:numPr>
          <w:ilvl w:val="0"/>
          <w:numId w:val="5"/>
        </w:numPr>
        <w:rPr>
          <w:rFonts w:ascii="Arial" w:cs="Arial" w:eastAsia="Arial" w:hAnsi="Arial"/>
          <w:sz w:val="11"/>
          <w:szCs w:val="11"/>
          <w:color w:val="auto"/>
        </w:rPr>
      </w:pPr>
      <w:r>
        <w:rPr>
          <w:rFonts w:ascii="Arial" w:cs="Arial" w:eastAsia="Arial" w:hAnsi="Arial"/>
          <w:sz w:val="11"/>
          <w:szCs w:val="11"/>
          <w:color w:val="auto"/>
        </w:rPr>
        <w:t>Adjusted gross profit and margin of $751.2 million and 67.0%</w:t>
      </w:r>
    </w:p>
    <w:p>
      <w:pPr>
        <w:spacing w:after="0" w:line="116" w:lineRule="exact"/>
        <w:rPr>
          <w:rFonts w:ascii="Arial" w:cs="Arial" w:eastAsia="Arial" w:hAnsi="Arial"/>
          <w:sz w:val="11"/>
          <w:szCs w:val="11"/>
          <w:color w:val="auto"/>
        </w:rPr>
      </w:pPr>
    </w:p>
    <w:p>
      <w:pPr>
        <w:ind w:left="420" w:hanging="212"/>
        <w:spacing w:after="0"/>
        <w:tabs>
          <w:tab w:leader="none" w:pos="420" w:val="left"/>
        </w:tabs>
        <w:numPr>
          <w:ilvl w:val="0"/>
          <w:numId w:val="5"/>
        </w:numPr>
        <w:rPr>
          <w:rFonts w:ascii="Arial" w:cs="Arial" w:eastAsia="Arial" w:hAnsi="Arial"/>
          <w:sz w:val="11"/>
          <w:szCs w:val="11"/>
          <w:color w:val="auto"/>
        </w:rPr>
      </w:pPr>
      <w:r>
        <w:rPr>
          <w:rFonts w:ascii="Arial" w:cs="Arial" w:eastAsia="Arial" w:hAnsi="Arial"/>
          <w:sz w:val="11"/>
          <w:szCs w:val="11"/>
          <w:color w:val="auto"/>
        </w:rPr>
        <w:t>Operating income and margin of $221.5 million and 19.8%, compared to $309.6 million and 27.4% in the prior year period</w:t>
      </w:r>
    </w:p>
    <w:p>
      <w:pPr>
        <w:spacing w:after="0" w:line="107" w:lineRule="exact"/>
        <w:rPr>
          <w:rFonts w:ascii="Arial" w:cs="Arial" w:eastAsia="Arial" w:hAnsi="Arial"/>
          <w:sz w:val="11"/>
          <w:szCs w:val="11"/>
          <w:color w:val="auto"/>
        </w:rPr>
      </w:pPr>
    </w:p>
    <w:p>
      <w:pPr>
        <w:ind w:left="420" w:hanging="212"/>
        <w:spacing w:after="0"/>
        <w:tabs>
          <w:tab w:leader="none" w:pos="420" w:val="left"/>
        </w:tabs>
        <w:numPr>
          <w:ilvl w:val="0"/>
          <w:numId w:val="5"/>
        </w:numPr>
        <w:rPr>
          <w:rFonts w:ascii="Arial" w:cs="Arial" w:eastAsia="Arial" w:hAnsi="Arial"/>
          <w:sz w:val="11"/>
          <w:szCs w:val="11"/>
          <w:color w:val="auto"/>
        </w:rPr>
      </w:pPr>
      <w:r>
        <w:rPr>
          <w:rFonts w:ascii="Arial" w:cs="Arial" w:eastAsia="Arial" w:hAnsi="Arial"/>
          <w:sz w:val="11"/>
          <w:szCs w:val="11"/>
          <w:color w:val="auto"/>
        </w:rPr>
        <w:t>Adjusted operating income and margin of $331.5 million and 29.6%</w:t>
      </w:r>
    </w:p>
    <w:p>
      <w:pPr>
        <w:spacing w:after="0" w:line="116" w:lineRule="exact"/>
        <w:rPr>
          <w:rFonts w:ascii="Arial" w:cs="Arial" w:eastAsia="Arial" w:hAnsi="Arial"/>
          <w:sz w:val="11"/>
          <w:szCs w:val="11"/>
          <w:color w:val="auto"/>
        </w:rPr>
      </w:pPr>
    </w:p>
    <w:p>
      <w:pPr>
        <w:jc w:val="both"/>
        <w:ind w:left="420" w:hanging="212"/>
        <w:spacing w:after="0" w:line="265" w:lineRule="auto"/>
        <w:tabs>
          <w:tab w:leader="none" w:pos="415" w:val="left"/>
        </w:tabs>
        <w:numPr>
          <w:ilvl w:val="0"/>
          <w:numId w:val="5"/>
        </w:numPr>
        <w:rPr>
          <w:rFonts w:ascii="Arial" w:cs="Arial" w:eastAsia="Arial" w:hAnsi="Arial"/>
          <w:sz w:val="11"/>
          <w:szCs w:val="11"/>
          <w:color w:val="auto"/>
        </w:rPr>
      </w:pPr>
      <w:r>
        <w:rPr>
          <w:rFonts w:ascii="Arial" w:cs="Arial" w:eastAsia="Arial" w:hAnsi="Arial"/>
          <w:sz w:val="11"/>
          <w:szCs w:val="11"/>
          <w:color w:val="auto"/>
        </w:rPr>
        <w:t>Net income and earnings per diluted share of $70.4 million and $1.22, respectively. This compares to net income and earnings per diluted share of $223.6 million and $3.89, respectively, in the prior year period inclusive of an impairment charge of $58.9 million related to the abandonment of certain manufacturing production lines in the United States that are no longer expected to be completed, and a $5.5 million charge related to purchase commitments associated with the abandonment of the assets noted above.</w:t>
      </w:r>
    </w:p>
    <w:p>
      <w:pPr>
        <w:spacing w:after="0" w:line="85" w:lineRule="exact"/>
        <w:rPr>
          <w:rFonts w:ascii="Arial" w:cs="Arial" w:eastAsia="Arial" w:hAnsi="Arial"/>
          <w:sz w:val="11"/>
          <w:szCs w:val="11"/>
          <w:color w:val="auto"/>
        </w:rPr>
      </w:pPr>
    </w:p>
    <w:p>
      <w:pPr>
        <w:ind w:left="420" w:hanging="212"/>
        <w:spacing w:after="0"/>
        <w:tabs>
          <w:tab w:leader="none" w:pos="420" w:val="left"/>
        </w:tabs>
        <w:numPr>
          <w:ilvl w:val="0"/>
          <w:numId w:val="5"/>
        </w:numPr>
        <w:rPr>
          <w:rFonts w:ascii="Arial" w:cs="Arial" w:eastAsia="Arial" w:hAnsi="Arial"/>
          <w:sz w:val="11"/>
          <w:szCs w:val="11"/>
          <w:color w:val="auto"/>
        </w:rPr>
      </w:pPr>
      <w:r>
        <w:rPr>
          <w:rFonts w:ascii="Arial" w:cs="Arial" w:eastAsia="Arial" w:hAnsi="Arial"/>
          <w:sz w:val="11"/>
          <w:szCs w:val="11"/>
          <w:color w:val="auto"/>
        </w:rPr>
        <w:t>Adjusted net income and adjusted earnings per diluted share of $172.6 million and $2.99</w:t>
      </w:r>
    </w:p>
    <w:p>
      <w:pPr>
        <w:spacing w:after="0" w:line="107" w:lineRule="exact"/>
        <w:rPr>
          <w:rFonts w:ascii="Arial" w:cs="Arial" w:eastAsia="Arial" w:hAnsi="Arial"/>
          <w:sz w:val="11"/>
          <w:szCs w:val="11"/>
          <w:color w:val="auto"/>
        </w:rPr>
      </w:pPr>
    </w:p>
    <w:p>
      <w:pPr>
        <w:ind w:left="420" w:hanging="212"/>
        <w:spacing w:after="0"/>
        <w:tabs>
          <w:tab w:leader="none" w:pos="420" w:val="left"/>
        </w:tabs>
        <w:numPr>
          <w:ilvl w:val="0"/>
          <w:numId w:val="5"/>
        </w:numPr>
        <w:rPr>
          <w:rFonts w:ascii="Arial" w:cs="Arial" w:eastAsia="Arial" w:hAnsi="Arial"/>
          <w:sz w:val="11"/>
          <w:szCs w:val="11"/>
          <w:color w:val="auto"/>
        </w:rPr>
      </w:pPr>
      <w:r>
        <w:rPr>
          <w:rFonts w:ascii="Arial" w:cs="Arial" w:eastAsia="Arial" w:hAnsi="Arial"/>
          <w:sz w:val="11"/>
          <w:szCs w:val="11"/>
          <w:color w:val="auto"/>
        </w:rPr>
        <w:t>Adjusted EBITDA and margin of $378.7 million and 33.8%, compared to $459.9 million and 40.7% in the prior year period</w:t>
      </w:r>
    </w:p>
    <w:p>
      <w:pPr>
        <w:spacing w:after="0" w:line="111" w:lineRule="exact"/>
        <w:rPr>
          <w:sz w:val="20"/>
          <w:szCs w:val="20"/>
          <w:color w:val="auto"/>
        </w:rPr>
      </w:pPr>
    </w:p>
    <w:p>
      <w:pPr>
        <w:spacing w:after="0"/>
        <w:rPr>
          <w:sz w:val="20"/>
          <w:szCs w:val="20"/>
          <w:color w:val="auto"/>
        </w:rPr>
      </w:pPr>
      <w:r>
        <w:rPr>
          <w:rFonts w:ascii="Arial" w:cs="Arial" w:eastAsia="Arial" w:hAnsi="Arial"/>
          <w:sz w:val="11"/>
          <w:szCs w:val="11"/>
          <w:b w:val="1"/>
          <w:bCs w:val="1"/>
          <w:u w:val="single" w:color="auto"/>
          <w:color w:val="auto"/>
        </w:rPr>
        <w:t>Strategic Highlights</w:t>
      </w:r>
      <w:r>
        <w:rPr>
          <w:rFonts w:ascii="Arial" w:cs="Arial" w:eastAsia="Arial" w:hAnsi="Arial"/>
          <w:sz w:val="11"/>
          <w:szCs w:val="11"/>
          <w:b w:val="1"/>
          <w:bCs w:val="1"/>
          <w:color w:val="auto"/>
        </w:rPr>
        <w:t>:</w:t>
      </w:r>
    </w:p>
    <w:p>
      <w:pPr>
        <w:spacing w:after="0" w:line="119" w:lineRule="exact"/>
        <w:rPr>
          <w:sz w:val="20"/>
          <w:szCs w:val="20"/>
          <w:color w:val="auto"/>
        </w:rPr>
      </w:pPr>
    </w:p>
    <w:p>
      <w:pPr>
        <w:ind w:left="420" w:hanging="212"/>
        <w:spacing w:after="0"/>
        <w:tabs>
          <w:tab w:leader="none" w:pos="420" w:val="left"/>
        </w:tabs>
        <w:numPr>
          <w:ilvl w:val="0"/>
          <w:numId w:val="6"/>
        </w:numPr>
        <w:rPr>
          <w:rFonts w:ascii="Arial" w:cs="Arial" w:eastAsia="Arial" w:hAnsi="Arial"/>
          <w:sz w:val="11"/>
          <w:szCs w:val="11"/>
          <w:i w:val="1"/>
          <w:iCs w:val="1"/>
          <w:color w:val="auto"/>
        </w:rPr>
      </w:pPr>
      <w:r>
        <w:rPr>
          <w:rFonts w:ascii="Arial" w:cs="Arial" w:eastAsia="Arial" w:hAnsi="Arial"/>
          <w:sz w:val="11"/>
          <w:szCs w:val="11"/>
          <w:i w:val="1"/>
          <w:iCs w:val="1"/>
          <w:color w:val="auto"/>
        </w:rPr>
        <w:t>Strengthen the base business</w:t>
      </w:r>
    </w:p>
    <w:p>
      <w:pPr>
        <w:spacing w:after="0" w:line="111" w:lineRule="exact"/>
        <w:rPr>
          <w:rFonts w:ascii="Arial" w:cs="Arial" w:eastAsia="Arial" w:hAnsi="Arial"/>
          <w:sz w:val="11"/>
          <w:szCs w:val="11"/>
          <w:i w:val="1"/>
          <w:iCs w:val="1"/>
          <w:color w:val="auto"/>
        </w:rPr>
      </w:pPr>
    </w:p>
    <w:p>
      <w:pPr>
        <w:ind w:left="860" w:hanging="220"/>
        <w:spacing w:after="0" w:line="291" w:lineRule="auto"/>
        <w:tabs>
          <w:tab w:leader="none" w:pos="864" w:val="left"/>
        </w:tabs>
        <w:numPr>
          <w:ilvl w:val="1"/>
          <w:numId w:val="6"/>
        </w:numPr>
        <w:rPr>
          <w:rFonts w:ascii="Arial" w:cs="Arial" w:eastAsia="Arial" w:hAnsi="Arial"/>
          <w:sz w:val="11"/>
          <w:szCs w:val="11"/>
          <w:color w:val="auto"/>
        </w:rPr>
      </w:pPr>
      <w:r>
        <w:rPr>
          <w:rFonts w:ascii="Arial" w:cs="Arial" w:eastAsia="Arial" w:hAnsi="Arial"/>
          <w:sz w:val="11"/>
          <w:szCs w:val="11"/>
          <w:color w:val="auto"/>
        </w:rPr>
        <w:t>Continued to demonstrate our ability to serve the market with high-quality products while providing a seamless patient experience with the addition of embecta products as an exclusive or dual-preferred brand with three of the top Medicare part D payers effective January 2024</w:t>
      </w:r>
    </w:p>
    <w:p>
      <w:pPr>
        <w:spacing w:after="0" w:line="58" w:lineRule="exact"/>
        <w:rPr>
          <w:rFonts w:ascii="Arial" w:cs="Arial" w:eastAsia="Arial" w:hAnsi="Arial"/>
          <w:sz w:val="11"/>
          <w:szCs w:val="11"/>
          <w:color w:val="auto"/>
        </w:rPr>
      </w:pPr>
    </w:p>
    <w:p>
      <w:pPr>
        <w:ind w:left="420" w:hanging="212"/>
        <w:spacing w:after="0"/>
        <w:tabs>
          <w:tab w:leader="none" w:pos="420" w:val="left"/>
        </w:tabs>
        <w:numPr>
          <w:ilvl w:val="0"/>
          <w:numId w:val="6"/>
        </w:numPr>
        <w:rPr>
          <w:rFonts w:ascii="Arial" w:cs="Arial" w:eastAsia="Arial" w:hAnsi="Arial"/>
          <w:sz w:val="11"/>
          <w:szCs w:val="11"/>
          <w:i w:val="1"/>
          <w:iCs w:val="1"/>
          <w:color w:val="auto"/>
        </w:rPr>
      </w:pPr>
      <w:r>
        <w:rPr>
          <w:rFonts w:ascii="Arial" w:cs="Arial" w:eastAsia="Arial" w:hAnsi="Arial"/>
          <w:sz w:val="11"/>
          <w:szCs w:val="11"/>
          <w:i w:val="1"/>
          <w:iCs w:val="1"/>
          <w:color w:val="auto"/>
        </w:rPr>
        <w:t>Separate and stand-up</w:t>
      </w:r>
    </w:p>
    <w:p>
      <w:pPr>
        <w:spacing w:after="0" w:line="120" w:lineRule="exact"/>
        <w:rPr>
          <w:rFonts w:ascii="Arial" w:cs="Arial" w:eastAsia="Arial" w:hAnsi="Arial"/>
          <w:sz w:val="11"/>
          <w:szCs w:val="11"/>
          <w:i w:val="1"/>
          <w:iCs w:val="1"/>
          <w:color w:val="auto"/>
        </w:rPr>
      </w:pPr>
    </w:p>
    <w:p>
      <w:pPr>
        <w:ind w:left="860" w:hanging="220"/>
        <w:spacing w:after="0" w:line="274" w:lineRule="auto"/>
        <w:tabs>
          <w:tab w:leader="none" w:pos="855" w:val="left"/>
        </w:tabs>
        <w:numPr>
          <w:ilvl w:val="1"/>
          <w:numId w:val="6"/>
        </w:numPr>
        <w:rPr>
          <w:rFonts w:ascii="Arial" w:cs="Arial" w:eastAsia="Arial" w:hAnsi="Arial"/>
          <w:sz w:val="11"/>
          <w:szCs w:val="11"/>
          <w:color w:val="auto"/>
        </w:rPr>
      </w:pPr>
      <w:r>
        <w:rPr>
          <w:rFonts w:ascii="Arial" w:cs="Arial" w:eastAsia="Arial" w:hAnsi="Arial"/>
          <w:sz w:val="11"/>
          <w:szCs w:val="11"/>
          <w:color w:val="auto"/>
        </w:rPr>
        <w:t>Made substantial progress on the demerger process to transfer Suzhou, China manufacturing entity from BD to embecta, including completing enterprise resource planning ("ERP") system implementation in Suzhou, China</w:t>
      </w:r>
    </w:p>
    <w:p>
      <w:pPr>
        <w:spacing w:after="0" w:line="71" w:lineRule="exact"/>
        <w:rPr>
          <w:rFonts w:ascii="Arial" w:cs="Arial" w:eastAsia="Arial" w:hAnsi="Arial"/>
          <w:sz w:val="11"/>
          <w:szCs w:val="11"/>
          <w:color w:val="auto"/>
        </w:rPr>
      </w:pPr>
    </w:p>
    <w:p>
      <w:pPr>
        <w:ind w:left="860" w:hanging="220"/>
        <w:spacing w:after="0"/>
        <w:tabs>
          <w:tab w:leader="none" w:pos="860" w:val="left"/>
        </w:tabs>
        <w:numPr>
          <w:ilvl w:val="1"/>
          <w:numId w:val="6"/>
        </w:numPr>
        <w:rPr>
          <w:rFonts w:ascii="Arial" w:cs="Arial" w:eastAsia="Arial" w:hAnsi="Arial"/>
          <w:sz w:val="11"/>
          <w:szCs w:val="11"/>
          <w:color w:val="auto"/>
        </w:rPr>
      </w:pPr>
      <w:r>
        <w:rPr>
          <w:rFonts w:ascii="Arial" w:cs="Arial" w:eastAsia="Arial" w:hAnsi="Arial"/>
          <w:sz w:val="11"/>
          <w:szCs w:val="11"/>
          <w:color w:val="auto"/>
        </w:rPr>
        <w:t>Initiated next wave of ERP system implementation in U.S. and Canada</w:t>
      </w:r>
    </w:p>
    <w:p>
      <w:pPr>
        <w:spacing w:after="0" w:line="107" w:lineRule="exact"/>
        <w:rPr>
          <w:rFonts w:ascii="Arial" w:cs="Arial" w:eastAsia="Arial" w:hAnsi="Arial"/>
          <w:sz w:val="11"/>
          <w:szCs w:val="11"/>
          <w:color w:val="auto"/>
        </w:rPr>
      </w:pPr>
    </w:p>
    <w:p>
      <w:pPr>
        <w:ind w:left="860" w:hanging="220"/>
        <w:spacing w:after="0"/>
        <w:tabs>
          <w:tab w:leader="none" w:pos="860" w:val="left"/>
        </w:tabs>
        <w:numPr>
          <w:ilvl w:val="1"/>
          <w:numId w:val="6"/>
        </w:numPr>
        <w:rPr>
          <w:rFonts w:ascii="Arial" w:cs="Arial" w:eastAsia="Arial" w:hAnsi="Arial"/>
          <w:sz w:val="11"/>
          <w:szCs w:val="11"/>
          <w:color w:val="auto"/>
        </w:rPr>
      </w:pPr>
      <w:r>
        <w:rPr>
          <w:rFonts w:ascii="Arial" w:cs="Arial" w:eastAsia="Arial" w:hAnsi="Arial"/>
          <w:sz w:val="11"/>
          <w:szCs w:val="11"/>
          <w:color w:val="auto"/>
        </w:rPr>
        <w:t>Implemented global HR information system, customer relationship management system, and global IT network; continued to exit transition service agreements with BD</w:t>
      </w:r>
    </w:p>
    <w:p>
      <w:pPr>
        <w:spacing w:after="0" w:line="112" w:lineRule="exact"/>
        <w:rPr>
          <w:rFonts w:ascii="Arial" w:cs="Arial" w:eastAsia="Arial" w:hAnsi="Arial"/>
          <w:sz w:val="11"/>
          <w:szCs w:val="11"/>
          <w:color w:val="auto"/>
        </w:rPr>
      </w:pPr>
    </w:p>
    <w:p>
      <w:pPr>
        <w:ind w:left="420" w:hanging="212"/>
        <w:spacing w:after="0"/>
        <w:tabs>
          <w:tab w:leader="none" w:pos="420" w:val="left"/>
        </w:tabs>
        <w:numPr>
          <w:ilvl w:val="0"/>
          <w:numId w:val="6"/>
        </w:numPr>
        <w:rPr>
          <w:rFonts w:ascii="Arial" w:cs="Arial" w:eastAsia="Arial" w:hAnsi="Arial"/>
          <w:sz w:val="11"/>
          <w:szCs w:val="11"/>
          <w:i w:val="1"/>
          <w:iCs w:val="1"/>
          <w:color w:val="auto"/>
        </w:rPr>
      </w:pPr>
      <w:r>
        <w:rPr>
          <w:rFonts w:ascii="Arial" w:cs="Arial" w:eastAsia="Arial" w:hAnsi="Arial"/>
          <w:sz w:val="11"/>
          <w:szCs w:val="11"/>
          <w:i w:val="1"/>
          <w:iCs w:val="1"/>
          <w:color w:val="auto"/>
        </w:rPr>
        <w:t>Invest for growth</w:t>
      </w:r>
    </w:p>
    <w:p>
      <w:pPr>
        <w:spacing w:after="0" w:line="120" w:lineRule="exact"/>
        <w:rPr>
          <w:rFonts w:ascii="Arial" w:cs="Arial" w:eastAsia="Arial" w:hAnsi="Arial"/>
          <w:sz w:val="11"/>
          <w:szCs w:val="11"/>
          <w:i w:val="1"/>
          <w:iCs w:val="1"/>
          <w:color w:val="auto"/>
        </w:rPr>
      </w:pPr>
    </w:p>
    <w:p>
      <w:pPr>
        <w:ind w:left="860" w:right="20" w:hanging="220"/>
        <w:spacing w:after="0" w:line="252" w:lineRule="auto"/>
        <w:tabs>
          <w:tab w:leader="none" w:pos="857" w:val="left"/>
        </w:tabs>
        <w:numPr>
          <w:ilvl w:val="1"/>
          <w:numId w:val="6"/>
        </w:numPr>
        <w:rPr>
          <w:rFonts w:ascii="Arial" w:cs="Arial" w:eastAsia="Arial" w:hAnsi="Arial"/>
          <w:sz w:val="12"/>
          <w:szCs w:val="12"/>
          <w:color w:val="auto"/>
        </w:rPr>
      </w:pPr>
      <w:r>
        <w:rPr>
          <w:rFonts w:ascii="Arial" w:cs="Arial" w:eastAsia="Arial" w:hAnsi="Arial"/>
          <w:sz w:val="11"/>
          <w:szCs w:val="11"/>
          <w:color w:val="auto"/>
        </w:rPr>
        <w:t>Continued making progress on the development of a type 2 closed loop insulin delivery system utilizing embecta’s proprietary patch pump system, which carries Breakthrough Device Designation from the U.S. Food &amp; Drug Administration (FDA)</w:t>
      </w:r>
    </w:p>
    <w:p>
      <w:pPr>
        <w:spacing w:after="0" w:line="76" w:lineRule="exact"/>
        <w:rPr>
          <w:sz w:val="20"/>
          <w:szCs w:val="20"/>
          <w:color w:val="auto"/>
        </w:rPr>
      </w:pPr>
    </w:p>
    <w:p>
      <w:pPr>
        <w:spacing w:after="0"/>
        <w:rPr>
          <w:sz w:val="20"/>
          <w:szCs w:val="20"/>
          <w:color w:val="auto"/>
        </w:rPr>
      </w:pPr>
      <w:r>
        <w:rPr>
          <w:rFonts w:ascii="Arial" w:cs="Arial" w:eastAsia="Arial" w:hAnsi="Arial"/>
          <w:sz w:val="11"/>
          <w:szCs w:val="11"/>
          <w:b w:val="1"/>
          <w:bCs w:val="1"/>
          <w:u w:val="single" w:color="auto"/>
          <w:color w:val="auto"/>
        </w:rPr>
        <w:t>Fourth Quarter Fiscal Year 2023 Results:</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1"/>
          <w:szCs w:val="11"/>
          <w:color w:val="auto"/>
        </w:rPr>
        <w:t>Revenues by geographic region are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1840" w:type="dxa"/>
            <w:vAlign w:val="bottom"/>
            <w:vMerge w:val="restart"/>
          </w:tcPr>
          <w:p>
            <w:pPr>
              <w:spacing w:after="0"/>
              <w:rPr>
                <w:sz w:val="20"/>
                <w:szCs w:val="20"/>
                <w:color w:val="auto"/>
              </w:rPr>
            </w:pPr>
            <w:r>
              <w:rPr>
                <w:rFonts w:ascii="Arial" w:cs="Arial" w:eastAsia="Arial" w:hAnsi="Arial"/>
                <w:sz w:val="11"/>
                <w:szCs w:val="11"/>
                <w:b w:val="1"/>
                <w:bCs w:val="1"/>
                <w:i w:val="1"/>
                <w:iCs w:val="1"/>
                <w:color w:val="auto"/>
              </w:rPr>
              <w:t>Dollars in millions</w:t>
            </w:r>
          </w:p>
        </w:tc>
        <w:tc>
          <w:tcPr>
            <w:tcW w:w="1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60" w:type="dxa"/>
            <w:vAlign w:val="bottom"/>
            <w:tcBorders>
              <w:bottom w:val="single" w:sz="8" w:color="auto"/>
            </w:tcBorders>
            <w:gridSpan w:val="3"/>
          </w:tcPr>
          <w:p>
            <w:pPr>
              <w:ind w:left="20"/>
              <w:spacing w:after="0"/>
              <w:rPr>
                <w:sz w:val="20"/>
                <w:szCs w:val="20"/>
                <w:color w:val="auto"/>
              </w:rPr>
            </w:pPr>
            <w:r>
              <w:rPr>
                <w:rFonts w:ascii="Arial" w:cs="Arial" w:eastAsia="Arial" w:hAnsi="Arial"/>
                <w:sz w:val="11"/>
                <w:szCs w:val="11"/>
                <w:b w:val="1"/>
                <w:bCs w:val="1"/>
                <w:color w:val="auto"/>
              </w:rPr>
              <w:t>Three months ended September 30,</w:t>
            </w:r>
          </w:p>
        </w:tc>
        <w:tc>
          <w:tcPr>
            <w:tcW w:w="16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40" w:type="dxa"/>
            <w:vAlign w:val="bottom"/>
            <w:vMerge w:val="continue"/>
          </w:tcPr>
          <w:p>
            <w:pPr>
              <w:spacing w:after="0"/>
              <w:rPr>
                <w:sz w:val="12"/>
                <w:szCs w:val="12"/>
                <w:color w:val="auto"/>
              </w:rPr>
            </w:pPr>
          </w:p>
        </w:tc>
        <w:tc>
          <w:tcPr>
            <w:tcW w:w="1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2"/>
          </w:tcPr>
          <w:p>
            <w:pPr>
              <w:ind w:left="220"/>
              <w:spacing w:after="0"/>
              <w:rPr>
                <w:sz w:val="20"/>
                <w:szCs w:val="20"/>
                <w:color w:val="auto"/>
              </w:rPr>
            </w:pPr>
            <w:r>
              <w:rPr>
                <w:rFonts w:ascii="Arial" w:cs="Arial" w:eastAsia="Arial" w:hAnsi="Arial"/>
                <w:sz w:val="11"/>
                <w:szCs w:val="11"/>
                <w:b w:val="1"/>
                <w:bCs w:val="1"/>
                <w:color w:val="auto"/>
              </w:rPr>
              <w:t>Increase/(decrease)</w:t>
            </w:r>
          </w:p>
        </w:tc>
        <w:tc>
          <w:tcPr>
            <w:tcW w:w="19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8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0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97"/>
              </w:rPr>
              <w:t>As Reported</w:t>
            </w:r>
          </w:p>
        </w:tc>
        <w:tc>
          <w:tcPr>
            <w:tcW w:w="1900" w:type="dxa"/>
            <w:vAlign w:val="bottom"/>
          </w:tcPr>
          <w:p>
            <w:pPr>
              <w:jc w:val="center"/>
              <w:spacing w:after="0"/>
              <w:rPr>
                <w:sz w:val="20"/>
                <w:szCs w:val="20"/>
                <w:color w:val="auto"/>
              </w:rPr>
            </w:pPr>
            <w:r>
              <w:rPr>
                <w:rFonts w:ascii="Arial" w:cs="Arial" w:eastAsia="Arial" w:hAnsi="Arial"/>
                <w:sz w:val="11"/>
                <w:szCs w:val="11"/>
                <w:b w:val="1"/>
                <w:bCs w:val="1"/>
                <w:color w:val="auto"/>
                <w:w w:val="98"/>
              </w:rPr>
              <w:t>Constant Currency</w:t>
            </w:r>
          </w:p>
        </w:tc>
        <w:tc>
          <w:tcPr>
            <w:tcW w:w="0" w:type="dxa"/>
            <w:vAlign w:val="bottom"/>
          </w:tcPr>
          <w:p>
            <w:pPr>
              <w:spacing w:after="0"/>
              <w:rPr>
                <w:sz w:val="1"/>
                <w:szCs w:val="1"/>
                <w:color w:val="auto"/>
              </w:rPr>
            </w:pPr>
          </w:p>
        </w:tc>
      </w:tr>
      <w:tr>
        <w:trPr>
          <w:trHeight w:val="167"/>
        </w:trPr>
        <w:tc>
          <w:tcPr>
            <w:tcW w:w="184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auto"/>
              </w:rPr>
              <w:t>2023</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706"/>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806"/>
              <w:spacing w:after="0"/>
              <w:rPr>
                <w:sz w:val="20"/>
                <w:szCs w:val="20"/>
                <w:color w:val="auto"/>
              </w:rPr>
            </w:pPr>
            <w:r>
              <w:rPr>
                <w:rFonts w:ascii="Arial" w:cs="Arial" w:eastAsia="Arial" w:hAnsi="Arial"/>
                <w:sz w:val="11"/>
                <w:szCs w:val="11"/>
                <w:b w:val="1"/>
                <w:bCs w:val="1"/>
                <w:color w:val="auto"/>
              </w:rPr>
              <w:t>$</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846"/>
              <w:spacing w:after="0"/>
              <w:rPr>
                <w:sz w:val="20"/>
                <w:szCs w:val="20"/>
                <w:color w:val="auto"/>
              </w:rPr>
            </w:pPr>
            <w:r>
              <w:rPr>
                <w:rFonts w:ascii="Arial" w:cs="Arial" w:eastAsia="Arial" w:hAnsi="Arial"/>
                <w:sz w:val="11"/>
                <w:szCs w:val="11"/>
                <w:b w:val="1"/>
                <w:bCs w:val="1"/>
                <w:color w:val="auto"/>
              </w:rPr>
              <w:t>%</w:t>
            </w:r>
          </w:p>
        </w:tc>
        <w:tc>
          <w:tcPr>
            <w:tcW w:w="100" w:type="dxa"/>
            <w:vAlign w:val="bottom"/>
            <w:tcBorders>
              <w:bottom w:val="single" w:sz="8" w:color="CCEEFF"/>
            </w:tcBorders>
          </w:tcPr>
          <w:p>
            <w:pPr>
              <w:spacing w:after="0"/>
              <w:rPr>
                <w:sz w:val="14"/>
                <w:szCs w:val="14"/>
                <w:color w:val="auto"/>
              </w:rPr>
            </w:pPr>
          </w:p>
        </w:tc>
        <w:tc>
          <w:tcPr>
            <w:tcW w:w="1900" w:type="dxa"/>
            <w:vAlign w:val="bottom"/>
            <w:tcBorders>
              <w:bottom w:val="single" w:sz="8" w:color="auto"/>
            </w:tcBorders>
          </w:tcPr>
          <w:p>
            <w:pPr>
              <w:jc w:val="right"/>
              <w:ind w:right="846"/>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38"/>
        </w:trPr>
        <w:tc>
          <w:tcPr>
            <w:tcW w:w="1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United States</w:t>
            </w:r>
          </w:p>
        </w:tc>
        <w:tc>
          <w:tcPr>
            <w:tcW w:w="1220" w:type="dxa"/>
            <w:vAlign w:val="bottom"/>
            <w:tcBorders>
              <w:bottom w:val="single" w:sz="8" w:color="CCEEFF"/>
            </w:tcBorders>
            <w:shd w:val="clear" w:color="auto" w:fill="CCEEFF"/>
          </w:tcPr>
          <w:p>
            <w:pPr>
              <w:jc w:val="right"/>
              <w:ind w:right="1086"/>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151.8</w:t>
            </w:r>
          </w:p>
        </w:tc>
        <w:tc>
          <w:tcPr>
            <w:tcW w:w="1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jc w:val="right"/>
              <w:ind w:right="286"/>
              <w:spacing w:after="0"/>
              <w:rPr>
                <w:sz w:val="20"/>
                <w:szCs w:val="20"/>
                <w:color w:val="auto"/>
              </w:rPr>
            </w:pPr>
            <w:r>
              <w:rPr>
                <w:rFonts w:ascii="Arial" w:cs="Arial" w:eastAsia="Arial" w:hAnsi="Arial"/>
                <w:sz w:val="11"/>
                <w:szCs w:val="11"/>
                <w:color w:val="auto"/>
                <w:w w:val="97"/>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149.9</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1.9</w:t>
            </w:r>
          </w:p>
        </w:tc>
        <w:tc>
          <w:tcPr>
            <w:tcW w:w="8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1600" w:type="dxa"/>
            <w:vAlign w:val="bottom"/>
            <w:tcBorders>
              <w:bottom w:val="single" w:sz="8" w:color="CCEEFF"/>
            </w:tcBorders>
            <w:shd w:val="clear" w:color="auto" w:fill="CCEEFF"/>
          </w:tcPr>
          <w:p>
            <w:pPr>
              <w:ind w:left="1320"/>
              <w:spacing w:after="0"/>
              <w:rPr>
                <w:sz w:val="20"/>
                <w:szCs w:val="20"/>
                <w:color w:val="auto"/>
              </w:rPr>
            </w:pPr>
            <w:r>
              <w:rPr>
                <w:rFonts w:ascii="Arial" w:cs="Arial" w:eastAsia="Arial" w:hAnsi="Arial"/>
                <w:sz w:val="11"/>
                <w:szCs w:val="11"/>
                <w:color w:val="auto"/>
                <w:w w:val="92"/>
              </w:rPr>
              <w:t>1.3 %</w:t>
            </w:r>
          </w:p>
        </w:tc>
        <w:tc>
          <w:tcPr>
            <w:tcW w:w="100" w:type="dxa"/>
            <w:vAlign w:val="bottom"/>
            <w:tcBorders>
              <w:bottom w:val="single" w:sz="8" w:color="CCEEFF"/>
            </w:tcBorders>
            <w:shd w:val="clear" w:color="auto" w:fill="CCEEFF"/>
          </w:tcPr>
          <w:p>
            <w:pPr>
              <w:spacing w:after="0"/>
              <w:rPr>
                <w:sz w:val="12"/>
                <w:szCs w:val="12"/>
                <w:color w:val="auto"/>
              </w:rPr>
            </w:pPr>
          </w:p>
        </w:tc>
        <w:tc>
          <w:tcPr>
            <w:tcW w:w="1900" w:type="dxa"/>
            <w:vAlign w:val="bottom"/>
            <w:tcBorders>
              <w:bottom w:val="single" w:sz="8" w:color="CCEEFF"/>
            </w:tcBorders>
            <w:shd w:val="clear" w:color="auto" w:fill="CCEEFF"/>
          </w:tcPr>
          <w:p>
            <w:pPr>
              <w:ind w:left="1600"/>
              <w:spacing w:after="0"/>
              <w:rPr>
                <w:sz w:val="20"/>
                <w:szCs w:val="20"/>
                <w:color w:val="auto"/>
              </w:rPr>
            </w:pPr>
            <w:r>
              <w:rPr>
                <w:rFonts w:ascii="Arial" w:cs="Arial" w:eastAsia="Arial" w:hAnsi="Arial"/>
                <w:sz w:val="11"/>
                <w:szCs w:val="11"/>
                <w:color w:val="auto"/>
                <w:w w:val="99"/>
              </w:rPr>
              <w:t>1.3 %</w:t>
            </w:r>
          </w:p>
        </w:tc>
        <w:tc>
          <w:tcPr>
            <w:tcW w:w="0" w:type="dxa"/>
            <w:vAlign w:val="bottom"/>
          </w:tcPr>
          <w:p>
            <w:pPr>
              <w:spacing w:after="0"/>
              <w:rPr>
                <w:sz w:val="1"/>
                <w:szCs w:val="1"/>
                <w:color w:val="auto"/>
              </w:rPr>
            </w:pPr>
          </w:p>
        </w:tc>
      </w:tr>
      <w:tr>
        <w:trPr>
          <w:trHeight w:val="140"/>
        </w:trPr>
        <w:tc>
          <w:tcPr>
            <w:tcW w:w="1840" w:type="dxa"/>
            <w:vAlign w:val="bottom"/>
          </w:tcPr>
          <w:p>
            <w:pPr>
              <w:spacing w:after="0"/>
              <w:rPr>
                <w:sz w:val="20"/>
                <w:szCs w:val="20"/>
                <w:color w:val="auto"/>
              </w:rPr>
            </w:pPr>
            <w:r>
              <w:rPr>
                <w:rFonts w:ascii="Arial" w:cs="Arial" w:eastAsia="Arial" w:hAnsi="Arial"/>
                <w:sz w:val="11"/>
                <w:szCs w:val="11"/>
                <w:color w:val="auto"/>
              </w:rPr>
              <w:t>International</w:t>
            </w:r>
          </w:p>
        </w:tc>
        <w:tc>
          <w:tcPr>
            <w:tcW w:w="12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130.1</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1"/>
                <w:szCs w:val="11"/>
                <w:color w:val="auto"/>
              </w:rPr>
              <w:t>124.7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Arial" w:cs="Arial" w:eastAsia="Arial" w:hAnsi="Arial"/>
                <w:sz w:val="11"/>
                <w:szCs w:val="11"/>
                <w:color w:val="auto"/>
              </w:rPr>
              <w:t>5.4</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0" w:type="dxa"/>
            <w:vAlign w:val="bottom"/>
          </w:tcPr>
          <w:p>
            <w:pPr>
              <w:ind w:left="1320"/>
              <w:spacing w:after="0"/>
              <w:rPr>
                <w:sz w:val="20"/>
                <w:szCs w:val="20"/>
                <w:color w:val="auto"/>
              </w:rPr>
            </w:pPr>
            <w:r>
              <w:rPr>
                <w:rFonts w:ascii="Arial" w:cs="Arial" w:eastAsia="Arial" w:hAnsi="Arial"/>
                <w:sz w:val="11"/>
                <w:szCs w:val="11"/>
                <w:color w:val="auto"/>
              </w:rPr>
              <w:t>4.3</w:t>
            </w:r>
          </w:p>
        </w:tc>
        <w:tc>
          <w:tcPr>
            <w:tcW w:w="100" w:type="dxa"/>
            <w:vAlign w:val="bottom"/>
          </w:tcPr>
          <w:p>
            <w:pPr>
              <w:spacing w:after="0"/>
              <w:rPr>
                <w:sz w:val="12"/>
                <w:szCs w:val="12"/>
                <w:color w:val="auto"/>
              </w:rPr>
            </w:pPr>
          </w:p>
        </w:tc>
        <w:tc>
          <w:tcPr>
            <w:tcW w:w="1900" w:type="dxa"/>
            <w:vAlign w:val="bottom"/>
          </w:tcPr>
          <w:p>
            <w:pPr>
              <w:ind w:left="1600"/>
              <w:spacing w:after="0"/>
              <w:rPr>
                <w:sz w:val="20"/>
                <w:szCs w:val="20"/>
                <w:color w:val="auto"/>
              </w:rPr>
            </w:pPr>
            <w:r>
              <w:rPr>
                <w:rFonts w:ascii="Arial" w:cs="Arial" w:eastAsia="Arial" w:hAnsi="Arial"/>
                <w:sz w:val="11"/>
                <w:szCs w:val="11"/>
                <w:color w:val="auto"/>
              </w:rPr>
              <w:t>3.0</w:t>
            </w:r>
          </w:p>
        </w:tc>
        <w:tc>
          <w:tcPr>
            <w:tcW w:w="0" w:type="dxa"/>
            <w:vAlign w:val="bottom"/>
          </w:tcPr>
          <w:p>
            <w:pPr>
              <w:spacing w:after="0"/>
              <w:rPr>
                <w:sz w:val="1"/>
                <w:szCs w:val="1"/>
                <w:color w:val="auto"/>
              </w:rPr>
            </w:pPr>
          </w:p>
        </w:tc>
      </w:tr>
      <w:tr>
        <w:trPr>
          <w:trHeight w:val="22"/>
        </w:trPr>
        <w:tc>
          <w:tcPr>
            <w:tcW w:w="184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1"/>
        </w:trPr>
        <w:tc>
          <w:tcPr>
            <w:tcW w:w="1840" w:type="dxa"/>
            <w:vAlign w:val="bottom"/>
            <w:tcBorders>
              <w:bottom w:val="single" w:sz="8" w:color="CCEEFF"/>
            </w:tcBorders>
            <w:shd w:val="clear" w:color="auto" w:fill="CCEEFF"/>
          </w:tcPr>
          <w:p>
            <w:pPr>
              <w:spacing w:after="0" w:line="120" w:lineRule="exact"/>
              <w:rPr>
                <w:sz w:val="20"/>
                <w:szCs w:val="20"/>
                <w:color w:val="auto"/>
              </w:rPr>
            </w:pPr>
            <w:r>
              <w:rPr>
                <w:rFonts w:ascii="Arial" w:cs="Arial" w:eastAsia="Arial" w:hAnsi="Arial"/>
                <w:sz w:val="11"/>
                <w:szCs w:val="11"/>
                <w:color w:val="auto"/>
              </w:rPr>
              <w:t>Total</w:t>
            </w:r>
          </w:p>
        </w:tc>
        <w:tc>
          <w:tcPr>
            <w:tcW w:w="1220" w:type="dxa"/>
            <w:vAlign w:val="bottom"/>
            <w:tcBorders>
              <w:bottom w:val="single" w:sz="8" w:color="CCEEFF"/>
            </w:tcBorders>
            <w:shd w:val="clear" w:color="auto" w:fill="CCEEFF"/>
          </w:tcPr>
          <w:p>
            <w:pPr>
              <w:jc w:val="right"/>
              <w:ind w:right="1086"/>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281.9</w:t>
            </w:r>
          </w:p>
        </w:tc>
        <w:tc>
          <w:tcPr>
            <w:tcW w:w="10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jc w:val="right"/>
              <w:ind w:right="286"/>
              <w:spacing w:after="0"/>
              <w:rPr>
                <w:sz w:val="20"/>
                <w:szCs w:val="20"/>
                <w:color w:val="auto"/>
              </w:rPr>
            </w:pPr>
            <w:r>
              <w:rPr>
                <w:rFonts w:ascii="Arial" w:cs="Arial" w:eastAsia="Arial" w:hAnsi="Arial"/>
                <w:sz w:val="11"/>
                <w:szCs w:val="11"/>
                <w:color w:val="auto"/>
                <w:w w:val="97"/>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274.6</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7.3</w:t>
            </w:r>
          </w:p>
        </w:tc>
        <w:tc>
          <w:tcPr>
            <w:tcW w:w="8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CCEEFF"/>
            </w:tcBorders>
            <w:shd w:val="clear" w:color="auto" w:fill="CCEEFF"/>
          </w:tcPr>
          <w:p>
            <w:pPr>
              <w:spacing w:after="0"/>
              <w:rPr>
                <w:sz w:val="11"/>
                <w:szCs w:val="11"/>
                <w:color w:val="auto"/>
              </w:rPr>
            </w:pPr>
          </w:p>
        </w:tc>
        <w:tc>
          <w:tcPr>
            <w:tcW w:w="1600" w:type="dxa"/>
            <w:vAlign w:val="bottom"/>
            <w:tcBorders>
              <w:bottom w:val="single" w:sz="8" w:color="CCEEFF"/>
            </w:tcBorders>
            <w:shd w:val="clear" w:color="auto" w:fill="CCEEFF"/>
          </w:tcPr>
          <w:p>
            <w:pPr>
              <w:ind w:left="1320"/>
              <w:spacing w:after="0"/>
              <w:rPr>
                <w:sz w:val="20"/>
                <w:szCs w:val="20"/>
                <w:color w:val="auto"/>
              </w:rPr>
            </w:pPr>
            <w:r>
              <w:rPr>
                <w:rFonts w:ascii="Arial" w:cs="Arial" w:eastAsia="Arial" w:hAnsi="Arial"/>
                <w:sz w:val="11"/>
                <w:szCs w:val="11"/>
                <w:color w:val="auto"/>
                <w:w w:val="92"/>
              </w:rPr>
              <w:t>2.7 %</w:t>
            </w:r>
          </w:p>
        </w:tc>
        <w:tc>
          <w:tcPr>
            <w:tcW w:w="100" w:type="dxa"/>
            <w:vAlign w:val="bottom"/>
            <w:tcBorders>
              <w:bottom w:val="single" w:sz="8" w:color="CCEEFF"/>
            </w:tcBorders>
            <w:shd w:val="clear" w:color="auto" w:fill="CCEEFF"/>
          </w:tcPr>
          <w:p>
            <w:pPr>
              <w:spacing w:after="0"/>
              <w:rPr>
                <w:sz w:val="11"/>
                <w:szCs w:val="11"/>
                <w:color w:val="auto"/>
              </w:rPr>
            </w:pPr>
          </w:p>
        </w:tc>
        <w:tc>
          <w:tcPr>
            <w:tcW w:w="1900" w:type="dxa"/>
            <w:vAlign w:val="bottom"/>
            <w:tcBorders>
              <w:bottom w:val="single" w:sz="8" w:color="CCEEFF"/>
            </w:tcBorders>
            <w:shd w:val="clear" w:color="auto" w:fill="CCEEFF"/>
          </w:tcPr>
          <w:p>
            <w:pPr>
              <w:ind w:left="1600"/>
              <w:spacing w:after="0"/>
              <w:rPr>
                <w:sz w:val="20"/>
                <w:szCs w:val="20"/>
                <w:color w:val="auto"/>
              </w:rPr>
            </w:pPr>
            <w:r>
              <w:rPr>
                <w:rFonts w:ascii="Arial" w:cs="Arial" w:eastAsia="Arial" w:hAnsi="Arial"/>
                <w:sz w:val="11"/>
                <w:szCs w:val="11"/>
                <w:color w:val="auto"/>
                <w:w w:val="99"/>
              </w:rPr>
              <w:t>2.1 %</w:t>
            </w:r>
          </w:p>
        </w:tc>
        <w:tc>
          <w:tcPr>
            <w:tcW w:w="0" w:type="dxa"/>
            <w:vAlign w:val="bottom"/>
          </w:tcPr>
          <w:p>
            <w:pPr>
              <w:spacing w:after="0"/>
              <w:rPr>
                <w:sz w:val="1"/>
                <w:szCs w:val="1"/>
                <w:color w:val="auto"/>
              </w:rPr>
            </w:pPr>
          </w:p>
        </w:tc>
      </w:tr>
      <w:tr>
        <w:trPr>
          <w:trHeight w:val="36"/>
        </w:trPr>
        <w:tc>
          <w:tcPr>
            <w:tcW w:w="1840" w:type="dxa"/>
            <w:vAlign w:val="bottom"/>
            <w:shd w:val="clear" w:color="auto" w:fill="CCEEFF"/>
          </w:tcPr>
          <w:p>
            <w:pPr>
              <w:spacing w:after="0"/>
              <w:rPr>
                <w:sz w:val="3"/>
                <w:szCs w:val="3"/>
                <w:color w:val="auto"/>
              </w:rPr>
            </w:pPr>
          </w:p>
        </w:tc>
        <w:tc>
          <w:tcPr>
            <w:tcW w:w="1220" w:type="dxa"/>
            <w:vAlign w:val="bottom"/>
            <w:shd w:val="clear" w:color="auto" w:fill="000000"/>
          </w:tcPr>
          <w:p>
            <w:pPr>
              <w:spacing w:after="0"/>
              <w:rPr>
                <w:sz w:val="3"/>
                <w:szCs w:val="3"/>
                <w:color w:val="auto"/>
              </w:rPr>
            </w:pPr>
          </w:p>
        </w:tc>
        <w:tc>
          <w:tcPr>
            <w:tcW w:w="540" w:type="dxa"/>
            <w:vAlign w:val="bottom"/>
            <w:shd w:val="clear" w:color="auto" w:fill="000000"/>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20" w:type="dxa"/>
            <w:vAlign w:val="bottom"/>
            <w:shd w:val="clear" w:color="auto" w:fill="000000"/>
          </w:tcPr>
          <w:p>
            <w:pPr>
              <w:spacing w:after="0"/>
              <w:rPr>
                <w:sz w:val="3"/>
                <w:szCs w:val="3"/>
                <w:color w:val="auto"/>
              </w:rPr>
            </w:pPr>
          </w:p>
        </w:tc>
        <w:tc>
          <w:tcPr>
            <w:tcW w:w="1340" w:type="dxa"/>
            <w:vAlign w:val="bottom"/>
            <w:shd w:val="clear" w:color="auto" w:fill="000000"/>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680" w:type="dxa"/>
            <w:vAlign w:val="bottom"/>
            <w:shd w:val="clear" w:color="auto" w:fill="000000"/>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00" w:type="dxa"/>
            <w:vAlign w:val="bottom"/>
            <w:shd w:val="clear" w:color="auto" w:fill="000000"/>
          </w:tcPr>
          <w:p>
            <w:pPr>
              <w:spacing w:after="0"/>
              <w:rPr>
                <w:sz w:val="3"/>
                <w:szCs w:val="3"/>
                <w:color w:val="auto"/>
              </w:rPr>
            </w:pPr>
          </w:p>
        </w:tc>
        <w:tc>
          <w:tcPr>
            <w:tcW w:w="1600" w:type="dxa"/>
            <w:vAlign w:val="bottom"/>
            <w:shd w:val="clear" w:color="auto" w:fill="000000"/>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900" w:type="dxa"/>
            <w:vAlign w:val="bottom"/>
            <w:shd w:val="clear" w:color="auto" w:fill="000000"/>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spacing w:after="0" w:line="252" w:lineRule="auto"/>
        <w:rPr>
          <w:sz w:val="20"/>
          <w:szCs w:val="20"/>
          <w:color w:val="auto"/>
        </w:rPr>
      </w:pPr>
      <w:r>
        <w:rPr>
          <w:rFonts w:ascii="Arial" w:cs="Arial" w:eastAsia="Arial" w:hAnsi="Arial"/>
          <w:sz w:val="11"/>
          <w:szCs w:val="11"/>
          <w:color w:val="auto"/>
        </w:rPr>
        <w:t>Our revenues increased by $7.3 million, or 2.7%, to $281.9 million for the fourth quarter of 2023 as compared to revenues of $274.6 million for the fourth quarter of 2022. Changes in our revenues are driven by the volume of goods that we sell, the prices we negotiate with customers and changes in foreign exchange rates. The increase in revenues was driven by $1.6 million associated with the positive impact of foreign currency translation primarily due to the weakening of the U.S. dollar, $13.0 million of favorable changes in price and volume. This was partially offset by a $7.3 million decrease in contract manufacturing related to sales of non-diabetes products within the U.S. to BD.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2</w:t>
      </w:r>
    </w:p>
    <w:p>
      <w:pPr>
        <w:sectPr>
          <w:pgSz w:w="11900" w:h="16838" w:orient="portrait"/>
          <w:cols w:equalWidth="0" w:num="1">
            <w:col w:w="11300"/>
          </w:cols>
          <w:pgMar w:left="300" w:top="766" w:right="299" w:bottom="1440" w:gutter="0" w:footer="0" w:header="0"/>
        </w:sectPr>
      </w:pPr>
    </w:p>
    <w:bookmarkStart w:id="4" w:name="page5"/>
    <w:bookmarkEnd w:id="4"/>
    <w:p>
      <w:pPr>
        <w:spacing w:after="0"/>
        <w:rPr>
          <w:sz w:val="20"/>
          <w:szCs w:val="20"/>
          <w:color w:val="auto"/>
        </w:rPr>
      </w:pPr>
      <w:r>
        <w:rPr>
          <w:rFonts w:ascii="Arial" w:cs="Arial" w:eastAsia="Arial" w:hAnsi="Arial"/>
          <w:sz w:val="11"/>
          <w:szCs w:val="11"/>
          <w:b w:val="1"/>
          <w:bCs w:val="1"/>
          <w:u w:val="single" w:color="auto"/>
          <w:color w:val="auto"/>
        </w:rPr>
        <w:t>Twelve Months Fiscal Year 2023 Results:</w:t>
      </w:r>
    </w:p>
    <w:p>
      <w:pPr>
        <w:spacing w:after="0" w:line="123" w:lineRule="exact"/>
        <w:rPr>
          <w:sz w:val="20"/>
          <w:szCs w:val="20"/>
          <w:color w:val="auto"/>
        </w:rPr>
      </w:pPr>
    </w:p>
    <w:p>
      <w:pPr>
        <w:ind w:left="60"/>
        <w:spacing w:after="0"/>
        <w:rPr>
          <w:sz w:val="20"/>
          <w:szCs w:val="20"/>
          <w:color w:val="auto"/>
        </w:rPr>
      </w:pPr>
      <w:r>
        <w:rPr>
          <w:rFonts w:ascii="Arial" w:cs="Arial" w:eastAsia="Arial" w:hAnsi="Arial"/>
          <w:sz w:val="11"/>
          <w:szCs w:val="11"/>
          <w:color w:val="auto"/>
        </w:rPr>
        <w:t>Revenues by geographic region are as follows:</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146"/>
        </w:trPr>
        <w:tc>
          <w:tcPr>
            <w:tcW w:w="1960" w:type="dxa"/>
            <w:vAlign w:val="bottom"/>
            <w:vMerge w:val="restart"/>
          </w:tcPr>
          <w:p>
            <w:pPr>
              <w:ind w:left="20"/>
              <w:spacing w:after="0"/>
              <w:rPr>
                <w:sz w:val="20"/>
                <w:szCs w:val="20"/>
                <w:color w:val="auto"/>
              </w:rPr>
            </w:pPr>
            <w:r>
              <w:rPr>
                <w:rFonts w:ascii="Arial" w:cs="Arial" w:eastAsia="Arial" w:hAnsi="Arial"/>
                <w:sz w:val="11"/>
                <w:szCs w:val="11"/>
                <w:b w:val="1"/>
                <w:bCs w:val="1"/>
                <w:i w:val="1"/>
                <w:iCs w:val="1"/>
                <w:color w:val="auto"/>
              </w:rPr>
              <w:t>Dollars in millions</w:t>
            </w:r>
          </w:p>
        </w:tc>
        <w:tc>
          <w:tcPr>
            <w:tcW w:w="1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120" w:type="dxa"/>
            <w:vAlign w:val="bottom"/>
            <w:tcBorders>
              <w:bottom w:val="single" w:sz="8" w:color="auto"/>
            </w:tcBorders>
            <w:gridSpan w:val="4"/>
          </w:tcPr>
          <w:p>
            <w:pPr>
              <w:ind w:left="40"/>
              <w:spacing w:after="0"/>
              <w:rPr>
                <w:sz w:val="20"/>
                <w:szCs w:val="20"/>
                <w:color w:val="auto"/>
              </w:rPr>
            </w:pPr>
            <w:r>
              <w:rPr>
                <w:rFonts w:ascii="Arial" w:cs="Arial" w:eastAsia="Arial" w:hAnsi="Arial"/>
                <w:sz w:val="11"/>
                <w:szCs w:val="11"/>
                <w:b w:val="1"/>
                <w:bCs w:val="1"/>
                <w:color w:val="auto"/>
              </w:rPr>
              <w:t>Twelve months ended September 30,</w:t>
            </w:r>
          </w:p>
        </w:tc>
        <w:tc>
          <w:tcPr>
            <w:tcW w:w="15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960" w:type="dxa"/>
            <w:vAlign w:val="bottom"/>
            <w:vMerge w:val="continue"/>
          </w:tcPr>
          <w:p>
            <w:pPr>
              <w:spacing w:after="0"/>
              <w:rPr>
                <w:sz w:val="12"/>
                <w:szCs w:val="12"/>
                <w:color w:val="auto"/>
              </w:rPr>
            </w:pPr>
          </w:p>
        </w:tc>
        <w:tc>
          <w:tcPr>
            <w:tcW w:w="1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2"/>
          </w:tcPr>
          <w:p>
            <w:pPr>
              <w:ind w:left="180"/>
              <w:spacing w:after="0"/>
              <w:rPr>
                <w:sz w:val="20"/>
                <w:szCs w:val="20"/>
                <w:color w:val="auto"/>
              </w:rPr>
            </w:pPr>
            <w:r>
              <w:rPr>
                <w:rFonts w:ascii="Arial" w:cs="Arial" w:eastAsia="Arial" w:hAnsi="Arial"/>
                <w:sz w:val="11"/>
                <w:szCs w:val="11"/>
                <w:b w:val="1"/>
                <w:bCs w:val="1"/>
                <w:color w:val="auto"/>
              </w:rPr>
              <w:t>Increase/(decrease)</w:t>
            </w:r>
          </w:p>
        </w:tc>
        <w:tc>
          <w:tcPr>
            <w:tcW w:w="19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9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0" w:type="dxa"/>
            <w:vAlign w:val="bottom"/>
            <w:gridSpan w:val="2"/>
          </w:tcPr>
          <w:p>
            <w:pPr>
              <w:ind w:left="260"/>
              <w:spacing w:after="0"/>
              <w:rPr>
                <w:sz w:val="20"/>
                <w:szCs w:val="20"/>
                <w:color w:val="auto"/>
              </w:rPr>
            </w:pPr>
            <w:r>
              <w:rPr>
                <w:rFonts w:ascii="Arial" w:cs="Arial" w:eastAsia="Arial" w:hAnsi="Arial"/>
                <w:sz w:val="11"/>
                <w:szCs w:val="11"/>
                <w:b w:val="1"/>
                <w:bCs w:val="1"/>
                <w:color w:val="auto"/>
              </w:rPr>
              <w:t>As Reported</w:t>
            </w:r>
          </w:p>
        </w:tc>
        <w:tc>
          <w:tcPr>
            <w:tcW w:w="1900" w:type="dxa"/>
            <w:vAlign w:val="bottom"/>
          </w:tcPr>
          <w:p>
            <w:pPr>
              <w:jc w:val="center"/>
              <w:spacing w:after="0"/>
              <w:rPr>
                <w:sz w:val="20"/>
                <w:szCs w:val="20"/>
                <w:color w:val="auto"/>
              </w:rPr>
            </w:pPr>
            <w:r>
              <w:rPr>
                <w:rFonts w:ascii="Arial" w:cs="Arial" w:eastAsia="Arial" w:hAnsi="Arial"/>
                <w:sz w:val="11"/>
                <w:szCs w:val="11"/>
                <w:b w:val="1"/>
                <w:bCs w:val="1"/>
                <w:color w:val="auto"/>
                <w:w w:val="98"/>
              </w:rPr>
              <w:t>Constant Currency</w:t>
            </w:r>
          </w:p>
        </w:tc>
        <w:tc>
          <w:tcPr>
            <w:tcW w:w="0" w:type="dxa"/>
            <w:vAlign w:val="bottom"/>
          </w:tcPr>
          <w:p>
            <w:pPr>
              <w:spacing w:after="0"/>
              <w:rPr>
                <w:sz w:val="1"/>
                <w:szCs w:val="1"/>
                <w:color w:val="auto"/>
              </w:rPr>
            </w:pPr>
          </w:p>
        </w:tc>
      </w:tr>
      <w:tr>
        <w:trPr>
          <w:trHeight w:val="167"/>
        </w:trPr>
        <w:tc>
          <w:tcPr>
            <w:tcW w:w="196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2023</w:t>
            </w: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2022</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746"/>
              <w:spacing w:after="0"/>
              <w:rPr>
                <w:sz w:val="20"/>
                <w:szCs w:val="20"/>
                <w:color w:val="auto"/>
              </w:rPr>
            </w:pPr>
            <w:r>
              <w:rPr>
                <w:rFonts w:ascii="Arial" w:cs="Arial" w:eastAsia="Arial" w:hAnsi="Arial"/>
                <w:sz w:val="11"/>
                <w:szCs w:val="11"/>
                <w:b w:val="1"/>
                <w:bCs w:val="1"/>
                <w:color w:val="auto"/>
              </w:rPr>
              <w:t>$</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846"/>
              <w:spacing w:after="0"/>
              <w:rPr>
                <w:sz w:val="20"/>
                <w:szCs w:val="20"/>
                <w:color w:val="auto"/>
              </w:rPr>
            </w:pPr>
            <w:r>
              <w:rPr>
                <w:rFonts w:ascii="Arial" w:cs="Arial" w:eastAsia="Arial" w:hAnsi="Arial"/>
                <w:sz w:val="11"/>
                <w:szCs w:val="11"/>
                <w:b w:val="1"/>
                <w:bCs w:val="1"/>
                <w:color w:val="auto"/>
              </w:rPr>
              <w:t>%</w:t>
            </w:r>
          </w:p>
        </w:tc>
        <w:tc>
          <w:tcPr>
            <w:tcW w:w="80" w:type="dxa"/>
            <w:vAlign w:val="bottom"/>
            <w:tcBorders>
              <w:bottom w:val="single" w:sz="8" w:color="CCEEFF"/>
            </w:tcBorders>
          </w:tcPr>
          <w:p>
            <w:pPr>
              <w:spacing w:after="0"/>
              <w:rPr>
                <w:sz w:val="14"/>
                <w:szCs w:val="14"/>
                <w:color w:val="auto"/>
              </w:rPr>
            </w:pPr>
          </w:p>
        </w:tc>
        <w:tc>
          <w:tcPr>
            <w:tcW w:w="1900" w:type="dxa"/>
            <w:vAlign w:val="bottom"/>
            <w:tcBorders>
              <w:bottom w:val="single" w:sz="8" w:color="auto"/>
            </w:tcBorders>
          </w:tcPr>
          <w:p>
            <w:pPr>
              <w:jc w:val="right"/>
              <w:ind w:right="846"/>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38"/>
        </w:trPr>
        <w:tc>
          <w:tcPr>
            <w:tcW w:w="1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United States</w:t>
            </w:r>
          </w:p>
        </w:tc>
        <w:tc>
          <w:tcPr>
            <w:tcW w:w="1160" w:type="dxa"/>
            <w:vAlign w:val="bottom"/>
            <w:tcBorders>
              <w:bottom w:val="single" w:sz="8" w:color="CCEEFF"/>
            </w:tcBorders>
            <w:shd w:val="clear" w:color="auto" w:fill="CCEEFF"/>
          </w:tcPr>
          <w:p>
            <w:pPr>
              <w:jc w:val="right"/>
              <w:ind w:right="1026"/>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601.4</w:t>
            </w:r>
          </w:p>
        </w:tc>
        <w:tc>
          <w:tcPr>
            <w:tcW w:w="80" w:type="dxa"/>
            <w:vAlign w:val="bottom"/>
            <w:tcBorders>
              <w:bottom w:val="single" w:sz="8" w:color="CCEEFF"/>
            </w:tcBorders>
            <w:shd w:val="clear" w:color="auto" w:fill="CCEEFF"/>
          </w:tcPr>
          <w:p>
            <w:pPr>
              <w:spacing w:after="0"/>
              <w:rPr>
                <w:sz w:val="12"/>
                <w:szCs w:val="12"/>
                <w:color w:val="auto"/>
              </w:rPr>
            </w:pPr>
          </w:p>
        </w:tc>
        <w:tc>
          <w:tcPr>
            <w:tcW w:w="1160" w:type="dxa"/>
            <w:vAlign w:val="bottom"/>
            <w:tcBorders>
              <w:bottom w:val="single" w:sz="8" w:color="CCEEFF"/>
            </w:tcBorders>
            <w:shd w:val="clear" w:color="auto" w:fill="CCEEFF"/>
          </w:tcPr>
          <w:p>
            <w:pPr>
              <w:jc w:val="right"/>
              <w:ind w:right="1026"/>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600.3</w:t>
            </w:r>
          </w:p>
        </w:tc>
        <w:tc>
          <w:tcPr>
            <w:tcW w:w="1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w:t>
            </w:r>
          </w:p>
        </w:tc>
        <w:tc>
          <w:tcPr>
            <w:tcW w:w="8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spacing w:after="0"/>
              <w:rPr>
                <w:sz w:val="12"/>
                <w:szCs w:val="1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0.2 %</w:t>
            </w:r>
          </w:p>
        </w:tc>
        <w:tc>
          <w:tcPr>
            <w:tcW w:w="80" w:type="dxa"/>
            <w:vAlign w:val="bottom"/>
            <w:tcBorders>
              <w:bottom w:val="single" w:sz="8" w:color="CCEEFF"/>
            </w:tcBorders>
            <w:shd w:val="clear" w:color="auto" w:fill="CCEEFF"/>
          </w:tcPr>
          <w:p>
            <w:pPr>
              <w:spacing w:after="0"/>
              <w:rPr>
                <w:sz w:val="12"/>
                <w:szCs w:val="12"/>
                <w:color w:val="auto"/>
              </w:rPr>
            </w:pPr>
          </w:p>
        </w:tc>
        <w:tc>
          <w:tcPr>
            <w:tcW w:w="1900" w:type="dxa"/>
            <w:vAlign w:val="bottom"/>
            <w:tcBorders>
              <w:bottom w:val="single" w:sz="8" w:color="CCEEFF"/>
            </w:tcBorders>
            <w:shd w:val="clear" w:color="auto" w:fill="CCEEFF"/>
          </w:tcPr>
          <w:p>
            <w:pPr>
              <w:ind w:left="1620"/>
              <w:spacing w:after="0"/>
              <w:rPr>
                <w:sz w:val="20"/>
                <w:szCs w:val="20"/>
                <w:color w:val="auto"/>
              </w:rPr>
            </w:pPr>
            <w:r>
              <w:rPr>
                <w:rFonts w:ascii="Arial" w:cs="Arial" w:eastAsia="Arial" w:hAnsi="Arial"/>
                <w:sz w:val="11"/>
                <w:szCs w:val="11"/>
                <w:color w:val="auto"/>
                <w:w w:val="92"/>
              </w:rPr>
              <w:t>0.2 %</w:t>
            </w:r>
          </w:p>
        </w:tc>
        <w:tc>
          <w:tcPr>
            <w:tcW w:w="0" w:type="dxa"/>
            <w:vAlign w:val="bottom"/>
          </w:tcPr>
          <w:p>
            <w:pPr>
              <w:spacing w:after="0"/>
              <w:rPr>
                <w:sz w:val="1"/>
                <w:szCs w:val="1"/>
                <w:color w:val="auto"/>
              </w:rPr>
            </w:pPr>
          </w:p>
        </w:tc>
      </w:tr>
      <w:tr>
        <w:trPr>
          <w:trHeight w:val="140"/>
        </w:trPr>
        <w:tc>
          <w:tcPr>
            <w:tcW w:w="1960" w:type="dxa"/>
            <w:vAlign w:val="bottom"/>
          </w:tcPr>
          <w:p>
            <w:pPr>
              <w:ind w:left="20"/>
              <w:spacing w:after="0"/>
              <w:rPr>
                <w:sz w:val="20"/>
                <w:szCs w:val="20"/>
                <w:color w:val="auto"/>
              </w:rPr>
            </w:pPr>
            <w:r>
              <w:rPr>
                <w:rFonts w:ascii="Arial" w:cs="Arial" w:eastAsia="Arial" w:hAnsi="Arial"/>
                <w:sz w:val="11"/>
                <w:szCs w:val="11"/>
                <w:color w:val="auto"/>
              </w:rPr>
              <w:t>International</w:t>
            </w:r>
          </w:p>
        </w:tc>
        <w:tc>
          <w:tcPr>
            <w:tcW w:w="1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519.4</w:t>
            </w: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529.2</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(9.8)</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20" w:type="dxa"/>
            <w:vAlign w:val="bottom"/>
          </w:tcPr>
          <w:p>
            <w:pPr>
              <w:jc w:val="right"/>
              <w:ind w:right="46"/>
              <w:spacing w:after="0"/>
              <w:rPr>
                <w:sz w:val="20"/>
                <w:szCs w:val="20"/>
                <w:color w:val="auto"/>
              </w:rPr>
            </w:pPr>
            <w:r>
              <w:rPr>
                <w:rFonts w:ascii="Arial" w:cs="Arial" w:eastAsia="Arial" w:hAnsi="Arial"/>
                <w:sz w:val="11"/>
                <w:szCs w:val="11"/>
                <w:color w:val="auto"/>
              </w:rPr>
              <w:t>(1.9)</w:t>
            </w:r>
          </w:p>
        </w:tc>
        <w:tc>
          <w:tcPr>
            <w:tcW w:w="80" w:type="dxa"/>
            <w:vAlign w:val="bottom"/>
          </w:tcPr>
          <w:p>
            <w:pPr>
              <w:spacing w:after="0"/>
              <w:rPr>
                <w:sz w:val="12"/>
                <w:szCs w:val="12"/>
                <w:color w:val="auto"/>
              </w:rPr>
            </w:pPr>
          </w:p>
        </w:tc>
        <w:tc>
          <w:tcPr>
            <w:tcW w:w="1900" w:type="dxa"/>
            <w:vAlign w:val="bottom"/>
          </w:tcPr>
          <w:p>
            <w:pPr>
              <w:ind w:left="1620"/>
              <w:spacing w:after="0"/>
              <w:rPr>
                <w:sz w:val="20"/>
                <w:szCs w:val="20"/>
                <w:color w:val="auto"/>
              </w:rPr>
            </w:pPr>
            <w:r>
              <w:rPr>
                <w:rFonts w:ascii="Arial" w:cs="Arial" w:eastAsia="Arial" w:hAnsi="Arial"/>
                <w:sz w:val="11"/>
                <w:szCs w:val="11"/>
                <w:color w:val="auto"/>
              </w:rPr>
              <w:t>3.2</w:t>
            </w:r>
          </w:p>
        </w:tc>
        <w:tc>
          <w:tcPr>
            <w:tcW w:w="0" w:type="dxa"/>
            <w:vAlign w:val="bottom"/>
          </w:tcPr>
          <w:p>
            <w:pPr>
              <w:spacing w:after="0"/>
              <w:rPr>
                <w:sz w:val="1"/>
                <w:szCs w:val="1"/>
                <w:color w:val="auto"/>
              </w:rPr>
            </w:pPr>
          </w:p>
        </w:tc>
      </w:tr>
      <w:tr>
        <w:trPr>
          <w:trHeight w:val="22"/>
        </w:trPr>
        <w:tc>
          <w:tcPr>
            <w:tcW w:w="19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1"/>
        </w:trPr>
        <w:tc>
          <w:tcPr>
            <w:tcW w:w="1960" w:type="dxa"/>
            <w:vAlign w:val="bottom"/>
            <w:tcBorders>
              <w:bottom w:val="single" w:sz="8" w:color="CCEEFF"/>
            </w:tcBorders>
            <w:shd w:val="clear" w:color="auto" w:fill="CCEEFF"/>
          </w:tcPr>
          <w:p>
            <w:pPr>
              <w:ind w:left="20"/>
              <w:spacing w:after="0" w:line="120" w:lineRule="exact"/>
              <w:rPr>
                <w:sz w:val="20"/>
                <w:szCs w:val="20"/>
                <w:color w:val="auto"/>
              </w:rPr>
            </w:pPr>
            <w:r>
              <w:rPr>
                <w:rFonts w:ascii="Arial" w:cs="Arial" w:eastAsia="Arial" w:hAnsi="Arial"/>
                <w:sz w:val="11"/>
                <w:szCs w:val="11"/>
                <w:color w:val="auto"/>
              </w:rPr>
              <w:t>Total</w:t>
            </w:r>
          </w:p>
        </w:tc>
        <w:tc>
          <w:tcPr>
            <w:tcW w:w="1160" w:type="dxa"/>
            <w:vAlign w:val="bottom"/>
            <w:tcBorders>
              <w:bottom w:val="single" w:sz="8" w:color="CCEEFF"/>
            </w:tcBorders>
            <w:shd w:val="clear" w:color="auto" w:fill="CCEEFF"/>
          </w:tcPr>
          <w:p>
            <w:pPr>
              <w:jc w:val="right"/>
              <w:ind w:right="1026"/>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1,120.8</w:t>
            </w:r>
          </w:p>
        </w:tc>
        <w:tc>
          <w:tcPr>
            <w:tcW w:w="80" w:type="dxa"/>
            <w:vAlign w:val="bottom"/>
            <w:tcBorders>
              <w:bottom w:val="single" w:sz="8" w:color="CCEEFF"/>
            </w:tcBorders>
            <w:shd w:val="clear" w:color="auto" w:fill="CCEEFF"/>
          </w:tcPr>
          <w:p>
            <w:pPr>
              <w:spacing w:after="0"/>
              <w:rPr>
                <w:sz w:val="11"/>
                <w:szCs w:val="11"/>
                <w:color w:val="auto"/>
              </w:rPr>
            </w:pPr>
          </w:p>
        </w:tc>
        <w:tc>
          <w:tcPr>
            <w:tcW w:w="1160" w:type="dxa"/>
            <w:vAlign w:val="bottom"/>
            <w:tcBorders>
              <w:bottom w:val="single" w:sz="8" w:color="CCEEFF"/>
            </w:tcBorders>
            <w:shd w:val="clear" w:color="auto" w:fill="CCEEFF"/>
          </w:tcPr>
          <w:p>
            <w:pPr>
              <w:jc w:val="right"/>
              <w:ind w:right="1026"/>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1,129.5</w:t>
            </w:r>
          </w:p>
        </w:tc>
        <w:tc>
          <w:tcPr>
            <w:tcW w:w="10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(8.7)</w:t>
            </w:r>
          </w:p>
        </w:tc>
        <w:tc>
          <w:tcPr>
            <w:tcW w:w="8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shd w:val="clear" w:color="auto" w:fill="CCEEFF"/>
          </w:tcPr>
          <w:p>
            <w:pPr>
              <w:spacing w:after="0"/>
              <w:rPr>
                <w:sz w:val="11"/>
                <w:szCs w:val="1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(0.8)%</w:t>
            </w:r>
          </w:p>
        </w:tc>
        <w:tc>
          <w:tcPr>
            <w:tcW w:w="80" w:type="dxa"/>
            <w:vAlign w:val="bottom"/>
            <w:tcBorders>
              <w:bottom w:val="single" w:sz="8" w:color="CCEEFF"/>
            </w:tcBorders>
            <w:shd w:val="clear" w:color="auto" w:fill="CCEEFF"/>
          </w:tcPr>
          <w:p>
            <w:pPr>
              <w:spacing w:after="0"/>
              <w:rPr>
                <w:sz w:val="11"/>
                <w:szCs w:val="11"/>
                <w:color w:val="auto"/>
              </w:rPr>
            </w:pPr>
          </w:p>
        </w:tc>
        <w:tc>
          <w:tcPr>
            <w:tcW w:w="1900" w:type="dxa"/>
            <w:vAlign w:val="bottom"/>
            <w:tcBorders>
              <w:bottom w:val="single" w:sz="8" w:color="CCEEFF"/>
            </w:tcBorders>
            <w:shd w:val="clear" w:color="auto" w:fill="CCEEFF"/>
          </w:tcPr>
          <w:p>
            <w:pPr>
              <w:ind w:left="1620"/>
              <w:spacing w:after="0"/>
              <w:rPr>
                <w:sz w:val="20"/>
                <w:szCs w:val="20"/>
                <w:color w:val="auto"/>
              </w:rPr>
            </w:pPr>
            <w:r>
              <w:rPr>
                <w:rFonts w:ascii="Arial" w:cs="Arial" w:eastAsia="Arial" w:hAnsi="Arial"/>
                <w:sz w:val="11"/>
                <w:szCs w:val="11"/>
                <w:color w:val="auto"/>
                <w:w w:val="92"/>
              </w:rPr>
              <w:t>1.6 %</w:t>
            </w:r>
          </w:p>
        </w:tc>
        <w:tc>
          <w:tcPr>
            <w:tcW w:w="0" w:type="dxa"/>
            <w:vAlign w:val="bottom"/>
          </w:tcPr>
          <w:p>
            <w:pPr>
              <w:spacing w:after="0"/>
              <w:rPr>
                <w:sz w:val="1"/>
                <w:szCs w:val="1"/>
                <w:color w:val="auto"/>
              </w:rPr>
            </w:pPr>
          </w:p>
        </w:tc>
      </w:tr>
      <w:tr>
        <w:trPr>
          <w:trHeight w:val="36"/>
        </w:trPr>
        <w:tc>
          <w:tcPr>
            <w:tcW w:w="1960" w:type="dxa"/>
            <w:vAlign w:val="bottom"/>
            <w:shd w:val="clear" w:color="auto" w:fill="CCEEFF"/>
          </w:tcPr>
          <w:p>
            <w:pPr>
              <w:spacing w:after="0"/>
              <w:rPr>
                <w:sz w:val="3"/>
                <w:szCs w:val="3"/>
                <w:color w:val="auto"/>
              </w:rPr>
            </w:pPr>
          </w:p>
        </w:tc>
        <w:tc>
          <w:tcPr>
            <w:tcW w:w="1160" w:type="dxa"/>
            <w:vAlign w:val="bottom"/>
            <w:shd w:val="clear" w:color="auto" w:fill="000000"/>
          </w:tcPr>
          <w:p>
            <w:pPr>
              <w:spacing w:after="0"/>
              <w:rPr>
                <w:sz w:val="3"/>
                <w:szCs w:val="3"/>
                <w:color w:val="auto"/>
              </w:rPr>
            </w:pPr>
          </w:p>
        </w:tc>
        <w:tc>
          <w:tcPr>
            <w:tcW w:w="580" w:type="dxa"/>
            <w:vAlign w:val="bottom"/>
            <w:shd w:val="clear" w:color="auto" w:fill="000000"/>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160" w:type="dxa"/>
            <w:vAlign w:val="bottom"/>
            <w:shd w:val="clear" w:color="auto" w:fill="000000"/>
          </w:tcPr>
          <w:p>
            <w:pPr>
              <w:spacing w:after="0"/>
              <w:rPr>
                <w:sz w:val="3"/>
                <w:szCs w:val="3"/>
                <w:color w:val="auto"/>
              </w:rPr>
            </w:pPr>
          </w:p>
        </w:tc>
        <w:tc>
          <w:tcPr>
            <w:tcW w:w="580" w:type="dxa"/>
            <w:vAlign w:val="bottom"/>
            <w:shd w:val="clear" w:color="auto" w:fill="000000"/>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1220" w:type="dxa"/>
            <w:vAlign w:val="bottom"/>
            <w:shd w:val="clear" w:color="auto" w:fill="000000"/>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80" w:type="dxa"/>
            <w:vAlign w:val="bottom"/>
            <w:shd w:val="clear" w:color="auto" w:fill="000000"/>
          </w:tcPr>
          <w:p>
            <w:pPr>
              <w:spacing w:after="0"/>
              <w:rPr>
                <w:sz w:val="3"/>
                <w:szCs w:val="3"/>
                <w:color w:val="auto"/>
              </w:rPr>
            </w:pPr>
          </w:p>
        </w:tc>
        <w:tc>
          <w:tcPr>
            <w:tcW w:w="1520" w:type="dxa"/>
            <w:vAlign w:val="bottom"/>
            <w:shd w:val="clear" w:color="auto" w:fill="000000"/>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900" w:type="dxa"/>
            <w:vAlign w:val="bottom"/>
            <w:shd w:val="clear" w:color="auto" w:fill="000000"/>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spacing w:after="0" w:line="265" w:lineRule="auto"/>
        <w:rPr>
          <w:sz w:val="20"/>
          <w:szCs w:val="20"/>
          <w:color w:val="auto"/>
        </w:rPr>
      </w:pPr>
      <w:r>
        <w:rPr>
          <w:rFonts w:ascii="Arial" w:cs="Arial" w:eastAsia="Arial" w:hAnsi="Arial"/>
          <w:sz w:val="11"/>
          <w:szCs w:val="11"/>
          <w:color w:val="auto"/>
        </w:rPr>
        <w:t>Our revenues decreased by $8.7 million, or 0.8%, to $1,120.8 million for the twelve months ended September 30, 2023 as compared to revenues of $1,129.5 million for the twelve months ended September 30, 2022. The decrease in revenues was primarily driven by $26.5 million associated with the negative impact of foreign currency translation primarily due to the strengthening of the U.S. dollar and a $1.9 million decrease in contract manufacturing related to sales of non-diabetes products to BD. This was partially offset by $19.7 million of favorable changes in price and volume.</w:t>
      </w:r>
    </w:p>
    <w:p>
      <w:pPr>
        <w:spacing w:after="0" w:line="70" w:lineRule="exact"/>
        <w:rPr>
          <w:sz w:val="20"/>
          <w:szCs w:val="20"/>
          <w:color w:val="auto"/>
        </w:rPr>
      </w:pPr>
    </w:p>
    <w:p>
      <w:pPr>
        <w:spacing w:after="0"/>
        <w:rPr>
          <w:sz w:val="20"/>
          <w:szCs w:val="20"/>
          <w:color w:val="auto"/>
        </w:rPr>
      </w:pPr>
      <w:r>
        <w:rPr>
          <w:rFonts w:ascii="Arial" w:cs="Arial" w:eastAsia="Arial" w:hAnsi="Arial"/>
          <w:sz w:val="11"/>
          <w:szCs w:val="11"/>
          <w:b w:val="1"/>
          <w:bCs w:val="1"/>
          <w:u w:val="single" w:color="auto"/>
          <w:color w:val="auto"/>
        </w:rPr>
        <w:t>Preliminary Fiscal Year 2024 Financial Guidance:</w:t>
      </w:r>
    </w:p>
    <w:p>
      <w:pPr>
        <w:spacing w:after="0" w:line="51" w:lineRule="exact"/>
        <w:rPr>
          <w:sz w:val="20"/>
          <w:szCs w:val="20"/>
          <w:color w:val="auto"/>
        </w:rPr>
      </w:pPr>
    </w:p>
    <w:p>
      <w:pPr>
        <w:spacing w:after="0"/>
        <w:rPr>
          <w:sz w:val="20"/>
          <w:szCs w:val="20"/>
          <w:color w:val="auto"/>
        </w:rPr>
      </w:pPr>
      <w:r>
        <w:rPr>
          <w:rFonts w:ascii="Arial" w:cs="Arial" w:eastAsia="Arial" w:hAnsi="Arial"/>
          <w:sz w:val="11"/>
          <w:szCs w:val="11"/>
          <w:color w:val="auto"/>
        </w:rPr>
        <w:t>For fiscal year 2024, the Company expects: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80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Dollars in millions, except percentages and per share data</w:t>
            </w:r>
          </w:p>
        </w:tc>
        <w:tc>
          <w:tcPr>
            <w:tcW w:w="160" w:type="dxa"/>
            <w:vAlign w:val="bottom"/>
            <w:tcBorders>
              <w:bottom w:val="single" w:sz="8" w:color="CCEEFF"/>
            </w:tcBorders>
          </w:tcPr>
          <w:p>
            <w:pPr>
              <w:spacing w:after="0"/>
              <w:rPr>
                <w:sz w:val="12"/>
                <w:szCs w:val="12"/>
                <w:color w:val="auto"/>
              </w:rPr>
            </w:pPr>
          </w:p>
        </w:tc>
        <w:tc>
          <w:tcPr>
            <w:tcW w:w="150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spacing w:after="0"/>
              <w:rPr>
                <w:sz w:val="12"/>
                <w:szCs w:val="12"/>
                <w:color w:val="auto"/>
              </w:rPr>
            </w:pPr>
          </w:p>
        </w:tc>
      </w:tr>
      <w:tr>
        <w:trPr>
          <w:trHeight w:val="133"/>
        </w:trPr>
        <w:tc>
          <w:tcPr>
            <w:tcW w:w="82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Revenues</w:t>
            </w:r>
          </w:p>
        </w:tc>
        <w:tc>
          <w:tcPr>
            <w:tcW w:w="1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$1,085</w:t>
            </w:r>
          </w:p>
        </w:tc>
        <w:tc>
          <w:tcPr>
            <w:tcW w:w="1580" w:type="dxa"/>
            <w:vAlign w:val="bottom"/>
            <w:shd w:val="clear" w:color="auto" w:fill="CCEEFF"/>
          </w:tcPr>
          <w:p>
            <w:pPr>
              <w:ind w:left="20"/>
              <w:spacing w:after="0"/>
              <w:rPr>
                <w:sz w:val="20"/>
                <w:szCs w:val="20"/>
                <w:color w:val="auto"/>
              </w:rPr>
            </w:pPr>
            <w:r>
              <w:rPr>
                <w:rFonts w:ascii="Arial" w:cs="Arial" w:eastAsia="Arial" w:hAnsi="Arial"/>
                <w:sz w:val="11"/>
                <w:szCs w:val="11"/>
                <w:color w:val="auto"/>
              </w:rPr>
              <w:t>- $1,105</w:t>
            </w:r>
          </w:p>
        </w:tc>
      </w:tr>
      <w:tr>
        <w:trPr>
          <w:trHeight w:val="142"/>
        </w:trPr>
        <w:tc>
          <w:tcPr>
            <w:tcW w:w="8200" w:type="dxa"/>
            <w:vAlign w:val="bottom"/>
            <w:gridSpan w:val="2"/>
          </w:tcPr>
          <w:p>
            <w:pPr>
              <w:ind w:left="100"/>
              <w:spacing w:after="0"/>
              <w:rPr>
                <w:sz w:val="20"/>
                <w:szCs w:val="20"/>
                <w:color w:val="auto"/>
              </w:rPr>
            </w:pPr>
            <w:r>
              <w:rPr>
                <w:rFonts w:ascii="Arial" w:cs="Arial" w:eastAsia="Arial" w:hAnsi="Arial"/>
                <w:sz w:val="11"/>
                <w:szCs w:val="11"/>
                <w:i w:val="1"/>
                <w:iCs w:val="1"/>
                <w:color w:val="auto"/>
              </w:rPr>
              <w:t>As Reported (%)</w:t>
            </w:r>
          </w:p>
        </w:tc>
        <w:tc>
          <w:tcPr>
            <w:tcW w:w="1500" w:type="dxa"/>
            <w:vAlign w:val="bottom"/>
          </w:tcPr>
          <w:p>
            <w:pPr>
              <w:jc w:val="right"/>
              <w:spacing w:after="0"/>
              <w:rPr>
                <w:sz w:val="20"/>
                <w:szCs w:val="20"/>
                <w:color w:val="auto"/>
              </w:rPr>
            </w:pPr>
            <w:r>
              <w:rPr>
                <w:rFonts w:ascii="Arial" w:cs="Arial" w:eastAsia="Arial" w:hAnsi="Arial"/>
                <w:sz w:val="11"/>
                <w:szCs w:val="11"/>
                <w:i w:val="1"/>
                <w:iCs w:val="1"/>
                <w:color w:val="auto"/>
              </w:rPr>
              <w:t>(3.0%)</w:t>
            </w:r>
          </w:p>
        </w:tc>
        <w:tc>
          <w:tcPr>
            <w:tcW w:w="1580" w:type="dxa"/>
            <w:vAlign w:val="bottom"/>
          </w:tcPr>
          <w:p>
            <w:pPr>
              <w:ind w:left="20"/>
              <w:spacing w:after="0"/>
              <w:rPr>
                <w:sz w:val="20"/>
                <w:szCs w:val="20"/>
                <w:color w:val="auto"/>
              </w:rPr>
            </w:pPr>
            <w:r>
              <w:rPr>
                <w:rFonts w:ascii="Arial" w:cs="Arial" w:eastAsia="Arial" w:hAnsi="Arial"/>
                <w:sz w:val="11"/>
                <w:szCs w:val="11"/>
                <w:i w:val="1"/>
                <w:iCs w:val="1"/>
                <w:color w:val="auto"/>
              </w:rPr>
              <w:t>- (1.0%)</w:t>
            </w:r>
          </w:p>
        </w:tc>
      </w:tr>
      <w:tr>
        <w:trPr>
          <w:trHeight w:val="146"/>
        </w:trPr>
        <w:tc>
          <w:tcPr>
            <w:tcW w:w="8200" w:type="dxa"/>
            <w:vAlign w:val="bottom"/>
            <w:gridSpan w:val="2"/>
            <w:shd w:val="clear" w:color="auto" w:fill="CCEEFF"/>
          </w:tcPr>
          <w:p>
            <w:pPr>
              <w:ind w:left="100"/>
              <w:spacing w:after="0"/>
              <w:rPr>
                <w:sz w:val="20"/>
                <w:szCs w:val="20"/>
                <w:color w:val="auto"/>
              </w:rPr>
            </w:pPr>
            <w:r>
              <w:rPr>
                <w:rFonts w:ascii="Arial" w:cs="Arial" w:eastAsia="Arial" w:hAnsi="Arial"/>
                <w:sz w:val="11"/>
                <w:szCs w:val="11"/>
                <w:i w:val="1"/>
                <w:iCs w:val="1"/>
                <w:color w:val="auto"/>
              </w:rPr>
              <w:t>Constant Currency (%)</w:t>
            </w:r>
          </w:p>
        </w:tc>
        <w:tc>
          <w:tcPr>
            <w:tcW w:w="3080" w:type="dxa"/>
            <w:vAlign w:val="bottom"/>
            <w:gridSpan w:val="2"/>
            <w:shd w:val="clear" w:color="auto" w:fill="CCEEFF"/>
          </w:tcPr>
          <w:p>
            <w:pPr>
              <w:jc w:val="right"/>
              <w:ind w:right="1166"/>
              <w:spacing w:after="0"/>
              <w:rPr>
                <w:sz w:val="20"/>
                <w:szCs w:val="20"/>
                <w:color w:val="auto"/>
              </w:rPr>
            </w:pPr>
            <w:r>
              <w:rPr>
                <w:rFonts w:ascii="Arial" w:cs="Arial" w:eastAsia="Arial" w:hAnsi="Arial"/>
                <w:sz w:val="11"/>
                <w:szCs w:val="11"/>
                <w:i w:val="1"/>
                <w:iCs w:val="1"/>
                <w:color w:val="auto"/>
              </w:rPr>
              <w:t>(2.0%) - 0.0%</w:t>
            </w:r>
          </w:p>
        </w:tc>
      </w:tr>
      <w:tr>
        <w:trPr>
          <w:trHeight w:val="142"/>
        </w:trPr>
        <w:tc>
          <w:tcPr>
            <w:tcW w:w="8200" w:type="dxa"/>
            <w:vAlign w:val="bottom"/>
            <w:gridSpan w:val="2"/>
          </w:tcPr>
          <w:p>
            <w:pPr>
              <w:ind w:left="100"/>
              <w:spacing w:after="0"/>
              <w:rPr>
                <w:sz w:val="20"/>
                <w:szCs w:val="20"/>
                <w:color w:val="auto"/>
              </w:rPr>
            </w:pPr>
            <w:r>
              <w:rPr>
                <w:rFonts w:ascii="Arial" w:cs="Arial" w:eastAsia="Arial" w:hAnsi="Arial"/>
                <w:sz w:val="11"/>
                <w:szCs w:val="11"/>
                <w:i w:val="1"/>
                <w:iCs w:val="1"/>
                <w:color w:val="auto"/>
              </w:rPr>
              <w:t>F/X (%)</w:t>
            </w:r>
          </w:p>
        </w:tc>
        <w:tc>
          <w:tcPr>
            <w:tcW w:w="3080" w:type="dxa"/>
            <w:vAlign w:val="bottom"/>
            <w:gridSpan w:val="2"/>
          </w:tcPr>
          <w:p>
            <w:pPr>
              <w:jc w:val="right"/>
              <w:ind w:right="1286"/>
              <w:spacing w:after="0"/>
              <w:rPr>
                <w:sz w:val="20"/>
                <w:szCs w:val="20"/>
                <w:color w:val="auto"/>
              </w:rPr>
            </w:pPr>
            <w:r>
              <w:rPr>
                <w:rFonts w:ascii="Arial" w:cs="Arial" w:eastAsia="Arial" w:hAnsi="Arial"/>
                <w:sz w:val="11"/>
                <w:szCs w:val="11"/>
                <w:i w:val="1"/>
                <w:iCs w:val="1"/>
                <w:color w:val="auto"/>
              </w:rPr>
              <w:t>~ (1.0%)</w:t>
            </w:r>
          </w:p>
        </w:tc>
      </w:tr>
      <w:tr>
        <w:trPr>
          <w:trHeight w:val="146"/>
        </w:trPr>
        <w:tc>
          <w:tcPr>
            <w:tcW w:w="8200" w:type="dxa"/>
            <w:vAlign w:val="bottom"/>
            <w:gridSpan w:val="2"/>
            <w:shd w:val="clear" w:color="auto" w:fill="CCEEFF"/>
          </w:tcPr>
          <w:p>
            <w:pPr>
              <w:ind w:left="100"/>
              <w:spacing w:after="0"/>
              <w:rPr>
                <w:sz w:val="20"/>
                <w:szCs w:val="20"/>
                <w:color w:val="auto"/>
              </w:rPr>
            </w:pPr>
            <w:r>
              <w:rPr>
                <w:rFonts w:ascii="Arial" w:cs="Arial" w:eastAsia="Arial" w:hAnsi="Arial"/>
                <w:sz w:val="11"/>
                <w:szCs w:val="11"/>
                <w:i w:val="1"/>
                <w:iCs w:val="1"/>
                <w:color w:val="auto"/>
              </w:rPr>
              <w:t>Contract Manufacturing</w:t>
            </w:r>
          </w:p>
        </w:tc>
        <w:tc>
          <w:tcPr>
            <w:tcW w:w="1500" w:type="dxa"/>
            <w:vAlign w:val="bottom"/>
            <w:shd w:val="clear" w:color="auto" w:fill="CCEEFF"/>
          </w:tcPr>
          <w:p>
            <w:pPr>
              <w:jc w:val="right"/>
              <w:spacing w:after="0"/>
              <w:rPr>
                <w:sz w:val="20"/>
                <w:szCs w:val="20"/>
                <w:color w:val="auto"/>
              </w:rPr>
            </w:pPr>
            <w:r>
              <w:rPr>
                <w:rFonts w:ascii="Arial" w:cs="Arial" w:eastAsia="Arial" w:hAnsi="Arial"/>
                <w:sz w:val="11"/>
                <w:szCs w:val="11"/>
                <w:i w:val="1"/>
                <w:iCs w:val="1"/>
                <w:color w:val="auto"/>
              </w:rPr>
              <w:t>$0</w:t>
            </w:r>
          </w:p>
        </w:tc>
        <w:tc>
          <w:tcPr>
            <w:tcW w:w="1580" w:type="dxa"/>
            <w:vAlign w:val="bottom"/>
            <w:shd w:val="clear" w:color="auto" w:fill="CCEEFF"/>
          </w:tcPr>
          <w:p>
            <w:pPr>
              <w:ind w:left="20"/>
              <w:spacing w:after="0"/>
              <w:rPr>
                <w:sz w:val="20"/>
                <w:szCs w:val="20"/>
                <w:color w:val="auto"/>
              </w:rPr>
            </w:pPr>
            <w:r>
              <w:rPr>
                <w:rFonts w:ascii="Arial" w:cs="Arial" w:eastAsia="Arial" w:hAnsi="Arial"/>
                <w:sz w:val="11"/>
                <w:szCs w:val="11"/>
                <w:i w:val="1"/>
                <w:iCs w:val="1"/>
                <w:color w:val="auto"/>
              </w:rPr>
              <w:t>- $5</w:t>
            </w:r>
          </w:p>
        </w:tc>
      </w:tr>
      <w:tr>
        <w:trPr>
          <w:trHeight w:val="142"/>
        </w:trPr>
        <w:tc>
          <w:tcPr>
            <w:tcW w:w="8200" w:type="dxa"/>
            <w:vAlign w:val="bottom"/>
            <w:gridSpan w:val="2"/>
          </w:tcPr>
          <w:p>
            <w:pPr>
              <w:ind w:left="20"/>
              <w:spacing w:after="0"/>
              <w:rPr>
                <w:sz w:val="20"/>
                <w:szCs w:val="20"/>
                <w:color w:val="auto"/>
              </w:rPr>
            </w:pPr>
            <w:r>
              <w:rPr>
                <w:rFonts w:ascii="Arial" w:cs="Arial" w:eastAsia="Arial" w:hAnsi="Arial"/>
                <w:sz w:val="11"/>
                <w:szCs w:val="11"/>
                <w:color w:val="auto"/>
              </w:rPr>
              <w:t>Adjusted Gross Margin (%)</w:t>
            </w:r>
          </w:p>
        </w:tc>
        <w:tc>
          <w:tcPr>
            <w:tcW w:w="1500" w:type="dxa"/>
            <w:vAlign w:val="bottom"/>
          </w:tcPr>
          <w:p>
            <w:pPr>
              <w:jc w:val="right"/>
              <w:spacing w:after="0"/>
              <w:rPr>
                <w:sz w:val="20"/>
                <w:szCs w:val="20"/>
                <w:color w:val="auto"/>
              </w:rPr>
            </w:pPr>
            <w:r>
              <w:rPr>
                <w:rFonts w:ascii="Arial" w:cs="Arial" w:eastAsia="Arial" w:hAnsi="Arial"/>
                <w:sz w:val="11"/>
                <w:szCs w:val="11"/>
                <w:color w:val="auto"/>
              </w:rPr>
              <w:t>63.0%</w:t>
            </w:r>
          </w:p>
        </w:tc>
        <w:tc>
          <w:tcPr>
            <w:tcW w:w="1580" w:type="dxa"/>
            <w:vAlign w:val="bottom"/>
          </w:tcPr>
          <w:p>
            <w:pPr>
              <w:ind w:left="20"/>
              <w:spacing w:after="0"/>
              <w:rPr>
                <w:sz w:val="20"/>
                <w:szCs w:val="20"/>
                <w:color w:val="auto"/>
              </w:rPr>
            </w:pPr>
            <w:r>
              <w:rPr>
                <w:rFonts w:ascii="Arial" w:cs="Arial" w:eastAsia="Arial" w:hAnsi="Arial"/>
                <w:sz w:val="11"/>
                <w:szCs w:val="11"/>
                <w:color w:val="auto"/>
              </w:rPr>
              <w:t>- 64.0%</w:t>
            </w:r>
          </w:p>
        </w:tc>
      </w:tr>
      <w:tr>
        <w:trPr>
          <w:trHeight w:val="146"/>
        </w:trPr>
        <w:tc>
          <w:tcPr>
            <w:tcW w:w="82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Adjusted Operating Margin (%)</w:t>
            </w:r>
          </w:p>
        </w:tc>
        <w:tc>
          <w:tcPr>
            <w:tcW w:w="1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23.75%</w:t>
            </w:r>
          </w:p>
        </w:tc>
        <w:tc>
          <w:tcPr>
            <w:tcW w:w="1580" w:type="dxa"/>
            <w:vAlign w:val="bottom"/>
            <w:shd w:val="clear" w:color="auto" w:fill="CCEEFF"/>
          </w:tcPr>
          <w:p>
            <w:pPr>
              <w:ind w:left="20"/>
              <w:spacing w:after="0"/>
              <w:rPr>
                <w:sz w:val="20"/>
                <w:szCs w:val="20"/>
                <w:color w:val="auto"/>
              </w:rPr>
            </w:pPr>
            <w:r>
              <w:rPr>
                <w:rFonts w:ascii="Arial" w:cs="Arial" w:eastAsia="Arial" w:hAnsi="Arial"/>
                <w:sz w:val="11"/>
                <w:szCs w:val="11"/>
                <w:color w:val="auto"/>
              </w:rPr>
              <w:t>- 24.75%</w:t>
            </w:r>
          </w:p>
        </w:tc>
      </w:tr>
      <w:tr>
        <w:trPr>
          <w:trHeight w:val="142"/>
        </w:trPr>
        <w:tc>
          <w:tcPr>
            <w:tcW w:w="8200" w:type="dxa"/>
            <w:vAlign w:val="bottom"/>
            <w:gridSpan w:val="2"/>
          </w:tcPr>
          <w:p>
            <w:pPr>
              <w:ind w:left="20"/>
              <w:spacing w:after="0"/>
              <w:rPr>
                <w:sz w:val="20"/>
                <w:szCs w:val="20"/>
                <w:color w:val="auto"/>
              </w:rPr>
            </w:pPr>
            <w:r>
              <w:rPr>
                <w:rFonts w:ascii="Arial" w:cs="Arial" w:eastAsia="Arial" w:hAnsi="Arial"/>
                <w:sz w:val="11"/>
                <w:szCs w:val="11"/>
                <w:color w:val="auto"/>
              </w:rPr>
              <w:t>Adjusted Earnings per Diluted Share</w:t>
            </w:r>
          </w:p>
        </w:tc>
        <w:tc>
          <w:tcPr>
            <w:tcW w:w="1500" w:type="dxa"/>
            <w:vAlign w:val="bottom"/>
          </w:tcPr>
          <w:p>
            <w:pPr>
              <w:jc w:val="right"/>
              <w:spacing w:after="0"/>
              <w:rPr>
                <w:sz w:val="20"/>
                <w:szCs w:val="20"/>
                <w:color w:val="auto"/>
              </w:rPr>
            </w:pPr>
            <w:r>
              <w:rPr>
                <w:rFonts w:ascii="Arial" w:cs="Arial" w:eastAsia="Arial" w:hAnsi="Arial"/>
                <w:sz w:val="11"/>
                <w:szCs w:val="11"/>
                <w:color w:val="auto"/>
              </w:rPr>
              <w:t>$1.90</w:t>
            </w:r>
          </w:p>
        </w:tc>
        <w:tc>
          <w:tcPr>
            <w:tcW w:w="1580" w:type="dxa"/>
            <w:vAlign w:val="bottom"/>
          </w:tcPr>
          <w:p>
            <w:pPr>
              <w:ind w:left="20"/>
              <w:spacing w:after="0"/>
              <w:rPr>
                <w:sz w:val="20"/>
                <w:szCs w:val="20"/>
                <w:color w:val="auto"/>
              </w:rPr>
            </w:pPr>
            <w:r>
              <w:rPr>
                <w:rFonts w:ascii="Arial" w:cs="Arial" w:eastAsia="Arial" w:hAnsi="Arial"/>
                <w:sz w:val="11"/>
                <w:szCs w:val="11"/>
                <w:color w:val="auto"/>
              </w:rPr>
              <w:t>- $2.10</w:t>
            </w:r>
          </w:p>
        </w:tc>
      </w:tr>
      <w:tr>
        <w:trPr>
          <w:trHeight w:val="146"/>
        </w:trPr>
        <w:tc>
          <w:tcPr>
            <w:tcW w:w="82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Adjusted EBITDA Margin (%)</w:t>
            </w:r>
          </w:p>
        </w:tc>
        <w:tc>
          <w:tcPr>
            <w:tcW w:w="1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29.5%</w:t>
            </w:r>
          </w:p>
        </w:tc>
        <w:tc>
          <w:tcPr>
            <w:tcW w:w="1580" w:type="dxa"/>
            <w:vAlign w:val="bottom"/>
            <w:shd w:val="clear" w:color="auto" w:fill="CCEEFF"/>
          </w:tcPr>
          <w:p>
            <w:pPr>
              <w:ind w:left="20"/>
              <w:spacing w:after="0"/>
              <w:rPr>
                <w:sz w:val="20"/>
                <w:szCs w:val="20"/>
                <w:color w:val="auto"/>
              </w:rPr>
            </w:pPr>
            <w:r>
              <w:rPr>
                <w:rFonts w:ascii="Arial" w:cs="Arial" w:eastAsia="Arial" w:hAnsi="Arial"/>
                <w:sz w:val="11"/>
                <w:szCs w:val="11"/>
                <w:color w:val="auto"/>
              </w:rPr>
              <w:t>- 30.5%</w:t>
            </w:r>
          </w:p>
        </w:tc>
      </w:tr>
    </w:tbl>
    <w:p>
      <w:pPr>
        <w:spacing w:after="0" w:line="240" w:lineRule="exact"/>
        <w:rPr>
          <w:sz w:val="20"/>
          <w:szCs w:val="20"/>
          <w:color w:val="auto"/>
        </w:rPr>
      </w:pPr>
    </w:p>
    <w:p>
      <w:pPr>
        <w:jc w:val="both"/>
        <w:spacing w:after="0" w:line="265" w:lineRule="auto"/>
        <w:rPr>
          <w:sz w:val="20"/>
          <w:szCs w:val="20"/>
          <w:color w:val="auto"/>
        </w:rPr>
      </w:pPr>
      <w:r>
        <w:rPr>
          <w:rFonts w:ascii="Arial" w:cs="Arial" w:eastAsia="Arial" w:hAnsi="Arial"/>
          <w:sz w:val="11"/>
          <w:szCs w:val="11"/>
          <w:color w:val="auto"/>
        </w:rPr>
        <w:t>We are unable to present a quantitative reconciliation of our expected adjusted gross margin, expected adjusted operating margin, expected adjusted earnings per diluted share, expected adjusted EBITDA and our expected adjusted EBITDA margin as we are unable to predict with reasonable certainty and without unreasonable effort the impact and timing of any one-time items. The financial impact of these one-time items is uncertain and is dependent on various factors, including timing, and could be material to our Condensed Consolidated Statements of Income.</w:t>
      </w:r>
    </w:p>
    <w:p>
      <w:pPr>
        <w:spacing w:after="0" w:line="79" w:lineRule="exact"/>
        <w:rPr>
          <w:sz w:val="20"/>
          <w:szCs w:val="20"/>
          <w:color w:val="auto"/>
        </w:rPr>
      </w:pPr>
    </w:p>
    <w:p>
      <w:pPr>
        <w:spacing w:after="0"/>
        <w:rPr>
          <w:sz w:val="20"/>
          <w:szCs w:val="20"/>
          <w:color w:val="auto"/>
        </w:rPr>
      </w:pPr>
      <w:r>
        <w:rPr>
          <w:rFonts w:ascii="Arial" w:cs="Arial" w:eastAsia="Arial" w:hAnsi="Arial"/>
          <w:sz w:val="11"/>
          <w:szCs w:val="11"/>
          <w:b w:val="1"/>
          <w:bCs w:val="1"/>
          <w:u w:val="single" w:color="auto"/>
          <w:color w:val="auto"/>
        </w:rPr>
        <w:t>Balance sheet, Liquidity and Other Updates</w:t>
      </w:r>
    </w:p>
    <w:p>
      <w:pPr>
        <w:spacing w:after="0" w:line="123" w:lineRule="exact"/>
        <w:rPr>
          <w:sz w:val="20"/>
          <w:szCs w:val="20"/>
          <w:color w:val="auto"/>
        </w:rPr>
      </w:pPr>
    </w:p>
    <w:p>
      <w:pPr>
        <w:spacing w:after="0"/>
        <w:rPr>
          <w:sz w:val="20"/>
          <w:szCs w:val="20"/>
          <w:color w:val="auto"/>
        </w:rPr>
      </w:pPr>
      <w:r>
        <w:rPr>
          <w:rFonts w:ascii="Arial" w:cs="Arial" w:eastAsia="Arial" w:hAnsi="Arial"/>
          <w:sz w:val="11"/>
          <w:szCs w:val="11"/>
          <w:color w:val="auto"/>
        </w:rPr>
        <w:t>As of September 30, 2023, the Company had approximately $326.5 million in cash and cash equivalents and $1.636 billion of debt principal outstanding, and no amount drawn on its $500 million Revolving Credit Facility.</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1"/>
          <w:szCs w:val="11"/>
          <w:color w:val="auto"/>
        </w:rPr>
        <w:t>The Company’s Board of Directors declared a quarterly cash dividend of $0.15 for each issued and outstanding share of the Company’s common stock. The dividend is payable on December 15, 2023 to stockholders of record at the close of business on December 4, 2023.</w:t>
      </w:r>
    </w:p>
    <w:p>
      <w:pPr>
        <w:spacing w:after="0" w:line="56" w:lineRule="exact"/>
        <w:rPr>
          <w:sz w:val="20"/>
          <w:szCs w:val="20"/>
          <w:color w:val="auto"/>
        </w:rPr>
      </w:pPr>
    </w:p>
    <w:p>
      <w:pPr>
        <w:spacing w:after="0"/>
        <w:rPr>
          <w:sz w:val="20"/>
          <w:szCs w:val="20"/>
          <w:color w:val="auto"/>
        </w:rPr>
      </w:pPr>
      <w:r>
        <w:rPr>
          <w:rFonts w:ascii="Arial" w:cs="Arial" w:eastAsia="Arial" w:hAnsi="Arial"/>
          <w:sz w:val="11"/>
          <w:szCs w:val="11"/>
          <w:b w:val="1"/>
          <w:bCs w:val="1"/>
          <w:u w:val="single" w:color="auto"/>
          <w:color w:val="auto"/>
        </w:rPr>
        <w:t>Fiscal 2023 Fourth Quarter and Full Year Earnings Conference Call:</w:t>
      </w:r>
    </w:p>
    <w:p>
      <w:pPr>
        <w:spacing w:after="0" w:line="103" w:lineRule="exact"/>
        <w:rPr>
          <w:sz w:val="20"/>
          <w:szCs w:val="20"/>
          <w:color w:val="auto"/>
        </w:rPr>
      </w:pPr>
    </w:p>
    <w:p>
      <w:pPr>
        <w:spacing w:after="0"/>
        <w:rPr>
          <w:sz w:val="20"/>
          <w:szCs w:val="20"/>
          <w:color w:val="auto"/>
        </w:rPr>
      </w:pPr>
      <w:r>
        <w:rPr>
          <w:rFonts w:ascii="Arial" w:cs="Arial" w:eastAsia="Arial" w:hAnsi="Arial"/>
          <w:sz w:val="11"/>
          <w:szCs w:val="11"/>
          <w:color w:val="auto"/>
        </w:rPr>
        <w:t>Management will host a conference call at 7:00 a.m. Eastern Time (ET) on November 21, 2023 to discuss the results of the quarter and full year, provide an update on its business, and host a question and answer session.</w:t>
      </w:r>
    </w:p>
    <w:p>
      <w:pPr>
        <w:spacing w:after="0"/>
        <w:rPr>
          <w:sz w:val="20"/>
          <w:szCs w:val="20"/>
          <w:color w:val="auto"/>
        </w:rPr>
      </w:pPr>
      <w:r>
        <w:rPr>
          <w:rFonts w:ascii="Arial" w:cs="Arial" w:eastAsia="Arial" w:hAnsi="Arial"/>
          <w:sz w:val="11"/>
          <w:szCs w:val="11"/>
          <w:color w:val="auto"/>
        </w:rPr>
        <w:t xml:space="preserve">Those who would like to participate may access the live webcast </w:t>
      </w:r>
      <w:r>
        <w:rPr>
          <w:rFonts w:ascii="Arial" w:cs="Arial" w:eastAsia="Arial" w:hAnsi="Arial"/>
          <w:sz w:val="11"/>
          <w:szCs w:val="11"/>
          <w:color w:val="0000FF"/>
        </w:rPr>
        <w:t>here</w:t>
      </w:r>
      <w:r>
        <w:rPr>
          <w:rFonts w:ascii="Arial" w:cs="Arial" w:eastAsia="Arial" w:hAnsi="Arial"/>
          <w:sz w:val="11"/>
          <w:szCs w:val="11"/>
          <w:color w:val="auto"/>
        </w:rPr>
        <w:t xml:space="preserve">, or access the teleconference </w:t>
      </w:r>
      <w:r>
        <w:rPr>
          <w:rFonts w:ascii="Arial" w:cs="Arial" w:eastAsia="Arial" w:hAnsi="Arial"/>
          <w:sz w:val="11"/>
          <w:szCs w:val="11"/>
          <w:color w:val="0000FF"/>
        </w:rPr>
        <w:t>here</w:t>
      </w:r>
      <w:r>
        <w:rPr>
          <w:rFonts w:ascii="Arial" w:cs="Arial" w:eastAsia="Arial" w:hAnsi="Arial"/>
          <w:sz w:val="11"/>
          <w:szCs w:val="11"/>
          <w:color w:val="auto"/>
        </w:rPr>
        <w:t xml:space="preserve">. The live webcast can also be accessed via the Company’s website at </w:t>
      </w:r>
      <w:r>
        <w:rPr>
          <w:rFonts w:ascii="Arial" w:cs="Arial" w:eastAsia="Arial" w:hAnsi="Arial"/>
          <w:sz w:val="11"/>
          <w:szCs w:val="11"/>
          <w:color w:val="0000FF"/>
        </w:rPr>
        <w:t>investors.embecta.com</w:t>
      </w:r>
      <w:r>
        <w:rPr>
          <w:rFonts w:ascii="Arial" w:cs="Arial" w:eastAsia="Arial" w:hAnsi="Arial"/>
          <w:sz w:val="11"/>
          <w:szCs w:val="11"/>
          <w:color w:val="auto"/>
        </w:rPr>
        <w:t>.</w:t>
      </w:r>
    </w:p>
    <w:p>
      <w:pPr>
        <w:spacing w:after="0" w:line="109" w:lineRule="exact"/>
        <w:rPr>
          <w:sz w:val="20"/>
          <w:szCs w:val="20"/>
          <w:color w:val="auto"/>
        </w:rPr>
      </w:pPr>
    </w:p>
    <w:p>
      <w:pPr>
        <w:spacing w:after="0"/>
        <w:rPr>
          <w:sz w:val="20"/>
          <w:szCs w:val="20"/>
          <w:color w:val="auto"/>
        </w:rPr>
      </w:pPr>
      <w:r>
        <w:rPr>
          <w:rFonts w:ascii="Arial" w:cs="Arial" w:eastAsia="Arial" w:hAnsi="Arial"/>
          <w:sz w:val="11"/>
          <w:szCs w:val="11"/>
          <w:color w:val="auto"/>
        </w:rPr>
        <w:t>A webcast replay of the call will be available beginning at 10:00 a.m. ET on November 21, 2023, via the embecta investor relations website and archived on the website for one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3</w:t>
      </w:r>
    </w:p>
    <w:p>
      <w:pPr>
        <w:sectPr>
          <w:pgSz w:w="11900" w:h="16838" w:orient="portrait"/>
          <w:cols w:equalWidth="0" w:num="1">
            <w:col w:w="11300"/>
          </w:cols>
          <w:pgMar w:left="300" w:top="868" w:right="299" w:bottom="1440" w:gutter="0" w:footer="0" w:header="0"/>
        </w:sectPr>
      </w:pPr>
    </w:p>
    <w:bookmarkStart w:id="5" w:name="page6"/>
    <w:bookmarkEnd w:id="5"/>
    <w:p>
      <w:pPr>
        <w:ind w:left="4280"/>
        <w:spacing w:after="0"/>
        <w:rPr>
          <w:sz w:val="20"/>
          <w:szCs w:val="20"/>
          <w:color w:val="auto"/>
        </w:rPr>
      </w:pPr>
      <w:r>
        <w:rPr>
          <w:rFonts w:ascii="Arial" w:cs="Arial" w:eastAsia="Arial" w:hAnsi="Arial"/>
          <w:sz w:val="12"/>
          <w:szCs w:val="12"/>
          <w:b w:val="1"/>
          <w:bCs w:val="1"/>
          <w:color w:val="auto"/>
        </w:rPr>
        <w:t>Condensed Consolidated Statements of Income</w:t>
      </w:r>
    </w:p>
    <w:p>
      <w:pPr>
        <w:ind w:left="5220"/>
        <w:spacing w:after="0" w:line="206" w:lineRule="auto"/>
        <w:rPr>
          <w:sz w:val="20"/>
          <w:szCs w:val="20"/>
          <w:color w:val="auto"/>
        </w:rPr>
      </w:pPr>
      <w:r>
        <w:rPr>
          <w:rFonts w:ascii="Arial" w:cs="Arial" w:eastAsia="Arial" w:hAnsi="Arial"/>
          <w:sz w:val="12"/>
          <w:szCs w:val="12"/>
          <w:b w:val="1"/>
          <w:bCs w:val="1"/>
          <w:color w:val="auto"/>
        </w:rPr>
        <w:t>Embecta Corp.</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i w:val="1"/>
          <w:iCs w:val="1"/>
          <w:color w:val="auto"/>
        </w:rPr>
        <w:t>(Unaudited, in millions, except per share data)</w:t>
      </w:r>
    </w:p>
    <w:tbl>
      <w:tblPr>
        <w:tblLayout w:type="fixed"/>
        <w:tblInd w:w="0" w:type="dxa"/>
        <w:tblCellMar>
          <w:top w:w="0" w:type="dxa"/>
          <w:left w:w="0" w:type="dxa"/>
          <w:bottom w:w="0" w:type="dxa"/>
          <w:right w:w="0" w:type="dxa"/>
        </w:tblCellMar>
      </w:tblPr>
      <w:tr>
        <w:trPr>
          <w:trHeight w:val="115"/>
        </w:trPr>
        <w:tc>
          <w:tcPr>
            <w:tcW w:w="5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180" w:type="dxa"/>
            <w:vAlign w:val="bottom"/>
            <w:gridSpan w:val="3"/>
          </w:tcPr>
          <w:p>
            <w:pPr>
              <w:jc w:val="right"/>
              <w:ind w:right="11"/>
              <w:spacing w:after="0" w:line="115" w:lineRule="exact"/>
              <w:rPr>
                <w:sz w:val="20"/>
                <w:szCs w:val="20"/>
                <w:color w:val="auto"/>
              </w:rPr>
            </w:pPr>
            <w:r>
              <w:rPr>
                <w:rFonts w:ascii="Arial" w:cs="Arial" w:eastAsia="Arial" w:hAnsi="Arial"/>
                <w:sz w:val="11"/>
                <w:szCs w:val="11"/>
                <w:b w:val="1"/>
                <w:bCs w:val="1"/>
                <w:color w:val="auto"/>
              </w:rPr>
              <w:t>Three Months Ended</w:t>
            </w: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780" w:type="dxa"/>
            <w:vAlign w:val="bottom"/>
            <w:gridSpan w:val="3"/>
          </w:tcPr>
          <w:p>
            <w:pPr>
              <w:jc w:val="right"/>
              <w:ind w:right="6"/>
              <w:spacing w:after="0" w:line="115" w:lineRule="exact"/>
              <w:rPr>
                <w:sz w:val="20"/>
                <w:szCs w:val="20"/>
                <w:color w:val="auto"/>
              </w:rPr>
            </w:pPr>
            <w:r>
              <w:rPr>
                <w:rFonts w:ascii="Arial" w:cs="Arial" w:eastAsia="Arial" w:hAnsi="Arial"/>
                <w:sz w:val="11"/>
                <w:szCs w:val="11"/>
                <w:b w:val="1"/>
                <w:bCs w:val="1"/>
                <w:color w:val="auto"/>
              </w:rPr>
              <w:t>Twelve Months Ended</w:t>
            </w:r>
          </w:p>
        </w:tc>
        <w:tc>
          <w:tcPr>
            <w:tcW w:w="880" w:type="dxa"/>
            <w:vAlign w:val="bottom"/>
          </w:tcPr>
          <w:p>
            <w:pPr>
              <w:spacing w:after="0"/>
              <w:rPr>
                <w:sz w:val="9"/>
                <w:szCs w:val="9"/>
                <w:color w:val="auto"/>
              </w:rPr>
            </w:pPr>
          </w:p>
        </w:tc>
      </w:tr>
      <w:tr>
        <w:trPr>
          <w:trHeight w:val="144"/>
        </w:trPr>
        <w:tc>
          <w:tcPr>
            <w:tcW w:w="518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tcPr>
          <w:p>
            <w:pPr>
              <w:jc w:val="right"/>
              <w:ind w:right="171"/>
              <w:spacing w:after="0"/>
              <w:rPr>
                <w:sz w:val="20"/>
                <w:szCs w:val="20"/>
                <w:color w:val="auto"/>
              </w:rPr>
            </w:pPr>
            <w:r>
              <w:rPr>
                <w:rFonts w:ascii="Arial" w:cs="Arial" w:eastAsia="Arial" w:hAnsi="Arial"/>
                <w:sz w:val="11"/>
                <w:szCs w:val="11"/>
                <w:b w:val="1"/>
                <w:bCs w:val="1"/>
                <w:color w:val="auto"/>
              </w:rPr>
              <w:t>September 30,</w:t>
            </w:r>
          </w:p>
        </w:tc>
        <w:tc>
          <w:tcPr>
            <w:tcW w:w="9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gridSpan w:val="3"/>
          </w:tcPr>
          <w:p>
            <w:pPr>
              <w:jc w:val="right"/>
              <w:ind w:right="186"/>
              <w:spacing w:after="0"/>
              <w:rPr>
                <w:sz w:val="20"/>
                <w:szCs w:val="20"/>
                <w:color w:val="auto"/>
              </w:rPr>
            </w:pPr>
            <w:r>
              <w:rPr>
                <w:rFonts w:ascii="Arial" w:cs="Arial" w:eastAsia="Arial" w:hAnsi="Arial"/>
                <w:sz w:val="11"/>
                <w:szCs w:val="11"/>
                <w:b w:val="1"/>
                <w:bCs w:val="1"/>
                <w:color w:val="auto"/>
              </w:rPr>
              <w:t>September 30,</w:t>
            </w:r>
          </w:p>
        </w:tc>
        <w:tc>
          <w:tcPr>
            <w:tcW w:w="880" w:type="dxa"/>
            <w:vAlign w:val="bottom"/>
            <w:tcBorders>
              <w:bottom w:val="single" w:sz="8" w:color="auto"/>
            </w:tcBorders>
          </w:tcPr>
          <w:p>
            <w:pPr>
              <w:spacing w:after="0"/>
              <w:rPr>
                <w:sz w:val="12"/>
                <w:szCs w:val="12"/>
                <w:color w:val="auto"/>
              </w:rPr>
            </w:pPr>
          </w:p>
        </w:tc>
      </w:tr>
      <w:tr>
        <w:trPr>
          <w:trHeight w:val="145"/>
        </w:trPr>
        <w:tc>
          <w:tcPr>
            <w:tcW w:w="5180" w:type="dxa"/>
            <w:vAlign w:val="bottom"/>
          </w:tcPr>
          <w:p>
            <w:pPr>
              <w:spacing w:after="0"/>
              <w:rPr>
                <w:sz w:val="12"/>
                <w:szCs w:val="12"/>
                <w:color w:val="auto"/>
              </w:rPr>
            </w:pPr>
          </w:p>
        </w:tc>
        <w:tc>
          <w:tcPr>
            <w:tcW w:w="9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2023</w:t>
            </w:r>
          </w:p>
        </w:tc>
        <w:tc>
          <w:tcPr>
            <w:tcW w:w="5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566"/>
              <w:spacing w:after="0"/>
              <w:rPr>
                <w:sz w:val="20"/>
                <w:szCs w:val="20"/>
                <w:color w:val="auto"/>
              </w:rPr>
            </w:pPr>
            <w:r>
              <w:rPr>
                <w:rFonts w:ascii="Arial" w:cs="Arial" w:eastAsia="Arial" w:hAnsi="Arial"/>
                <w:sz w:val="11"/>
                <w:szCs w:val="11"/>
                <w:b w:val="1"/>
                <w:bCs w:val="1"/>
                <w:color w:val="auto"/>
              </w:rPr>
              <w:t>2022</w:t>
            </w: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46"/>
              <w:spacing w:after="0"/>
              <w:rPr>
                <w:sz w:val="20"/>
                <w:szCs w:val="20"/>
                <w:color w:val="auto"/>
              </w:rPr>
            </w:pPr>
            <w:r>
              <w:rPr>
                <w:rFonts w:ascii="Arial" w:cs="Arial" w:eastAsia="Arial" w:hAnsi="Arial"/>
                <w:sz w:val="11"/>
                <w:szCs w:val="11"/>
                <w:b w:val="1"/>
                <w:bCs w:val="1"/>
                <w:color w:val="auto"/>
              </w:rPr>
              <w:t>2023</w:t>
            </w:r>
          </w:p>
        </w:tc>
        <w:tc>
          <w:tcPr>
            <w:tcW w:w="8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546"/>
              <w:spacing w:after="0"/>
              <w:rPr>
                <w:sz w:val="20"/>
                <w:szCs w:val="20"/>
                <w:color w:val="auto"/>
              </w:rPr>
            </w:pPr>
            <w:r>
              <w:rPr>
                <w:rFonts w:ascii="Arial" w:cs="Arial" w:eastAsia="Arial" w:hAnsi="Arial"/>
                <w:sz w:val="11"/>
                <w:szCs w:val="11"/>
                <w:b w:val="1"/>
                <w:bCs w:val="1"/>
                <w:color w:val="auto"/>
              </w:rPr>
              <w:t>2022</w:t>
            </w:r>
          </w:p>
        </w:tc>
      </w:tr>
      <w:tr>
        <w:trPr>
          <w:trHeight w:val="148"/>
        </w:trPr>
        <w:tc>
          <w:tcPr>
            <w:tcW w:w="5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42"/>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Revenues</w:t>
            </w:r>
          </w:p>
        </w:tc>
        <w:tc>
          <w:tcPr>
            <w:tcW w:w="920" w:type="dxa"/>
            <w:vAlign w:val="bottom"/>
            <w:tcBorders>
              <w:bottom w:val="single" w:sz="8" w:color="CCEEFF"/>
            </w:tcBorders>
            <w:shd w:val="clear" w:color="auto" w:fill="CCEEFF"/>
          </w:tcPr>
          <w:p>
            <w:pPr>
              <w:jc w:val="right"/>
              <w:ind w:right="786"/>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281.9</w:t>
            </w:r>
          </w:p>
        </w:tc>
        <w:tc>
          <w:tcPr>
            <w:tcW w:w="10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431"/>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274.6</w:t>
            </w:r>
          </w:p>
        </w:tc>
        <w:tc>
          <w:tcPr>
            <w:tcW w:w="8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jc w:val="right"/>
              <w:ind w:right="206"/>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1,120.8</w:t>
            </w: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446"/>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1,129.5</w:t>
            </w:r>
          </w:p>
        </w:tc>
      </w:tr>
      <w:tr>
        <w:trPr>
          <w:trHeight w:val="162"/>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Cost of products sold</w:t>
            </w:r>
            <w:r>
              <w:rPr>
                <w:rFonts w:ascii="Arial" w:cs="Arial" w:eastAsia="Arial" w:hAnsi="Arial"/>
                <w:sz w:val="14"/>
                <w:szCs w:val="14"/>
                <w:color w:val="auto"/>
                <w:vertAlign w:val="superscript"/>
              </w:rPr>
              <w:t>(1)</w:t>
            </w:r>
          </w:p>
        </w:tc>
        <w:tc>
          <w:tcPr>
            <w:tcW w:w="9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100.1</w:t>
            </w:r>
          </w:p>
        </w:tc>
        <w:tc>
          <w:tcPr>
            <w:tcW w:w="1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97.7</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370.9</w:t>
            </w:r>
          </w:p>
        </w:tc>
        <w:tc>
          <w:tcPr>
            <w:tcW w:w="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354.6</w:t>
            </w:r>
          </w:p>
        </w:tc>
      </w:tr>
      <w:tr>
        <w:trPr>
          <w:trHeight w:val="131"/>
        </w:trPr>
        <w:tc>
          <w:tcPr>
            <w:tcW w:w="5180" w:type="dxa"/>
            <w:vAlign w:val="bottom"/>
            <w:tcBorders>
              <w:bottom w:val="single" w:sz="8" w:color="CCEEFF"/>
            </w:tcBorders>
            <w:shd w:val="clear" w:color="auto" w:fill="CCEEFF"/>
          </w:tcPr>
          <w:p>
            <w:pPr>
              <w:ind w:left="220"/>
              <w:spacing w:after="0" w:line="120" w:lineRule="exact"/>
              <w:rPr>
                <w:sz w:val="20"/>
                <w:szCs w:val="20"/>
                <w:color w:val="auto"/>
              </w:rPr>
            </w:pPr>
            <w:r>
              <w:rPr>
                <w:rFonts w:ascii="Arial" w:cs="Arial" w:eastAsia="Arial" w:hAnsi="Arial"/>
                <w:sz w:val="11"/>
                <w:szCs w:val="11"/>
                <w:color w:val="auto"/>
              </w:rPr>
              <w:t>Gross Profit</w:t>
            </w:r>
          </w:p>
        </w:tc>
        <w:tc>
          <w:tcPr>
            <w:tcW w:w="920" w:type="dxa"/>
            <w:vAlign w:val="bottom"/>
            <w:tcBorders>
              <w:bottom w:val="single" w:sz="8" w:color="CCEEFF"/>
            </w:tcBorders>
            <w:shd w:val="clear" w:color="auto" w:fill="CCEEFF"/>
          </w:tcPr>
          <w:p>
            <w:pPr>
              <w:jc w:val="right"/>
              <w:ind w:right="786"/>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181.8</w:t>
            </w:r>
          </w:p>
        </w:tc>
        <w:tc>
          <w:tcPr>
            <w:tcW w:w="10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jc w:val="right"/>
              <w:ind w:right="431"/>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176.9</w:t>
            </w:r>
          </w:p>
        </w:tc>
        <w:tc>
          <w:tcPr>
            <w:tcW w:w="8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jc w:val="right"/>
              <w:ind w:right="206"/>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749.9</w:t>
            </w: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ind w:right="446"/>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774.9</w:t>
            </w:r>
          </w:p>
        </w:tc>
      </w:tr>
      <w:tr>
        <w:trPr>
          <w:trHeight w:val="140"/>
        </w:trPr>
        <w:tc>
          <w:tcPr>
            <w:tcW w:w="5180" w:type="dxa"/>
            <w:vAlign w:val="bottom"/>
          </w:tcPr>
          <w:p>
            <w:pPr>
              <w:ind w:left="20"/>
              <w:spacing w:after="0"/>
              <w:rPr>
                <w:sz w:val="20"/>
                <w:szCs w:val="20"/>
                <w:color w:val="auto"/>
              </w:rPr>
            </w:pPr>
            <w:r>
              <w:rPr>
                <w:rFonts w:ascii="Arial" w:cs="Arial" w:eastAsia="Arial" w:hAnsi="Arial"/>
                <w:sz w:val="11"/>
                <w:szCs w:val="11"/>
                <w:color w:val="auto"/>
              </w:rPr>
              <w:t>Operating expenses:</w:t>
            </w:r>
          </w:p>
        </w:tc>
        <w:tc>
          <w:tcPr>
            <w:tcW w:w="9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22"/>
        </w:trPr>
        <w:tc>
          <w:tcPr>
            <w:tcW w:w="5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42"/>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Selling and administrative expense</w:t>
            </w:r>
          </w:p>
        </w:tc>
        <w:tc>
          <w:tcPr>
            <w:tcW w:w="92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95.7</w:t>
            </w:r>
          </w:p>
        </w:tc>
        <w:tc>
          <w:tcPr>
            <w:tcW w:w="10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81.9</w:t>
            </w:r>
          </w:p>
        </w:tc>
        <w:tc>
          <w:tcPr>
            <w:tcW w:w="8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341.3</w:t>
            </w: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294.8</w:t>
            </w:r>
          </w:p>
        </w:tc>
      </w:tr>
      <w:tr>
        <w:trPr>
          <w:trHeight w:val="140"/>
        </w:trPr>
        <w:tc>
          <w:tcPr>
            <w:tcW w:w="5180" w:type="dxa"/>
            <w:vAlign w:val="bottom"/>
          </w:tcPr>
          <w:p>
            <w:pPr>
              <w:ind w:left="20"/>
              <w:spacing w:after="0"/>
              <w:rPr>
                <w:sz w:val="20"/>
                <w:szCs w:val="20"/>
                <w:color w:val="auto"/>
              </w:rPr>
            </w:pPr>
            <w:r>
              <w:rPr>
                <w:rFonts w:ascii="Arial" w:cs="Arial" w:eastAsia="Arial" w:hAnsi="Arial"/>
                <w:sz w:val="11"/>
                <w:szCs w:val="11"/>
                <w:color w:val="auto"/>
              </w:rPr>
              <w:t>Research and development expense</w:t>
            </w:r>
          </w:p>
        </w:tc>
        <w:tc>
          <w:tcPr>
            <w:tcW w:w="9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23.6</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tcPr>
          <w:p>
            <w:pPr>
              <w:jc w:val="right"/>
              <w:ind w:right="6"/>
              <w:spacing w:after="0"/>
              <w:rPr>
                <w:sz w:val="20"/>
                <w:szCs w:val="20"/>
                <w:color w:val="auto"/>
              </w:rPr>
            </w:pPr>
            <w:r>
              <w:rPr>
                <w:rFonts w:ascii="Arial" w:cs="Arial" w:eastAsia="Arial" w:hAnsi="Arial"/>
                <w:sz w:val="11"/>
                <w:szCs w:val="11"/>
                <w:color w:val="auto"/>
              </w:rPr>
              <w:t>17.9</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85.2</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66.9</w:t>
            </w:r>
          </w:p>
        </w:tc>
      </w:tr>
      <w:tr>
        <w:trPr>
          <w:trHeight w:val="22"/>
        </w:trPr>
        <w:tc>
          <w:tcPr>
            <w:tcW w:w="5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42"/>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Impairment expense</w:t>
            </w:r>
          </w:p>
        </w:tc>
        <w:tc>
          <w:tcPr>
            <w:tcW w:w="92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2.5</w:t>
            </w:r>
          </w:p>
        </w:tc>
        <w:tc>
          <w:tcPr>
            <w:tcW w:w="10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58.9</w:t>
            </w:r>
          </w:p>
        </w:tc>
        <w:tc>
          <w:tcPr>
            <w:tcW w:w="8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2.5</w:t>
            </w: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58.9</w:t>
            </w:r>
          </w:p>
        </w:tc>
      </w:tr>
      <w:tr>
        <w:trPr>
          <w:trHeight w:val="140"/>
        </w:trPr>
        <w:tc>
          <w:tcPr>
            <w:tcW w:w="5180" w:type="dxa"/>
            <w:vAlign w:val="bottom"/>
          </w:tcPr>
          <w:p>
            <w:pPr>
              <w:ind w:left="20"/>
              <w:spacing w:after="0"/>
              <w:rPr>
                <w:sz w:val="20"/>
                <w:szCs w:val="20"/>
                <w:color w:val="auto"/>
              </w:rPr>
            </w:pPr>
            <w:r>
              <w:rPr>
                <w:rFonts w:ascii="Arial" w:cs="Arial" w:eastAsia="Arial" w:hAnsi="Arial"/>
                <w:sz w:val="11"/>
                <w:szCs w:val="11"/>
                <w:color w:val="auto"/>
              </w:rPr>
              <w:t>Other operating expenses</w:t>
            </w:r>
          </w:p>
        </w:tc>
        <w:tc>
          <w:tcPr>
            <w:tcW w:w="9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34.2</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tcPr>
          <w:p>
            <w:pPr>
              <w:jc w:val="right"/>
              <w:ind w:right="6"/>
              <w:spacing w:after="0"/>
              <w:rPr>
                <w:sz w:val="20"/>
                <w:szCs w:val="20"/>
                <w:color w:val="auto"/>
              </w:rPr>
            </w:pPr>
            <w:r>
              <w:rPr>
                <w:rFonts w:ascii="Arial" w:cs="Arial" w:eastAsia="Arial" w:hAnsi="Arial"/>
                <w:sz w:val="11"/>
                <w:szCs w:val="11"/>
                <w:color w:val="auto"/>
              </w:rPr>
              <w:t>21.2</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99.4</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44.7</w:t>
            </w:r>
          </w:p>
        </w:tc>
      </w:tr>
      <w:tr>
        <w:trPr>
          <w:trHeight w:val="22"/>
        </w:trPr>
        <w:tc>
          <w:tcPr>
            <w:tcW w:w="5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51"/>
        </w:trPr>
        <w:tc>
          <w:tcPr>
            <w:tcW w:w="5180" w:type="dxa"/>
            <w:vAlign w:val="bottom"/>
            <w:tcBorders>
              <w:bottom w:val="single" w:sz="8" w:color="CCEEFF"/>
            </w:tcBorders>
            <w:shd w:val="clear" w:color="auto" w:fill="CCEEFF"/>
          </w:tcPr>
          <w:p>
            <w:pPr>
              <w:ind w:left="220"/>
              <w:spacing w:after="0" w:line="120" w:lineRule="exact"/>
              <w:rPr>
                <w:sz w:val="20"/>
                <w:szCs w:val="20"/>
                <w:color w:val="auto"/>
              </w:rPr>
            </w:pPr>
            <w:r>
              <w:rPr>
                <w:rFonts w:ascii="Arial" w:cs="Arial" w:eastAsia="Arial" w:hAnsi="Arial"/>
                <w:sz w:val="11"/>
                <w:szCs w:val="11"/>
                <w:color w:val="auto"/>
              </w:rPr>
              <w:t>Total Operating Expenses</w:t>
            </w:r>
          </w:p>
        </w:tc>
        <w:tc>
          <w:tcPr>
            <w:tcW w:w="920" w:type="dxa"/>
            <w:vAlign w:val="bottom"/>
            <w:tcBorders>
              <w:bottom w:val="single" w:sz="8" w:color="CCEEFF"/>
            </w:tcBorders>
            <w:shd w:val="clear" w:color="auto" w:fill="CCEEFF"/>
          </w:tcPr>
          <w:p>
            <w:pPr>
              <w:jc w:val="right"/>
              <w:ind w:right="786"/>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156.0</w:t>
            </w:r>
          </w:p>
        </w:tc>
        <w:tc>
          <w:tcPr>
            <w:tcW w:w="10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ind w:right="431"/>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179.9</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jc w:val="right"/>
              <w:ind w:right="206"/>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528.4</w:t>
            </w: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446"/>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465.3</w:t>
            </w:r>
          </w:p>
        </w:tc>
      </w:tr>
      <w:tr>
        <w:trPr>
          <w:trHeight w:val="129"/>
        </w:trPr>
        <w:tc>
          <w:tcPr>
            <w:tcW w:w="5180" w:type="dxa"/>
            <w:vAlign w:val="bottom"/>
          </w:tcPr>
          <w:p>
            <w:pPr>
              <w:ind w:left="460"/>
              <w:spacing w:after="0" w:line="120" w:lineRule="exact"/>
              <w:rPr>
                <w:sz w:val="20"/>
                <w:szCs w:val="20"/>
                <w:color w:val="auto"/>
              </w:rPr>
            </w:pPr>
            <w:r>
              <w:rPr>
                <w:rFonts w:ascii="Arial" w:cs="Arial" w:eastAsia="Arial" w:hAnsi="Arial"/>
                <w:sz w:val="11"/>
                <w:szCs w:val="11"/>
                <w:color w:val="auto"/>
              </w:rPr>
              <w:t>Operating Income (Loss)</w:t>
            </w:r>
          </w:p>
        </w:tc>
        <w:tc>
          <w:tcPr>
            <w:tcW w:w="920" w:type="dxa"/>
            <w:vAlign w:val="bottom"/>
            <w:tcBorders>
              <w:top w:val="single" w:sz="8" w:color="auto"/>
            </w:tcBorders>
          </w:tcPr>
          <w:p>
            <w:pPr>
              <w:jc w:val="right"/>
              <w:ind w:right="786"/>
              <w:spacing w:after="0"/>
              <w:rPr>
                <w:sz w:val="20"/>
                <w:szCs w:val="20"/>
                <w:color w:val="auto"/>
              </w:rPr>
            </w:pPr>
            <w:r>
              <w:rPr>
                <w:rFonts w:ascii="Arial" w:cs="Arial" w:eastAsia="Arial" w:hAnsi="Arial"/>
                <w:sz w:val="11"/>
                <w:szCs w:val="11"/>
                <w:color w:val="auto"/>
                <w:w w:val="97"/>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25.8</w:t>
            </w:r>
          </w:p>
        </w:tc>
        <w:tc>
          <w:tcPr>
            <w:tcW w:w="100" w:type="dxa"/>
            <w:vAlign w:val="bottom"/>
          </w:tcPr>
          <w:p>
            <w:pPr>
              <w:spacing w:after="0"/>
              <w:rPr>
                <w:sz w:val="11"/>
                <w:szCs w:val="11"/>
                <w:color w:val="auto"/>
              </w:rPr>
            </w:pPr>
          </w:p>
        </w:tc>
        <w:tc>
          <w:tcPr>
            <w:tcW w:w="540" w:type="dxa"/>
            <w:vAlign w:val="bottom"/>
            <w:tcBorders>
              <w:top w:val="single" w:sz="8" w:color="auto"/>
            </w:tcBorders>
          </w:tcPr>
          <w:p>
            <w:pPr>
              <w:jc w:val="right"/>
              <w:ind w:right="431"/>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(3.0)</w:t>
            </w:r>
          </w:p>
        </w:tc>
        <w:tc>
          <w:tcPr>
            <w:tcW w:w="80" w:type="dxa"/>
            <w:vAlign w:val="bottom"/>
          </w:tcPr>
          <w:p>
            <w:pPr>
              <w:spacing w:after="0"/>
              <w:rPr>
                <w:sz w:val="11"/>
                <w:szCs w:val="11"/>
                <w:color w:val="auto"/>
              </w:rPr>
            </w:pPr>
          </w:p>
        </w:tc>
        <w:tc>
          <w:tcPr>
            <w:tcW w:w="340" w:type="dxa"/>
            <w:vAlign w:val="bottom"/>
            <w:tcBorders>
              <w:top w:val="single" w:sz="8" w:color="auto"/>
            </w:tcBorders>
          </w:tcPr>
          <w:p>
            <w:pPr>
              <w:jc w:val="right"/>
              <w:ind w:right="206"/>
              <w:spacing w:after="0"/>
              <w:rPr>
                <w:sz w:val="20"/>
                <w:szCs w:val="20"/>
                <w:color w:val="auto"/>
              </w:rPr>
            </w:pPr>
            <w:r>
              <w:rPr>
                <w:rFonts w:ascii="Arial" w:cs="Arial" w:eastAsia="Arial" w:hAnsi="Arial"/>
                <w:sz w:val="11"/>
                <w:szCs w:val="11"/>
                <w:color w:val="auto"/>
                <w:w w:val="97"/>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221.5</w:t>
            </w:r>
          </w:p>
        </w:tc>
        <w:tc>
          <w:tcPr>
            <w:tcW w:w="80" w:type="dxa"/>
            <w:vAlign w:val="bottom"/>
          </w:tcPr>
          <w:p>
            <w:pPr>
              <w:spacing w:after="0"/>
              <w:rPr>
                <w:sz w:val="11"/>
                <w:szCs w:val="11"/>
                <w:color w:val="auto"/>
              </w:rPr>
            </w:pPr>
          </w:p>
        </w:tc>
        <w:tc>
          <w:tcPr>
            <w:tcW w:w="580" w:type="dxa"/>
            <w:vAlign w:val="bottom"/>
            <w:tcBorders>
              <w:top w:val="single" w:sz="8" w:color="auto"/>
            </w:tcBorders>
          </w:tcPr>
          <w:p>
            <w:pPr>
              <w:jc w:val="right"/>
              <w:ind w:right="446"/>
              <w:spacing w:after="0"/>
              <w:rPr>
                <w:sz w:val="20"/>
                <w:szCs w:val="20"/>
                <w:color w:val="auto"/>
              </w:rPr>
            </w:pPr>
            <w:r>
              <w:rPr>
                <w:rFonts w:ascii="Arial" w:cs="Arial" w:eastAsia="Arial" w:hAnsi="Arial"/>
                <w:sz w:val="11"/>
                <w:szCs w:val="11"/>
                <w:color w:val="auto"/>
                <w:w w:val="97"/>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309.6</w:t>
            </w:r>
          </w:p>
        </w:tc>
      </w:tr>
      <w:tr>
        <w:trPr>
          <w:trHeight w:val="22"/>
        </w:trPr>
        <w:tc>
          <w:tcPr>
            <w:tcW w:w="5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42"/>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Interest expense, net</w:t>
            </w:r>
          </w:p>
        </w:tc>
        <w:tc>
          <w:tcPr>
            <w:tcW w:w="92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(27.6)</w:t>
            </w:r>
          </w:p>
        </w:tc>
        <w:tc>
          <w:tcPr>
            <w:tcW w:w="10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(21.8)</w:t>
            </w:r>
          </w:p>
        </w:tc>
        <w:tc>
          <w:tcPr>
            <w:tcW w:w="8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(107.0)</w:t>
            </w: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(46.2)</w:t>
            </w:r>
          </w:p>
        </w:tc>
      </w:tr>
      <w:tr>
        <w:trPr>
          <w:trHeight w:val="140"/>
        </w:trPr>
        <w:tc>
          <w:tcPr>
            <w:tcW w:w="5180" w:type="dxa"/>
            <w:vAlign w:val="bottom"/>
          </w:tcPr>
          <w:p>
            <w:pPr>
              <w:ind w:left="20"/>
              <w:spacing w:after="0"/>
              <w:rPr>
                <w:sz w:val="20"/>
                <w:szCs w:val="20"/>
                <w:color w:val="auto"/>
              </w:rPr>
            </w:pPr>
            <w:r>
              <w:rPr>
                <w:rFonts w:ascii="Arial" w:cs="Arial" w:eastAsia="Arial" w:hAnsi="Arial"/>
                <w:sz w:val="11"/>
                <w:szCs w:val="11"/>
                <w:color w:val="auto"/>
              </w:rPr>
              <w:t>Other income (expense), net</w:t>
            </w:r>
          </w:p>
        </w:tc>
        <w:tc>
          <w:tcPr>
            <w:tcW w:w="9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6.8</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(2.7)</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(8.8)</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(6.8)</w:t>
            </w:r>
          </w:p>
        </w:tc>
      </w:tr>
      <w:tr>
        <w:trPr>
          <w:trHeight w:val="22"/>
        </w:trPr>
        <w:tc>
          <w:tcPr>
            <w:tcW w:w="5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31"/>
        </w:trPr>
        <w:tc>
          <w:tcPr>
            <w:tcW w:w="5180" w:type="dxa"/>
            <w:vAlign w:val="bottom"/>
            <w:tcBorders>
              <w:bottom w:val="single" w:sz="8" w:color="CCEEFF"/>
            </w:tcBorders>
            <w:shd w:val="clear" w:color="auto" w:fill="CCEEFF"/>
          </w:tcPr>
          <w:p>
            <w:pPr>
              <w:ind w:left="20"/>
              <w:spacing w:after="0" w:line="120" w:lineRule="exact"/>
              <w:rPr>
                <w:sz w:val="20"/>
                <w:szCs w:val="20"/>
                <w:color w:val="auto"/>
              </w:rPr>
            </w:pPr>
            <w:r>
              <w:rPr>
                <w:rFonts w:ascii="Arial" w:cs="Arial" w:eastAsia="Arial" w:hAnsi="Arial"/>
                <w:sz w:val="11"/>
                <w:szCs w:val="11"/>
                <w:color w:val="auto"/>
              </w:rPr>
              <w:t>Income (Loss) Before Income Taxes</w:t>
            </w:r>
          </w:p>
        </w:tc>
        <w:tc>
          <w:tcPr>
            <w:tcW w:w="920" w:type="dxa"/>
            <w:vAlign w:val="bottom"/>
            <w:tcBorders>
              <w:bottom w:val="single" w:sz="8" w:color="CCEEFF"/>
            </w:tcBorders>
            <w:shd w:val="clear" w:color="auto" w:fill="CCEEFF"/>
          </w:tcPr>
          <w:p>
            <w:pPr>
              <w:jc w:val="right"/>
              <w:ind w:right="786"/>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5.0</w:t>
            </w:r>
          </w:p>
        </w:tc>
        <w:tc>
          <w:tcPr>
            <w:tcW w:w="10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jc w:val="right"/>
              <w:ind w:right="431"/>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(27.5)</w:t>
            </w:r>
          </w:p>
        </w:tc>
        <w:tc>
          <w:tcPr>
            <w:tcW w:w="8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jc w:val="right"/>
              <w:ind w:right="206"/>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105.7</w:t>
            </w: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ind w:right="446"/>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256.6</w:t>
            </w:r>
          </w:p>
        </w:tc>
      </w:tr>
      <w:tr>
        <w:trPr>
          <w:trHeight w:val="140"/>
        </w:trPr>
        <w:tc>
          <w:tcPr>
            <w:tcW w:w="5180" w:type="dxa"/>
            <w:vAlign w:val="bottom"/>
          </w:tcPr>
          <w:p>
            <w:pPr>
              <w:ind w:left="20"/>
              <w:spacing w:after="0"/>
              <w:rPr>
                <w:sz w:val="20"/>
                <w:szCs w:val="20"/>
                <w:color w:val="auto"/>
              </w:rPr>
            </w:pPr>
            <w:r>
              <w:rPr>
                <w:rFonts w:ascii="Arial" w:cs="Arial" w:eastAsia="Arial" w:hAnsi="Arial"/>
                <w:sz w:val="11"/>
                <w:szCs w:val="11"/>
                <w:color w:val="auto"/>
              </w:rPr>
              <w:t>Income tax provision (benefit)</w:t>
            </w:r>
          </w:p>
        </w:tc>
        <w:tc>
          <w:tcPr>
            <w:tcW w:w="9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(1.0)</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(10.3)</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35.3</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33.0</w:t>
            </w:r>
          </w:p>
        </w:tc>
      </w:tr>
      <w:tr>
        <w:trPr>
          <w:trHeight w:val="22"/>
        </w:trPr>
        <w:tc>
          <w:tcPr>
            <w:tcW w:w="5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51"/>
        </w:trPr>
        <w:tc>
          <w:tcPr>
            <w:tcW w:w="5180" w:type="dxa"/>
            <w:vAlign w:val="bottom"/>
            <w:tcBorders>
              <w:bottom w:val="single" w:sz="8" w:color="CCEEFF"/>
            </w:tcBorders>
            <w:shd w:val="clear" w:color="auto" w:fill="CCEEFF"/>
          </w:tcPr>
          <w:p>
            <w:pPr>
              <w:ind w:left="700"/>
              <w:spacing w:after="0" w:line="120" w:lineRule="exact"/>
              <w:rPr>
                <w:sz w:val="20"/>
                <w:szCs w:val="20"/>
                <w:color w:val="auto"/>
              </w:rPr>
            </w:pPr>
            <w:r>
              <w:rPr>
                <w:rFonts w:ascii="Arial" w:cs="Arial" w:eastAsia="Arial" w:hAnsi="Arial"/>
                <w:sz w:val="11"/>
                <w:szCs w:val="11"/>
                <w:color w:val="auto"/>
              </w:rPr>
              <w:t>Net Income (Loss)</w:t>
            </w:r>
          </w:p>
        </w:tc>
        <w:tc>
          <w:tcPr>
            <w:tcW w:w="920" w:type="dxa"/>
            <w:vAlign w:val="bottom"/>
            <w:tcBorders>
              <w:bottom w:val="single" w:sz="8" w:color="CCEEFF"/>
            </w:tcBorders>
            <w:shd w:val="clear" w:color="auto" w:fill="CCEEFF"/>
          </w:tcPr>
          <w:p>
            <w:pPr>
              <w:jc w:val="right"/>
              <w:ind w:right="786"/>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6.0</w:t>
            </w:r>
          </w:p>
        </w:tc>
        <w:tc>
          <w:tcPr>
            <w:tcW w:w="10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ind w:right="431"/>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(17.2)</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jc w:val="right"/>
              <w:ind w:right="206"/>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70.4</w:t>
            </w: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446"/>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223.6</w:t>
            </w:r>
          </w:p>
        </w:tc>
      </w:tr>
      <w:tr>
        <w:trPr>
          <w:trHeight w:val="124"/>
        </w:trPr>
        <w:tc>
          <w:tcPr>
            <w:tcW w:w="518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r>
      <w:tr>
        <w:trPr>
          <w:trHeight w:val="142"/>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Income (Loss) per common share:</w:t>
            </w:r>
          </w:p>
        </w:tc>
        <w:tc>
          <w:tcPr>
            <w:tcW w:w="92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spacing w:after="0"/>
              <w:rPr>
                <w:sz w:val="12"/>
                <w:szCs w:val="12"/>
                <w:color w:val="auto"/>
              </w:rPr>
            </w:pPr>
          </w:p>
        </w:tc>
      </w:tr>
      <w:tr>
        <w:trPr>
          <w:trHeight w:val="140"/>
        </w:trPr>
        <w:tc>
          <w:tcPr>
            <w:tcW w:w="5180" w:type="dxa"/>
            <w:vAlign w:val="bottom"/>
          </w:tcPr>
          <w:p>
            <w:pPr>
              <w:ind w:left="80"/>
              <w:spacing w:after="0"/>
              <w:rPr>
                <w:sz w:val="20"/>
                <w:szCs w:val="20"/>
                <w:color w:val="auto"/>
              </w:rPr>
            </w:pPr>
            <w:r>
              <w:rPr>
                <w:rFonts w:ascii="Arial" w:cs="Arial" w:eastAsia="Arial" w:hAnsi="Arial"/>
                <w:sz w:val="11"/>
                <w:szCs w:val="11"/>
                <w:color w:val="auto"/>
              </w:rPr>
              <w:t>Basic</w:t>
            </w:r>
          </w:p>
        </w:tc>
        <w:tc>
          <w:tcPr>
            <w:tcW w:w="920" w:type="dxa"/>
            <w:vAlign w:val="bottom"/>
          </w:tcPr>
          <w:p>
            <w:pPr>
              <w:jc w:val="right"/>
              <w:ind w:right="786"/>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0.10</w:t>
            </w:r>
          </w:p>
        </w:tc>
        <w:tc>
          <w:tcPr>
            <w:tcW w:w="100" w:type="dxa"/>
            <w:vAlign w:val="bottom"/>
          </w:tcPr>
          <w:p>
            <w:pPr>
              <w:spacing w:after="0"/>
              <w:rPr>
                <w:sz w:val="12"/>
                <w:szCs w:val="12"/>
                <w:color w:val="auto"/>
              </w:rPr>
            </w:pPr>
          </w:p>
        </w:tc>
        <w:tc>
          <w:tcPr>
            <w:tcW w:w="540" w:type="dxa"/>
            <w:vAlign w:val="bottom"/>
          </w:tcPr>
          <w:p>
            <w:pPr>
              <w:jc w:val="right"/>
              <w:ind w:right="431"/>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(0.30)</w:t>
            </w:r>
          </w:p>
        </w:tc>
        <w:tc>
          <w:tcPr>
            <w:tcW w:w="80" w:type="dxa"/>
            <w:vAlign w:val="bottom"/>
          </w:tcPr>
          <w:p>
            <w:pPr>
              <w:spacing w:after="0"/>
              <w:rPr>
                <w:sz w:val="12"/>
                <w:szCs w:val="12"/>
                <w:color w:val="auto"/>
              </w:rPr>
            </w:pPr>
          </w:p>
        </w:tc>
        <w:tc>
          <w:tcPr>
            <w:tcW w:w="340" w:type="dxa"/>
            <w:vAlign w:val="bottom"/>
          </w:tcPr>
          <w:p>
            <w:pPr>
              <w:jc w:val="right"/>
              <w:ind w:right="206"/>
              <w:spacing w:after="0"/>
              <w:rPr>
                <w:sz w:val="20"/>
                <w:szCs w:val="20"/>
                <w:color w:val="auto"/>
              </w:rPr>
            </w:pPr>
            <w:r>
              <w:rPr>
                <w:rFonts w:ascii="Arial" w:cs="Arial" w:eastAsia="Arial" w:hAnsi="Arial"/>
                <w:sz w:val="11"/>
                <w:szCs w:val="11"/>
                <w:color w:val="auto"/>
                <w:w w:val="97"/>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1.23</w:t>
            </w:r>
          </w:p>
        </w:tc>
        <w:tc>
          <w:tcPr>
            <w:tcW w:w="80" w:type="dxa"/>
            <w:vAlign w:val="bottom"/>
          </w:tcPr>
          <w:p>
            <w:pPr>
              <w:spacing w:after="0"/>
              <w:rPr>
                <w:sz w:val="12"/>
                <w:szCs w:val="12"/>
                <w:color w:val="auto"/>
              </w:rPr>
            </w:pPr>
          </w:p>
        </w:tc>
        <w:tc>
          <w:tcPr>
            <w:tcW w:w="580" w:type="dxa"/>
            <w:vAlign w:val="bottom"/>
          </w:tcPr>
          <w:p>
            <w:pPr>
              <w:jc w:val="right"/>
              <w:ind w:right="446"/>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3.92</w:t>
            </w:r>
          </w:p>
        </w:tc>
      </w:tr>
      <w:tr>
        <w:trPr>
          <w:trHeight w:val="22"/>
        </w:trPr>
        <w:tc>
          <w:tcPr>
            <w:tcW w:w="5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40"/>
        </w:trPr>
        <w:tc>
          <w:tcPr>
            <w:tcW w:w="5180" w:type="dxa"/>
            <w:vAlign w:val="bottom"/>
            <w:shd w:val="clear" w:color="auto" w:fill="CCEEFF"/>
          </w:tcPr>
          <w:p>
            <w:pPr>
              <w:ind w:left="80"/>
              <w:spacing w:after="0"/>
              <w:rPr>
                <w:sz w:val="20"/>
                <w:szCs w:val="20"/>
                <w:color w:val="auto"/>
              </w:rPr>
            </w:pPr>
            <w:r>
              <w:rPr>
                <w:rFonts w:ascii="Arial" w:cs="Arial" w:eastAsia="Arial" w:hAnsi="Arial"/>
                <w:sz w:val="11"/>
                <w:szCs w:val="11"/>
                <w:color w:val="auto"/>
              </w:rPr>
              <w:t>Diluted</w:t>
            </w:r>
          </w:p>
        </w:tc>
        <w:tc>
          <w:tcPr>
            <w:tcW w:w="920" w:type="dxa"/>
            <w:vAlign w:val="bottom"/>
            <w:shd w:val="clear" w:color="auto" w:fill="CCEEFF"/>
          </w:tcPr>
          <w:p>
            <w:pPr>
              <w:jc w:val="right"/>
              <w:ind w:right="786"/>
              <w:spacing w:after="0"/>
              <w:rPr>
                <w:sz w:val="20"/>
                <w:szCs w:val="20"/>
                <w:color w:val="auto"/>
              </w:rPr>
            </w:pPr>
            <w:r>
              <w:rPr>
                <w:rFonts w:ascii="Arial" w:cs="Arial" w:eastAsia="Arial" w:hAnsi="Arial"/>
                <w:sz w:val="11"/>
                <w:szCs w:val="11"/>
                <w:color w:val="auto"/>
                <w:w w:val="97"/>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0.10</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431"/>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(0.30)</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w w:val="97"/>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1.22</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446"/>
              <w:spacing w:after="0"/>
              <w:rPr>
                <w:sz w:val="20"/>
                <w:szCs w:val="20"/>
                <w:color w:val="auto"/>
              </w:rPr>
            </w:pPr>
            <w:r>
              <w:rPr>
                <w:rFonts w:ascii="Arial" w:cs="Arial" w:eastAsia="Arial" w:hAnsi="Arial"/>
                <w:sz w:val="11"/>
                <w:szCs w:val="11"/>
                <w:color w:val="auto"/>
                <w:w w:val="97"/>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3.89</w:t>
            </w:r>
          </w:p>
        </w:tc>
      </w:tr>
      <w:tr>
        <w:trPr>
          <w:trHeight w:val="22"/>
        </w:trPr>
        <w:tc>
          <w:tcPr>
            <w:tcW w:w="518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r>
    </w:tbl>
    <w:p>
      <w:pPr>
        <w:spacing w:after="0" w:line="51" w:lineRule="exact"/>
        <w:rPr>
          <w:sz w:val="20"/>
          <w:szCs w:val="20"/>
          <w:color w:val="auto"/>
        </w:rPr>
      </w:pPr>
    </w:p>
    <w:p>
      <w:pPr>
        <w:ind w:left="260" w:firstLine="2"/>
        <w:spacing w:after="0" w:line="238" w:lineRule="auto"/>
        <w:tabs>
          <w:tab w:leader="none" w:pos="414" w:val="left"/>
        </w:tabs>
        <w:numPr>
          <w:ilvl w:val="0"/>
          <w:numId w:val="7"/>
        </w:numPr>
        <w:rPr>
          <w:rFonts w:ascii="Arial" w:cs="Arial" w:eastAsia="Arial" w:hAnsi="Arial"/>
          <w:sz w:val="10"/>
          <w:szCs w:val="10"/>
          <w:color w:val="auto"/>
        </w:rPr>
      </w:pPr>
      <w:r>
        <w:rPr>
          <w:rFonts w:ascii="Arial" w:cs="Arial" w:eastAsia="Arial" w:hAnsi="Arial"/>
          <w:sz w:val="10"/>
          <w:szCs w:val="10"/>
          <w:color w:val="auto"/>
        </w:rPr>
        <w:t>For periods prior to the separation from BD, this income statement line includes cost of products sold from related party inventory purchases. For the twelve month period ended September 30, 2022, cost of products sold from related party inventory purchases were $28.0 million.</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20"/>
        <w:spacing w:after="0"/>
        <w:rPr>
          <w:sz w:val="20"/>
          <w:szCs w:val="20"/>
          <w:color w:val="auto"/>
        </w:rPr>
      </w:pPr>
      <w:r>
        <w:rPr>
          <w:rFonts w:ascii="Arial" w:cs="Arial" w:eastAsia="Arial" w:hAnsi="Arial"/>
          <w:sz w:val="11"/>
          <w:szCs w:val="11"/>
          <w:color w:val="auto"/>
        </w:rPr>
        <w:t>4</w:t>
      </w:r>
    </w:p>
    <w:p>
      <w:pPr>
        <w:sectPr>
          <w:pgSz w:w="11900" w:h="16838" w:orient="portrait"/>
          <w:cols w:equalWidth="0" w:num="1">
            <w:col w:w="11300"/>
          </w:cols>
          <w:pgMar w:left="300" w:top="863" w:right="299" w:bottom="1440" w:gutter="0" w:footer="0" w:header="0"/>
        </w:sectPr>
      </w:pPr>
    </w:p>
    <w:bookmarkStart w:id="6" w:name="page7"/>
    <w:bookmarkEnd w:id="6"/>
    <w:p>
      <w:pPr>
        <w:ind w:left="4460"/>
        <w:spacing w:after="0"/>
        <w:rPr>
          <w:sz w:val="20"/>
          <w:szCs w:val="20"/>
          <w:color w:val="auto"/>
        </w:rPr>
      </w:pPr>
      <w:r>
        <w:rPr>
          <w:rFonts w:ascii="Arial" w:cs="Arial" w:eastAsia="Arial" w:hAnsi="Arial"/>
          <w:sz w:val="12"/>
          <w:szCs w:val="12"/>
          <w:b w:val="1"/>
          <w:bCs w:val="1"/>
          <w:color w:val="auto"/>
        </w:rPr>
        <w:t>Condensed Consolidated Balance Sheets</w:t>
      </w:r>
    </w:p>
    <w:p>
      <w:pPr>
        <w:ind w:left="5220"/>
        <w:spacing w:after="0" w:line="206" w:lineRule="auto"/>
        <w:rPr>
          <w:sz w:val="20"/>
          <w:szCs w:val="20"/>
          <w:color w:val="auto"/>
        </w:rPr>
      </w:pPr>
      <w:r>
        <w:rPr>
          <w:rFonts w:ascii="Arial" w:cs="Arial" w:eastAsia="Arial" w:hAnsi="Arial"/>
          <w:sz w:val="12"/>
          <w:szCs w:val="12"/>
          <w:b w:val="1"/>
          <w:bCs w:val="1"/>
          <w:color w:val="auto"/>
        </w:rPr>
        <w:t>Embecta Corp.</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i w:val="1"/>
          <w:iCs w:val="1"/>
          <w:color w:val="auto"/>
        </w:rPr>
        <w:t>(Unaudited, in millions, except share and per share data)</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7480" w:type="dxa"/>
            <w:vAlign w:val="bottom"/>
            <w:tcBorders>
              <w:bottom w:val="single" w:sz="8" w:color="CCEEFF"/>
            </w:tcBorders>
          </w:tcPr>
          <w:p>
            <w:pPr>
              <w:spacing w:after="0"/>
              <w:rPr>
                <w:sz w:val="12"/>
                <w:szCs w:val="1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September 30, 2023</w:t>
            </w: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jc w:val="right"/>
              <w:ind w:right="386"/>
              <w:spacing w:after="0"/>
              <w:rPr>
                <w:sz w:val="20"/>
                <w:szCs w:val="20"/>
                <w:color w:val="auto"/>
              </w:rPr>
            </w:pPr>
            <w:r>
              <w:rPr>
                <w:rFonts w:ascii="Arial" w:cs="Arial" w:eastAsia="Arial" w:hAnsi="Arial"/>
                <w:sz w:val="11"/>
                <w:szCs w:val="11"/>
                <w:b w:val="1"/>
                <w:bCs w:val="1"/>
                <w:color w:val="auto"/>
              </w:rPr>
              <w:t>September 30, 2022</w:t>
            </w:r>
          </w:p>
        </w:tc>
        <w:tc>
          <w:tcPr>
            <w:tcW w:w="0" w:type="dxa"/>
            <w:vAlign w:val="bottom"/>
          </w:tcPr>
          <w:p>
            <w:pPr>
              <w:spacing w:after="0"/>
              <w:rPr>
                <w:sz w:val="1"/>
                <w:szCs w:val="1"/>
                <w:color w:val="auto"/>
              </w:rPr>
            </w:pPr>
          </w:p>
        </w:tc>
      </w:tr>
      <w:tr>
        <w:trPr>
          <w:trHeight w:val="142"/>
        </w:trPr>
        <w:tc>
          <w:tcPr>
            <w:tcW w:w="748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Assets</w:t>
            </w:r>
          </w:p>
        </w:tc>
        <w:tc>
          <w:tcPr>
            <w:tcW w:w="14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7480" w:type="dxa"/>
            <w:vAlign w:val="bottom"/>
          </w:tcPr>
          <w:p>
            <w:pPr>
              <w:ind w:left="220"/>
              <w:spacing w:after="0"/>
              <w:rPr>
                <w:sz w:val="20"/>
                <w:szCs w:val="20"/>
                <w:color w:val="auto"/>
              </w:rPr>
            </w:pPr>
            <w:r>
              <w:rPr>
                <w:rFonts w:ascii="Arial" w:cs="Arial" w:eastAsia="Arial" w:hAnsi="Arial"/>
                <w:sz w:val="11"/>
                <w:szCs w:val="11"/>
                <w:color w:val="auto"/>
              </w:rPr>
              <w:t>Current Assets</w:t>
            </w:r>
          </w:p>
        </w:tc>
        <w:tc>
          <w:tcPr>
            <w:tcW w:w="1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74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4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1"/>
                <w:szCs w:val="11"/>
                <w:color w:val="auto"/>
              </w:rPr>
              <w:t>Cash and cash equivalents</w:t>
            </w:r>
          </w:p>
        </w:tc>
        <w:tc>
          <w:tcPr>
            <w:tcW w:w="1440" w:type="dxa"/>
            <w:vAlign w:val="bottom"/>
            <w:tcBorders>
              <w:bottom w:val="single" w:sz="8" w:color="CCEEFF"/>
            </w:tcBorders>
            <w:shd w:val="clear" w:color="auto" w:fill="CCEEFF"/>
          </w:tcPr>
          <w:p>
            <w:pPr>
              <w:jc w:val="right"/>
              <w:ind w:right="1306"/>
              <w:spacing w:after="0"/>
              <w:rPr>
                <w:sz w:val="20"/>
                <w:szCs w:val="20"/>
                <w:color w:val="auto"/>
              </w:rPr>
            </w:pPr>
            <w:r>
              <w:rPr>
                <w:rFonts w:ascii="Arial" w:cs="Arial" w:eastAsia="Arial" w:hAnsi="Arial"/>
                <w:sz w:val="11"/>
                <w:szCs w:val="11"/>
                <w:color w:val="auto"/>
                <w:w w:val="97"/>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326.5</w:t>
            </w: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1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330.9</w:t>
            </w:r>
          </w:p>
        </w:tc>
        <w:tc>
          <w:tcPr>
            <w:tcW w:w="0" w:type="dxa"/>
            <w:vAlign w:val="bottom"/>
          </w:tcPr>
          <w:p>
            <w:pPr>
              <w:spacing w:after="0"/>
              <w:rPr>
                <w:sz w:val="1"/>
                <w:szCs w:val="1"/>
                <w:color w:val="auto"/>
              </w:rPr>
            </w:pPr>
          </w:p>
        </w:tc>
      </w:tr>
      <w:tr>
        <w:trPr>
          <w:trHeight w:val="128"/>
        </w:trPr>
        <w:tc>
          <w:tcPr>
            <w:tcW w:w="7480" w:type="dxa"/>
            <w:vAlign w:val="bottom"/>
          </w:tcPr>
          <w:p>
            <w:pPr>
              <w:ind w:left="460"/>
              <w:spacing w:after="0"/>
              <w:rPr>
                <w:sz w:val="20"/>
                <w:szCs w:val="20"/>
                <w:color w:val="auto"/>
              </w:rPr>
            </w:pPr>
            <w:r>
              <w:rPr>
                <w:rFonts w:ascii="Arial" w:cs="Arial" w:eastAsia="Arial" w:hAnsi="Arial"/>
                <w:sz w:val="11"/>
                <w:szCs w:val="11"/>
                <w:color w:val="auto"/>
                <w:w w:val="98"/>
              </w:rPr>
              <w:t>Trade receivables, net (net of allowance for doubtful accounts of $1.0 million and $1.3 million as of September 30, 2023 and September 30, 2022,</w:t>
            </w:r>
          </w:p>
        </w:tc>
        <w:tc>
          <w:tcPr>
            <w:tcW w:w="1440" w:type="dxa"/>
            <w:vAlign w:val="bottom"/>
          </w:tcPr>
          <w:p>
            <w:pPr>
              <w:spacing w:after="0"/>
              <w:rPr>
                <w:sz w:val="11"/>
                <w:szCs w:val="11"/>
                <w:color w:val="auto"/>
              </w:rPr>
            </w:pPr>
          </w:p>
        </w:tc>
        <w:tc>
          <w:tcPr>
            <w:tcW w:w="420" w:type="dxa"/>
            <w:vAlign w:val="bottom"/>
            <w:vMerge w:val="restart"/>
          </w:tcPr>
          <w:p>
            <w:pPr>
              <w:jc w:val="right"/>
              <w:spacing w:after="0"/>
              <w:rPr>
                <w:sz w:val="20"/>
                <w:szCs w:val="20"/>
                <w:color w:val="auto"/>
              </w:rPr>
            </w:pPr>
            <w:r>
              <w:rPr>
                <w:rFonts w:ascii="Arial" w:cs="Arial" w:eastAsia="Arial" w:hAnsi="Arial"/>
                <w:sz w:val="11"/>
                <w:szCs w:val="11"/>
                <w:color w:val="auto"/>
              </w:rPr>
              <w:t>16.7</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20" w:type="dxa"/>
            <w:vAlign w:val="bottom"/>
            <w:vMerge w:val="restart"/>
          </w:tcPr>
          <w:p>
            <w:pPr>
              <w:jc w:val="right"/>
              <w:ind w:right="6"/>
              <w:spacing w:after="0"/>
              <w:rPr>
                <w:sz w:val="20"/>
                <w:szCs w:val="20"/>
                <w:color w:val="auto"/>
              </w:rPr>
            </w:pPr>
            <w:r>
              <w:rPr>
                <w:rFonts w:ascii="Arial" w:cs="Arial" w:eastAsia="Arial" w:hAnsi="Arial"/>
                <w:sz w:val="11"/>
                <w:szCs w:val="11"/>
                <w:color w:val="auto"/>
              </w:rPr>
              <w:t>22.2</w:t>
            </w:r>
          </w:p>
        </w:tc>
        <w:tc>
          <w:tcPr>
            <w:tcW w:w="0" w:type="dxa"/>
            <w:vAlign w:val="bottom"/>
          </w:tcPr>
          <w:p>
            <w:pPr>
              <w:spacing w:after="0"/>
              <w:rPr>
                <w:sz w:val="1"/>
                <w:szCs w:val="1"/>
                <w:color w:val="auto"/>
              </w:rPr>
            </w:pPr>
          </w:p>
        </w:tc>
      </w:tr>
      <w:tr>
        <w:trPr>
          <w:trHeight w:val="144"/>
        </w:trPr>
        <w:tc>
          <w:tcPr>
            <w:tcW w:w="7480" w:type="dxa"/>
            <w:vAlign w:val="bottom"/>
          </w:tcPr>
          <w:p>
            <w:pPr>
              <w:ind w:left="580"/>
              <w:spacing w:after="0"/>
              <w:rPr>
                <w:sz w:val="20"/>
                <w:szCs w:val="20"/>
                <w:color w:val="auto"/>
              </w:rPr>
            </w:pPr>
            <w:r>
              <w:rPr>
                <w:rFonts w:ascii="Arial" w:cs="Arial" w:eastAsia="Arial" w:hAnsi="Arial"/>
                <w:sz w:val="11"/>
                <w:szCs w:val="11"/>
                <w:color w:val="auto"/>
              </w:rPr>
              <w:t>respectively)</w:t>
            </w:r>
          </w:p>
        </w:tc>
        <w:tc>
          <w:tcPr>
            <w:tcW w:w="144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4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1"/>
                <w:szCs w:val="11"/>
                <w:color w:val="auto"/>
              </w:rPr>
              <w:t>Inventories:</w:t>
            </w:r>
          </w:p>
        </w:tc>
        <w:tc>
          <w:tcPr>
            <w:tcW w:w="144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6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7480" w:type="dxa"/>
            <w:vAlign w:val="bottom"/>
          </w:tcPr>
          <w:p>
            <w:pPr>
              <w:ind w:left="700"/>
              <w:spacing w:after="0"/>
              <w:rPr>
                <w:sz w:val="20"/>
                <w:szCs w:val="20"/>
                <w:color w:val="auto"/>
              </w:rPr>
            </w:pPr>
            <w:r>
              <w:rPr>
                <w:rFonts w:ascii="Arial" w:cs="Arial" w:eastAsia="Arial" w:hAnsi="Arial"/>
                <w:sz w:val="11"/>
                <w:szCs w:val="11"/>
                <w:color w:val="auto"/>
              </w:rPr>
              <w:t>Materials</w:t>
            </w:r>
          </w:p>
        </w:tc>
        <w:tc>
          <w:tcPr>
            <w:tcW w:w="14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32.1</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tcPr>
          <w:p>
            <w:pPr>
              <w:jc w:val="right"/>
              <w:ind w:right="6"/>
              <w:spacing w:after="0"/>
              <w:rPr>
                <w:sz w:val="20"/>
                <w:szCs w:val="20"/>
                <w:color w:val="auto"/>
              </w:rPr>
            </w:pPr>
            <w:r>
              <w:rPr>
                <w:rFonts w:ascii="Arial" w:cs="Arial" w:eastAsia="Arial" w:hAnsi="Arial"/>
                <w:sz w:val="11"/>
                <w:szCs w:val="11"/>
                <w:color w:val="auto"/>
              </w:rPr>
              <w:t>23.4</w:t>
            </w:r>
          </w:p>
        </w:tc>
        <w:tc>
          <w:tcPr>
            <w:tcW w:w="0" w:type="dxa"/>
            <w:vAlign w:val="bottom"/>
          </w:tcPr>
          <w:p>
            <w:pPr>
              <w:spacing w:after="0"/>
              <w:rPr>
                <w:sz w:val="1"/>
                <w:szCs w:val="1"/>
                <w:color w:val="auto"/>
              </w:rPr>
            </w:pPr>
          </w:p>
        </w:tc>
      </w:tr>
      <w:tr>
        <w:trPr>
          <w:trHeight w:val="22"/>
        </w:trPr>
        <w:tc>
          <w:tcPr>
            <w:tcW w:w="74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4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1"/>
                <w:szCs w:val="11"/>
                <w:color w:val="auto"/>
              </w:rPr>
              <w:t>Work in process</w:t>
            </w:r>
          </w:p>
        </w:tc>
        <w:tc>
          <w:tcPr>
            <w:tcW w:w="144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8.1</w:t>
            </w: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5.6</w:t>
            </w:r>
          </w:p>
        </w:tc>
        <w:tc>
          <w:tcPr>
            <w:tcW w:w="0" w:type="dxa"/>
            <w:vAlign w:val="bottom"/>
          </w:tcPr>
          <w:p>
            <w:pPr>
              <w:spacing w:after="0"/>
              <w:rPr>
                <w:sz w:val="1"/>
                <w:szCs w:val="1"/>
                <w:color w:val="auto"/>
              </w:rPr>
            </w:pPr>
          </w:p>
        </w:tc>
      </w:tr>
      <w:tr>
        <w:trPr>
          <w:trHeight w:val="140"/>
        </w:trPr>
        <w:tc>
          <w:tcPr>
            <w:tcW w:w="7480" w:type="dxa"/>
            <w:vAlign w:val="bottom"/>
          </w:tcPr>
          <w:p>
            <w:pPr>
              <w:ind w:left="700"/>
              <w:spacing w:after="0"/>
              <w:rPr>
                <w:sz w:val="20"/>
                <w:szCs w:val="20"/>
                <w:color w:val="auto"/>
              </w:rPr>
            </w:pPr>
            <w:r>
              <w:rPr>
                <w:rFonts w:ascii="Arial" w:cs="Arial" w:eastAsia="Arial" w:hAnsi="Arial"/>
                <w:sz w:val="11"/>
                <w:szCs w:val="11"/>
                <w:color w:val="auto"/>
              </w:rPr>
              <w:t>Finished products</w:t>
            </w:r>
          </w:p>
        </w:tc>
        <w:tc>
          <w:tcPr>
            <w:tcW w:w="14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111.9</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tcPr>
          <w:p>
            <w:pPr>
              <w:jc w:val="right"/>
              <w:ind w:right="6"/>
              <w:spacing w:after="0"/>
              <w:rPr>
                <w:sz w:val="20"/>
                <w:szCs w:val="20"/>
                <w:color w:val="auto"/>
              </w:rPr>
            </w:pPr>
            <w:r>
              <w:rPr>
                <w:rFonts w:ascii="Arial" w:cs="Arial" w:eastAsia="Arial" w:hAnsi="Arial"/>
                <w:sz w:val="11"/>
                <w:szCs w:val="11"/>
                <w:color w:val="auto"/>
              </w:rPr>
              <w:t>93.8</w:t>
            </w:r>
          </w:p>
        </w:tc>
        <w:tc>
          <w:tcPr>
            <w:tcW w:w="0" w:type="dxa"/>
            <w:vAlign w:val="bottom"/>
          </w:tcPr>
          <w:p>
            <w:pPr>
              <w:spacing w:after="0"/>
              <w:rPr>
                <w:sz w:val="1"/>
                <w:szCs w:val="1"/>
                <w:color w:val="auto"/>
              </w:rPr>
            </w:pPr>
          </w:p>
        </w:tc>
      </w:tr>
      <w:tr>
        <w:trPr>
          <w:trHeight w:val="22"/>
        </w:trPr>
        <w:tc>
          <w:tcPr>
            <w:tcW w:w="748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1"/>
        </w:trPr>
        <w:tc>
          <w:tcPr>
            <w:tcW w:w="7480" w:type="dxa"/>
            <w:vAlign w:val="bottom"/>
            <w:tcBorders>
              <w:bottom w:val="single" w:sz="8" w:color="CCEEFF"/>
            </w:tcBorders>
            <w:shd w:val="clear" w:color="auto" w:fill="CCEEFF"/>
          </w:tcPr>
          <w:p>
            <w:pPr>
              <w:ind w:left="700"/>
              <w:spacing w:after="0" w:line="120" w:lineRule="exact"/>
              <w:rPr>
                <w:sz w:val="20"/>
                <w:szCs w:val="20"/>
                <w:color w:val="auto"/>
              </w:rPr>
            </w:pPr>
            <w:r>
              <w:rPr>
                <w:rFonts w:ascii="Arial" w:cs="Arial" w:eastAsia="Arial" w:hAnsi="Arial"/>
                <w:sz w:val="11"/>
                <w:szCs w:val="11"/>
                <w:color w:val="auto"/>
              </w:rPr>
              <w:t>Total Inventories</w:t>
            </w:r>
          </w:p>
        </w:tc>
        <w:tc>
          <w:tcPr>
            <w:tcW w:w="1440" w:type="dxa"/>
            <w:vAlign w:val="bottom"/>
            <w:tcBorders>
              <w:bottom w:val="single" w:sz="8" w:color="CCEEFF"/>
            </w:tcBorders>
            <w:shd w:val="clear" w:color="auto" w:fill="CCEEFF"/>
          </w:tcPr>
          <w:p>
            <w:pPr>
              <w:jc w:val="right"/>
              <w:ind w:right="1306"/>
              <w:spacing w:after="0"/>
              <w:rPr>
                <w:sz w:val="20"/>
                <w:szCs w:val="20"/>
                <w:color w:val="auto"/>
              </w:rPr>
            </w:pPr>
            <w:r>
              <w:rPr>
                <w:rFonts w:ascii="Arial" w:cs="Arial" w:eastAsia="Arial" w:hAnsi="Arial"/>
                <w:sz w:val="11"/>
                <w:szCs w:val="11"/>
                <w:color w:val="auto"/>
                <w:w w:val="97"/>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152.1</w:t>
            </w:r>
          </w:p>
        </w:tc>
        <w:tc>
          <w:tcPr>
            <w:tcW w:w="10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1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122.8</w:t>
            </w:r>
          </w:p>
        </w:tc>
        <w:tc>
          <w:tcPr>
            <w:tcW w:w="0" w:type="dxa"/>
            <w:vAlign w:val="bottom"/>
          </w:tcPr>
          <w:p>
            <w:pPr>
              <w:spacing w:after="0"/>
              <w:rPr>
                <w:sz w:val="1"/>
                <w:szCs w:val="1"/>
                <w:color w:val="auto"/>
              </w:rPr>
            </w:pPr>
          </w:p>
        </w:tc>
      </w:tr>
      <w:tr>
        <w:trPr>
          <w:trHeight w:val="140"/>
        </w:trPr>
        <w:tc>
          <w:tcPr>
            <w:tcW w:w="7480" w:type="dxa"/>
            <w:vAlign w:val="bottom"/>
          </w:tcPr>
          <w:p>
            <w:pPr>
              <w:ind w:left="460"/>
              <w:spacing w:after="0"/>
              <w:rPr>
                <w:sz w:val="20"/>
                <w:szCs w:val="20"/>
                <w:color w:val="auto"/>
              </w:rPr>
            </w:pPr>
            <w:r>
              <w:rPr>
                <w:rFonts w:ascii="Arial" w:cs="Arial" w:eastAsia="Arial" w:hAnsi="Arial"/>
                <w:sz w:val="11"/>
                <w:szCs w:val="11"/>
                <w:color w:val="auto"/>
              </w:rPr>
              <w:t>Amounts due from Becton, Dickinson and Company</w:t>
            </w:r>
          </w:p>
        </w:tc>
        <w:tc>
          <w:tcPr>
            <w:tcW w:w="14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142.4</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tcPr>
          <w:p>
            <w:pPr>
              <w:jc w:val="right"/>
              <w:ind w:right="6"/>
              <w:spacing w:after="0"/>
              <w:rPr>
                <w:sz w:val="20"/>
                <w:szCs w:val="20"/>
                <w:color w:val="auto"/>
              </w:rPr>
            </w:pPr>
            <w:r>
              <w:rPr>
                <w:rFonts w:ascii="Arial" w:cs="Arial" w:eastAsia="Arial" w:hAnsi="Arial"/>
                <w:sz w:val="11"/>
                <w:szCs w:val="11"/>
                <w:color w:val="auto"/>
              </w:rPr>
              <w:t>110.9</w:t>
            </w:r>
          </w:p>
        </w:tc>
        <w:tc>
          <w:tcPr>
            <w:tcW w:w="0" w:type="dxa"/>
            <w:vAlign w:val="bottom"/>
          </w:tcPr>
          <w:p>
            <w:pPr>
              <w:spacing w:after="0"/>
              <w:rPr>
                <w:sz w:val="1"/>
                <w:szCs w:val="1"/>
                <w:color w:val="auto"/>
              </w:rPr>
            </w:pPr>
          </w:p>
        </w:tc>
      </w:tr>
      <w:tr>
        <w:trPr>
          <w:trHeight w:val="22"/>
        </w:trPr>
        <w:tc>
          <w:tcPr>
            <w:tcW w:w="74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74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1"/>
                <w:szCs w:val="11"/>
                <w:color w:val="auto"/>
              </w:rPr>
              <w:t>Prepaid expenses and other</w:t>
            </w:r>
          </w:p>
        </w:tc>
        <w:tc>
          <w:tcPr>
            <w:tcW w:w="144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111.4</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77.9</w:t>
            </w:r>
          </w:p>
        </w:tc>
        <w:tc>
          <w:tcPr>
            <w:tcW w:w="0" w:type="dxa"/>
            <w:vAlign w:val="bottom"/>
          </w:tcPr>
          <w:p>
            <w:pPr>
              <w:spacing w:after="0"/>
              <w:rPr>
                <w:sz w:val="1"/>
                <w:szCs w:val="1"/>
                <w:color w:val="auto"/>
              </w:rPr>
            </w:pPr>
          </w:p>
        </w:tc>
      </w:tr>
      <w:tr>
        <w:trPr>
          <w:trHeight w:val="129"/>
        </w:trPr>
        <w:tc>
          <w:tcPr>
            <w:tcW w:w="7480" w:type="dxa"/>
            <w:vAlign w:val="bottom"/>
          </w:tcPr>
          <w:p>
            <w:pPr>
              <w:ind w:left="700"/>
              <w:spacing w:after="0" w:line="120" w:lineRule="exact"/>
              <w:rPr>
                <w:sz w:val="20"/>
                <w:szCs w:val="20"/>
                <w:color w:val="auto"/>
              </w:rPr>
            </w:pPr>
            <w:r>
              <w:rPr>
                <w:rFonts w:ascii="Arial" w:cs="Arial" w:eastAsia="Arial" w:hAnsi="Arial"/>
                <w:sz w:val="11"/>
                <w:szCs w:val="11"/>
                <w:color w:val="auto"/>
              </w:rPr>
              <w:t>Total Current Assets</w:t>
            </w:r>
          </w:p>
        </w:tc>
        <w:tc>
          <w:tcPr>
            <w:tcW w:w="1440" w:type="dxa"/>
            <w:vAlign w:val="bottom"/>
            <w:tcBorders>
              <w:top w:val="single" w:sz="8" w:color="auto"/>
            </w:tcBorders>
          </w:tcPr>
          <w:p>
            <w:pPr>
              <w:jc w:val="right"/>
              <w:ind w:right="1306"/>
              <w:spacing w:after="0"/>
              <w:rPr>
                <w:sz w:val="20"/>
                <w:szCs w:val="20"/>
                <w:color w:val="auto"/>
              </w:rPr>
            </w:pPr>
            <w:r>
              <w:rPr>
                <w:rFonts w:ascii="Arial" w:cs="Arial" w:eastAsia="Arial" w:hAnsi="Arial"/>
                <w:sz w:val="11"/>
                <w:szCs w:val="11"/>
                <w:color w:val="auto"/>
                <w:w w:val="97"/>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749.1</w:t>
            </w:r>
          </w:p>
        </w:tc>
        <w:tc>
          <w:tcPr>
            <w:tcW w:w="100" w:type="dxa"/>
            <w:vAlign w:val="bottom"/>
          </w:tcPr>
          <w:p>
            <w:pPr>
              <w:spacing w:after="0"/>
              <w:rPr>
                <w:sz w:val="11"/>
                <w:szCs w:val="11"/>
                <w:color w:val="auto"/>
              </w:rPr>
            </w:pPr>
          </w:p>
        </w:tc>
        <w:tc>
          <w:tcPr>
            <w:tcW w:w="240" w:type="dxa"/>
            <w:vAlign w:val="bottom"/>
            <w:tcBorders>
              <w:top w:val="single" w:sz="8" w:color="auto"/>
            </w:tcBorders>
          </w:tcPr>
          <w:p>
            <w:pPr>
              <w:jc w:val="right"/>
              <w:ind w:right="131"/>
              <w:spacing w:after="0"/>
              <w:rPr>
                <w:sz w:val="20"/>
                <w:szCs w:val="20"/>
                <w:color w:val="auto"/>
              </w:rPr>
            </w:pPr>
            <w:r>
              <w:rPr>
                <w:rFonts w:ascii="Arial" w:cs="Arial" w:eastAsia="Arial" w:hAnsi="Arial"/>
                <w:sz w:val="10"/>
                <w:szCs w:val="10"/>
                <w:color w:val="auto"/>
                <w:w w:val="71"/>
              </w:rPr>
              <w:t>$</w:t>
            </w:r>
          </w:p>
        </w:tc>
        <w:tc>
          <w:tcPr>
            <w:tcW w:w="16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664.7</w:t>
            </w:r>
          </w:p>
        </w:tc>
        <w:tc>
          <w:tcPr>
            <w:tcW w:w="0" w:type="dxa"/>
            <w:vAlign w:val="bottom"/>
          </w:tcPr>
          <w:p>
            <w:pPr>
              <w:spacing w:after="0"/>
              <w:rPr>
                <w:sz w:val="1"/>
                <w:szCs w:val="1"/>
                <w:color w:val="auto"/>
              </w:rPr>
            </w:pPr>
          </w:p>
        </w:tc>
      </w:tr>
      <w:tr>
        <w:trPr>
          <w:trHeight w:val="22"/>
        </w:trPr>
        <w:tc>
          <w:tcPr>
            <w:tcW w:w="74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Property, Plant and Equipment, Net</w:t>
            </w:r>
          </w:p>
        </w:tc>
        <w:tc>
          <w:tcPr>
            <w:tcW w:w="144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300.2</w:t>
            </w: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301.6</w:t>
            </w:r>
          </w:p>
        </w:tc>
        <w:tc>
          <w:tcPr>
            <w:tcW w:w="0" w:type="dxa"/>
            <w:vAlign w:val="bottom"/>
          </w:tcPr>
          <w:p>
            <w:pPr>
              <w:spacing w:after="0"/>
              <w:rPr>
                <w:sz w:val="1"/>
                <w:szCs w:val="1"/>
                <w:color w:val="auto"/>
              </w:rPr>
            </w:pPr>
          </w:p>
        </w:tc>
      </w:tr>
      <w:tr>
        <w:trPr>
          <w:trHeight w:val="140"/>
        </w:trPr>
        <w:tc>
          <w:tcPr>
            <w:tcW w:w="7480" w:type="dxa"/>
            <w:vAlign w:val="bottom"/>
          </w:tcPr>
          <w:p>
            <w:pPr>
              <w:spacing w:after="0"/>
              <w:rPr>
                <w:sz w:val="20"/>
                <w:szCs w:val="20"/>
                <w:color w:val="auto"/>
              </w:rPr>
            </w:pPr>
            <w:r>
              <w:rPr>
                <w:rFonts w:ascii="Arial" w:cs="Arial" w:eastAsia="Arial" w:hAnsi="Arial"/>
                <w:sz w:val="11"/>
                <w:szCs w:val="11"/>
                <w:color w:val="auto"/>
              </w:rPr>
              <w:t>Goodwill and Other Intangible Assets</w:t>
            </w:r>
          </w:p>
        </w:tc>
        <w:tc>
          <w:tcPr>
            <w:tcW w:w="14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24.7</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tcPr>
          <w:p>
            <w:pPr>
              <w:jc w:val="right"/>
              <w:ind w:right="6"/>
              <w:spacing w:after="0"/>
              <w:rPr>
                <w:sz w:val="20"/>
                <w:szCs w:val="20"/>
                <w:color w:val="auto"/>
              </w:rPr>
            </w:pPr>
            <w:r>
              <w:rPr>
                <w:rFonts w:ascii="Arial" w:cs="Arial" w:eastAsia="Arial" w:hAnsi="Arial"/>
                <w:sz w:val="11"/>
                <w:szCs w:val="11"/>
                <w:color w:val="auto"/>
              </w:rPr>
              <w:t>24.6</w:t>
            </w:r>
          </w:p>
        </w:tc>
        <w:tc>
          <w:tcPr>
            <w:tcW w:w="0" w:type="dxa"/>
            <w:vAlign w:val="bottom"/>
          </w:tcPr>
          <w:p>
            <w:pPr>
              <w:spacing w:after="0"/>
              <w:rPr>
                <w:sz w:val="1"/>
                <w:szCs w:val="1"/>
                <w:color w:val="auto"/>
              </w:rPr>
            </w:pPr>
          </w:p>
        </w:tc>
      </w:tr>
      <w:tr>
        <w:trPr>
          <w:trHeight w:val="22"/>
        </w:trPr>
        <w:tc>
          <w:tcPr>
            <w:tcW w:w="74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7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Deferred Income Taxes and Other Assets</w:t>
            </w:r>
          </w:p>
        </w:tc>
        <w:tc>
          <w:tcPr>
            <w:tcW w:w="144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140.4</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95.5</w:t>
            </w:r>
          </w:p>
        </w:tc>
        <w:tc>
          <w:tcPr>
            <w:tcW w:w="0" w:type="dxa"/>
            <w:vAlign w:val="bottom"/>
          </w:tcPr>
          <w:p>
            <w:pPr>
              <w:spacing w:after="0"/>
              <w:rPr>
                <w:sz w:val="1"/>
                <w:szCs w:val="1"/>
                <w:color w:val="auto"/>
              </w:rPr>
            </w:pPr>
          </w:p>
        </w:tc>
      </w:tr>
      <w:tr>
        <w:trPr>
          <w:trHeight w:val="129"/>
        </w:trPr>
        <w:tc>
          <w:tcPr>
            <w:tcW w:w="7480" w:type="dxa"/>
            <w:vAlign w:val="bottom"/>
          </w:tcPr>
          <w:p>
            <w:pPr>
              <w:spacing w:after="0" w:line="120" w:lineRule="exact"/>
              <w:rPr>
                <w:sz w:val="20"/>
                <w:szCs w:val="20"/>
                <w:color w:val="auto"/>
              </w:rPr>
            </w:pPr>
            <w:r>
              <w:rPr>
                <w:rFonts w:ascii="Arial" w:cs="Arial" w:eastAsia="Arial" w:hAnsi="Arial"/>
                <w:sz w:val="11"/>
                <w:szCs w:val="11"/>
                <w:color w:val="auto"/>
              </w:rPr>
              <w:t>Total Assets</w:t>
            </w:r>
          </w:p>
        </w:tc>
        <w:tc>
          <w:tcPr>
            <w:tcW w:w="1440" w:type="dxa"/>
            <w:vAlign w:val="bottom"/>
            <w:tcBorders>
              <w:top w:val="single" w:sz="8" w:color="auto"/>
            </w:tcBorders>
          </w:tcPr>
          <w:p>
            <w:pPr>
              <w:jc w:val="right"/>
              <w:ind w:right="1306"/>
              <w:spacing w:after="0"/>
              <w:rPr>
                <w:sz w:val="20"/>
                <w:szCs w:val="20"/>
                <w:color w:val="auto"/>
              </w:rPr>
            </w:pPr>
            <w:r>
              <w:rPr>
                <w:rFonts w:ascii="Arial" w:cs="Arial" w:eastAsia="Arial" w:hAnsi="Arial"/>
                <w:sz w:val="11"/>
                <w:szCs w:val="11"/>
                <w:color w:val="auto"/>
                <w:w w:val="97"/>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1,214.4</w:t>
            </w:r>
          </w:p>
        </w:tc>
        <w:tc>
          <w:tcPr>
            <w:tcW w:w="100" w:type="dxa"/>
            <w:vAlign w:val="bottom"/>
          </w:tcPr>
          <w:p>
            <w:pPr>
              <w:spacing w:after="0"/>
              <w:rPr>
                <w:sz w:val="11"/>
                <w:szCs w:val="11"/>
                <w:color w:val="auto"/>
              </w:rPr>
            </w:pPr>
          </w:p>
        </w:tc>
        <w:tc>
          <w:tcPr>
            <w:tcW w:w="240" w:type="dxa"/>
            <w:vAlign w:val="bottom"/>
            <w:tcBorders>
              <w:top w:val="single" w:sz="8" w:color="auto"/>
            </w:tcBorders>
          </w:tcPr>
          <w:p>
            <w:pPr>
              <w:jc w:val="right"/>
              <w:ind w:right="131"/>
              <w:spacing w:after="0"/>
              <w:rPr>
                <w:sz w:val="20"/>
                <w:szCs w:val="20"/>
                <w:color w:val="auto"/>
              </w:rPr>
            </w:pPr>
            <w:r>
              <w:rPr>
                <w:rFonts w:ascii="Arial" w:cs="Arial" w:eastAsia="Arial" w:hAnsi="Arial"/>
                <w:sz w:val="10"/>
                <w:szCs w:val="10"/>
                <w:color w:val="auto"/>
                <w:w w:val="71"/>
              </w:rPr>
              <w:t>$</w:t>
            </w:r>
          </w:p>
        </w:tc>
        <w:tc>
          <w:tcPr>
            <w:tcW w:w="16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1,086.4</w:t>
            </w:r>
          </w:p>
        </w:tc>
        <w:tc>
          <w:tcPr>
            <w:tcW w:w="0" w:type="dxa"/>
            <w:vAlign w:val="bottom"/>
          </w:tcPr>
          <w:p>
            <w:pPr>
              <w:spacing w:after="0"/>
              <w:rPr>
                <w:sz w:val="1"/>
                <w:szCs w:val="1"/>
                <w:color w:val="auto"/>
              </w:rPr>
            </w:pPr>
          </w:p>
        </w:tc>
      </w:tr>
      <w:tr>
        <w:trPr>
          <w:trHeight w:val="22"/>
        </w:trPr>
        <w:tc>
          <w:tcPr>
            <w:tcW w:w="748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748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Liabilities and Equity</w:t>
            </w:r>
          </w:p>
        </w:tc>
        <w:tc>
          <w:tcPr>
            <w:tcW w:w="14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7480" w:type="dxa"/>
            <w:vAlign w:val="bottom"/>
          </w:tcPr>
          <w:p>
            <w:pPr>
              <w:ind w:left="240"/>
              <w:spacing w:after="0"/>
              <w:rPr>
                <w:sz w:val="20"/>
                <w:szCs w:val="20"/>
                <w:color w:val="auto"/>
              </w:rPr>
            </w:pPr>
            <w:r>
              <w:rPr>
                <w:rFonts w:ascii="Arial" w:cs="Arial" w:eastAsia="Arial" w:hAnsi="Arial"/>
                <w:sz w:val="11"/>
                <w:szCs w:val="11"/>
                <w:color w:val="auto"/>
              </w:rPr>
              <w:t>Current Liabilities</w:t>
            </w:r>
          </w:p>
        </w:tc>
        <w:tc>
          <w:tcPr>
            <w:tcW w:w="1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74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4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1"/>
                <w:szCs w:val="11"/>
                <w:color w:val="auto"/>
              </w:rPr>
              <w:t>Accounts payable</w:t>
            </w:r>
          </w:p>
        </w:tc>
        <w:tc>
          <w:tcPr>
            <w:tcW w:w="1440" w:type="dxa"/>
            <w:vAlign w:val="bottom"/>
            <w:tcBorders>
              <w:bottom w:val="single" w:sz="8" w:color="CCEEFF"/>
            </w:tcBorders>
            <w:shd w:val="clear" w:color="auto" w:fill="CCEEFF"/>
          </w:tcPr>
          <w:p>
            <w:pPr>
              <w:jc w:val="right"/>
              <w:ind w:right="1306"/>
              <w:spacing w:after="0"/>
              <w:rPr>
                <w:sz w:val="20"/>
                <w:szCs w:val="20"/>
                <w:color w:val="auto"/>
              </w:rPr>
            </w:pPr>
            <w:r>
              <w:rPr>
                <w:rFonts w:ascii="Arial" w:cs="Arial" w:eastAsia="Arial" w:hAnsi="Arial"/>
                <w:sz w:val="11"/>
                <w:szCs w:val="11"/>
                <w:color w:val="auto"/>
                <w:w w:val="97"/>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53.5</w:t>
            </w: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1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41.4</w:t>
            </w:r>
          </w:p>
        </w:tc>
        <w:tc>
          <w:tcPr>
            <w:tcW w:w="0" w:type="dxa"/>
            <w:vAlign w:val="bottom"/>
          </w:tcPr>
          <w:p>
            <w:pPr>
              <w:spacing w:after="0"/>
              <w:rPr>
                <w:sz w:val="1"/>
                <w:szCs w:val="1"/>
                <w:color w:val="auto"/>
              </w:rPr>
            </w:pPr>
          </w:p>
        </w:tc>
      </w:tr>
      <w:tr>
        <w:trPr>
          <w:trHeight w:val="140"/>
        </w:trPr>
        <w:tc>
          <w:tcPr>
            <w:tcW w:w="7480" w:type="dxa"/>
            <w:vAlign w:val="bottom"/>
          </w:tcPr>
          <w:p>
            <w:pPr>
              <w:ind w:left="460"/>
              <w:spacing w:after="0"/>
              <w:rPr>
                <w:sz w:val="20"/>
                <w:szCs w:val="20"/>
                <w:color w:val="auto"/>
              </w:rPr>
            </w:pPr>
            <w:r>
              <w:rPr>
                <w:rFonts w:ascii="Arial" w:cs="Arial" w:eastAsia="Arial" w:hAnsi="Arial"/>
                <w:sz w:val="11"/>
                <w:szCs w:val="11"/>
                <w:color w:val="auto"/>
              </w:rPr>
              <w:t>Accrued expenses</w:t>
            </w:r>
          </w:p>
        </w:tc>
        <w:tc>
          <w:tcPr>
            <w:tcW w:w="14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118.1</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tcPr>
          <w:p>
            <w:pPr>
              <w:jc w:val="right"/>
              <w:ind w:right="6"/>
              <w:spacing w:after="0"/>
              <w:rPr>
                <w:sz w:val="20"/>
                <w:szCs w:val="20"/>
                <w:color w:val="auto"/>
              </w:rPr>
            </w:pPr>
            <w:r>
              <w:rPr>
                <w:rFonts w:ascii="Arial" w:cs="Arial" w:eastAsia="Arial" w:hAnsi="Arial"/>
                <w:sz w:val="11"/>
                <w:szCs w:val="11"/>
                <w:color w:val="auto"/>
              </w:rPr>
              <w:t>104.3</w:t>
            </w:r>
          </w:p>
        </w:tc>
        <w:tc>
          <w:tcPr>
            <w:tcW w:w="0" w:type="dxa"/>
            <w:vAlign w:val="bottom"/>
          </w:tcPr>
          <w:p>
            <w:pPr>
              <w:spacing w:after="0"/>
              <w:rPr>
                <w:sz w:val="1"/>
                <w:szCs w:val="1"/>
                <w:color w:val="auto"/>
              </w:rPr>
            </w:pPr>
          </w:p>
        </w:tc>
      </w:tr>
      <w:tr>
        <w:trPr>
          <w:trHeight w:val="22"/>
        </w:trPr>
        <w:tc>
          <w:tcPr>
            <w:tcW w:w="74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4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1"/>
                <w:szCs w:val="11"/>
                <w:color w:val="auto"/>
              </w:rPr>
              <w:t>Amounts due to Becton, Dickinson and Company</w:t>
            </w:r>
          </w:p>
        </w:tc>
        <w:tc>
          <w:tcPr>
            <w:tcW w:w="144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73.1</w:t>
            </w: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66.5</w:t>
            </w:r>
          </w:p>
        </w:tc>
        <w:tc>
          <w:tcPr>
            <w:tcW w:w="0" w:type="dxa"/>
            <w:vAlign w:val="bottom"/>
          </w:tcPr>
          <w:p>
            <w:pPr>
              <w:spacing w:after="0"/>
              <w:rPr>
                <w:sz w:val="1"/>
                <w:szCs w:val="1"/>
                <w:color w:val="auto"/>
              </w:rPr>
            </w:pPr>
          </w:p>
        </w:tc>
      </w:tr>
      <w:tr>
        <w:trPr>
          <w:trHeight w:val="140"/>
        </w:trPr>
        <w:tc>
          <w:tcPr>
            <w:tcW w:w="7480" w:type="dxa"/>
            <w:vAlign w:val="bottom"/>
          </w:tcPr>
          <w:p>
            <w:pPr>
              <w:ind w:left="460"/>
              <w:spacing w:after="0"/>
              <w:rPr>
                <w:sz w:val="20"/>
                <w:szCs w:val="20"/>
                <w:color w:val="auto"/>
              </w:rPr>
            </w:pPr>
            <w:r>
              <w:rPr>
                <w:rFonts w:ascii="Arial" w:cs="Arial" w:eastAsia="Arial" w:hAnsi="Arial"/>
                <w:sz w:val="11"/>
                <w:szCs w:val="11"/>
                <w:color w:val="auto"/>
              </w:rPr>
              <w:t>Salaries, wages and related items</w:t>
            </w:r>
          </w:p>
        </w:tc>
        <w:tc>
          <w:tcPr>
            <w:tcW w:w="14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62.1</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tcPr>
          <w:p>
            <w:pPr>
              <w:jc w:val="right"/>
              <w:ind w:right="6"/>
              <w:spacing w:after="0"/>
              <w:rPr>
                <w:sz w:val="20"/>
                <w:szCs w:val="20"/>
                <w:color w:val="auto"/>
              </w:rPr>
            </w:pPr>
            <w:r>
              <w:rPr>
                <w:rFonts w:ascii="Arial" w:cs="Arial" w:eastAsia="Arial" w:hAnsi="Arial"/>
                <w:sz w:val="11"/>
                <w:szCs w:val="11"/>
                <w:color w:val="auto"/>
              </w:rPr>
              <w:t>48.5</w:t>
            </w:r>
          </w:p>
        </w:tc>
        <w:tc>
          <w:tcPr>
            <w:tcW w:w="0" w:type="dxa"/>
            <w:vAlign w:val="bottom"/>
          </w:tcPr>
          <w:p>
            <w:pPr>
              <w:spacing w:after="0"/>
              <w:rPr>
                <w:sz w:val="1"/>
                <w:szCs w:val="1"/>
                <w:color w:val="auto"/>
              </w:rPr>
            </w:pPr>
          </w:p>
        </w:tc>
      </w:tr>
      <w:tr>
        <w:trPr>
          <w:trHeight w:val="22"/>
        </w:trPr>
        <w:tc>
          <w:tcPr>
            <w:tcW w:w="74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4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1"/>
                <w:szCs w:val="11"/>
                <w:color w:val="auto"/>
              </w:rPr>
              <w:t>Current debt obligations</w:t>
            </w:r>
          </w:p>
        </w:tc>
        <w:tc>
          <w:tcPr>
            <w:tcW w:w="144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9.5</w:t>
            </w: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9.5</w:t>
            </w:r>
          </w:p>
        </w:tc>
        <w:tc>
          <w:tcPr>
            <w:tcW w:w="0" w:type="dxa"/>
            <w:vAlign w:val="bottom"/>
          </w:tcPr>
          <w:p>
            <w:pPr>
              <w:spacing w:after="0"/>
              <w:rPr>
                <w:sz w:val="1"/>
                <w:szCs w:val="1"/>
                <w:color w:val="auto"/>
              </w:rPr>
            </w:pPr>
          </w:p>
        </w:tc>
      </w:tr>
      <w:tr>
        <w:trPr>
          <w:trHeight w:val="140"/>
        </w:trPr>
        <w:tc>
          <w:tcPr>
            <w:tcW w:w="7480" w:type="dxa"/>
            <w:vAlign w:val="bottom"/>
          </w:tcPr>
          <w:p>
            <w:pPr>
              <w:ind w:left="460"/>
              <w:spacing w:after="0"/>
              <w:rPr>
                <w:sz w:val="20"/>
                <w:szCs w:val="20"/>
                <w:color w:val="auto"/>
              </w:rPr>
            </w:pPr>
            <w:r>
              <w:rPr>
                <w:rFonts w:ascii="Arial" w:cs="Arial" w:eastAsia="Arial" w:hAnsi="Arial"/>
                <w:sz w:val="11"/>
                <w:szCs w:val="11"/>
                <w:color w:val="auto"/>
              </w:rPr>
              <w:t>Current finance lease liabilities</w:t>
            </w:r>
          </w:p>
        </w:tc>
        <w:tc>
          <w:tcPr>
            <w:tcW w:w="14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3.6</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tcPr>
          <w:p>
            <w:pPr>
              <w:jc w:val="right"/>
              <w:ind w:right="6"/>
              <w:spacing w:after="0"/>
              <w:rPr>
                <w:sz w:val="20"/>
                <w:szCs w:val="20"/>
                <w:color w:val="auto"/>
              </w:rPr>
            </w:pPr>
            <w:r>
              <w:rPr>
                <w:rFonts w:ascii="Arial" w:cs="Arial" w:eastAsia="Arial" w:hAnsi="Arial"/>
                <w:sz w:val="11"/>
                <w:szCs w:val="11"/>
                <w:color w:val="auto"/>
              </w:rPr>
              <w:t>3.6</w:t>
            </w:r>
          </w:p>
        </w:tc>
        <w:tc>
          <w:tcPr>
            <w:tcW w:w="0" w:type="dxa"/>
            <w:vAlign w:val="bottom"/>
          </w:tcPr>
          <w:p>
            <w:pPr>
              <w:spacing w:after="0"/>
              <w:rPr>
                <w:sz w:val="1"/>
                <w:szCs w:val="1"/>
                <w:color w:val="auto"/>
              </w:rPr>
            </w:pPr>
          </w:p>
        </w:tc>
      </w:tr>
      <w:tr>
        <w:trPr>
          <w:trHeight w:val="22"/>
        </w:trPr>
        <w:tc>
          <w:tcPr>
            <w:tcW w:w="74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74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1"/>
                <w:szCs w:val="11"/>
                <w:color w:val="auto"/>
              </w:rPr>
              <w:t>Income taxes</w:t>
            </w:r>
          </w:p>
        </w:tc>
        <w:tc>
          <w:tcPr>
            <w:tcW w:w="144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33.6</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27.2</w:t>
            </w:r>
          </w:p>
        </w:tc>
        <w:tc>
          <w:tcPr>
            <w:tcW w:w="0" w:type="dxa"/>
            <w:vAlign w:val="bottom"/>
          </w:tcPr>
          <w:p>
            <w:pPr>
              <w:spacing w:after="0"/>
              <w:rPr>
                <w:sz w:val="1"/>
                <w:szCs w:val="1"/>
                <w:color w:val="auto"/>
              </w:rPr>
            </w:pPr>
          </w:p>
        </w:tc>
      </w:tr>
      <w:tr>
        <w:trPr>
          <w:trHeight w:val="129"/>
        </w:trPr>
        <w:tc>
          <w:tcPr>
            <w:tcW w:w="7480" w:type="dxa"/>
            <w:vAlign w:val="bottom"/>
          </w:tcPr>
          <w:p>
            <w:pPr>
              <w:ind w:left="700"/>
              <w:spacing w:after="0" w:line="120" w:lineRule="exact"/>
              <w:rPr>
                <w:sz w:val="20"/>
                <w:szCs w:val="20"/>
                <w:color w:val="auto"/>
              </w:rPr>
            </w:pPr>
            <w:r>
              <w:rPr>
                <w:rFonts w:ascii="Arial" w:cs="Arial" w:eastAsia="Arial" w:hAnsi="Arial"/>
                <w:sz w:val="11"/>
                <w:szCs w:val="11"/>
                <w:color w:val="auto"/>
              </w:rPr>
              <w:t>Total Current Liabilities</w:t>
            </w:r>
          </w:p>
        </w:tc>
        <w:tc>
          <w:tcPr>
            <w:tcW w:w="1440" w:type="dxa"/>
            <w:vAlign w:val="bottom"/>
            <w:tcBorders>
              <w:top w:val="single" w:sz="8" w:color="auto"/>
            </w:tcBorders>
          </w:tcPr>
          <w:p>
            <w:pPr>
              <w:jc w:val="right"/>
              <w:ind w:right="1306"/>
              <w:spacing w:after="0"/>
              <w:rPr>
                <w:sz w:val="20"/>
                <w:szCs w:val="20"/>
                <w:color w:val="auto"/>
              </w:rPr>
            </w:pPr>
            <w:r>
              <w:rPr>
                <w:rFonts w:ascii="Arial" w:cs="Arial" w:eastAsia="Arial" w:hAnsi="Arial"/>
                <w:sz w:val="11"/>
                <w:szCs w:val="11"/>
                <w:color w:val="auto"/>
                <w:w w:val="97"/>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353.5</w:t>
            </w:r>
          </w:p>
        </w:tc>
        <w:tc>
          <w:tcPr>
            <w:tcW w:w="100" w:type="dxa"/>
            <w:vAlign w:val="bottom"/>
          </w:tcPr>
          <w:p>
            <w:pPr>
              <w:spacing w:after="0"/>
              <w:rPr>
                <w:sz w:val="11"/>
                <w:szCs w:val="11"/>
                <w:color w:val="auto"/>
              </w:rPr>
            </w:pPr>
          </w:p>
        </w:tc>
        <w:tc>
          <w:tcPr>
            <w:tcW w:w="240" w:type="dxa"/>
            <w:vAlign w:val="bottom"/>
            <w:tcBorders>
              <w:top w:val="single" w:sz="8" w:color="auto"/>
            </w:tcBorders>
          </w:tcPr>
          <w:p>
            <w:pPr>
              <w:jc w:val="right"/>
              <w:ind w:right="131"/>
              <w:spacing w:after="0"/>
              <w:rPr>
                <w:sz w:val="20"/>
                <w:szCs w:val="20"/>
                <w:color w:val="auto"/>
              </w:rPr>
            </w:pPr>
            <w:r>
              <w:rPr>
                <w:rFonts w:ascii="Arial" w:cs="Arial" w:eastAsia="Arial" w:hAnsi="Arial"/>
                <w:sz w:val="10"/>
                <w:szCs w:val="10"/>
                <w:color w:val="auto"/>
                <w:w w:val="71"/>
              </w:rPr>
              <w:t>$</w:t>
            </w:r>
          </w:p>
        </w:tc>
        <w:tc>
          <w:tcPr>
            <w:tcW w:w="16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301.0</w:t>
            </w:r>
          </w:p>
        </w:tc>
        <w:tc>
          <w:tcPr>
            <w:tcW w:w="0" w:type="dxa"/>
            <w:vAlign w:val="bottom"/>
          </w:tcPr>
          <w:p>
            <w:pPr>
              <w:spacing w:after="0"/>
              <w:rPr>
                <w:sz w:val="1"/>
                <w:szCs w:val="1"/>
                <w:color w:val="auto"/>
              </w:rPr>
            </w:pPr>
          </w:p>
        </w:tc>
      </w:tr>
      <w:tr>
        <w:trPr>
          <w:trHeight w:val="22"/>
        </w:trPr>
        <w:tc>
          <w:tcPr>
            <w:tcW w:w="74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Deferred Income Taxes and Other Liabilities</w:t>
            </w:r>
          </w:p>
        </w:tc>
        <w:tc>
          <w:tcPr>
            <w:tcW w:w="144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57.2</w:t>
            </w: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46.1</w:t>
            </w:r>
          </w:p>
        </w:tc>
        <w:tc>
          <w:tcPr>
            <w:tcW w:w="0" w:type="dxa"/>
            <w:vAlign w:val="bottom"/>
          </w:tcPr>
          <w:p>
            <w:pPr>
              <w:spacing w:after="0"/>
              <w:rPr>
                <w:sz w:val="1"/>
                <w:szCs w:val="1"/>
                <w:color w:val="auto"/>
              </w:rPr>
            </w:pPr>
          </w:p>
        </w:tc>
      </w:tr>
      <w:tr>
        <w:trPr>
          <w:trHeight w:val="140"/>
        </w:trPr>
        <w:tc>
          <w:tcPr>
            <w:tcW w:w="7480" w:type="dxa"/>
            <w:vAlign w:val="bottom"/>
          </w:tcPr>
          <w:p>
            <w:pPr>
              <w:spacing w:after="0"/>
              <w:rPr>
                <w:sz w:val="20"/>
                <w:szCs w:val="20"/>
                <w:color w:val="auto"/>
              </w:rPr>
            </w:pPr>
            <w:r>
              <w:rPr>
                <w:rFonts w:ascii="Arial" w:cs="Arial" w:eastAsia="Arial" w:hAnsi="Arial"/>
                <w:sz w:val="11"/>
                <w:szCs w:val="11"/>
                <w:color w:val="auto"/>
              </w:rPr>
              <w:t>Long-Term Debt</w:t>
            </w:r>
          </w:p>
        </w:tc>
        <w:tc>
          <w:tcPr>
            <w:tcW w:w="14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w w:val="97"/>
              </w:rPr>
              <w:t>1,593.9</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tcPr>
          <w:p>
            <w:pPr>
              <w:jc w:val="right"/>
              <w:ind w:right="6"/>
              <w:spacing w:after="0"/>
              <w:rPr>
                <w:sz w:val="20"/>
                <w:szCs w:val="20"/>
                <w:color w:val="auto"/>
              </w:rPr>
            </w:pPr>
            <w:r>
              <w:rPr>
                <w:rFonts w:ascii="Arial" w:cs="Arial" w:eastAsia="Arial" w:hAnsi="Arial"/>
                <w:sz w:val="11"/>
                <w:szCs w:val="11"/>
                <w:color w:val="auto"/>
              </w:rPr>
              <w:t>1,598.1</w:t>
            </w:r>
          </w:p>
        </w:tc>
        <w:tc>
          <w:tcPr>
            <w:tcW w:w="0" w:type="dxa"/>
            <w:vAlign w:val="bottom"/>
          </w:tcPr>
          <w:p>
            <w:pPr>
              <w:spacing w:after="0"/>
              <w:rPr>
                <w:sz w:val="1"/>
                <w:szCs w:val="1"/>
                <w:color w:val="auto"/>
              </w:rPr>
            </w:pPr>
          </w:p>
        </w:tc>
      </w:tr>
      <w:tr>
        <w:trPr>
          <w:trHeight w:val="22"/>
        </w:trPr>
        <w:tc>
          <w:tcPr>
            <w:tcW w:w="74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Non Current Finance Lease Liabilities</w:t>
            </w:r>
          </w:p>
        </w:tc>
        <w:tc>
          <w:tcPr>
            <w:tcW w:w="144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31.5</w:t>
            </w: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32.6</w:t>
            </w:r>
          </w:p>
        </w:tc>
        <w:tc>
          <w:tcPr>
            <w:tcW w:w="0" w:type="dxa"/>
            <w:vAlign w:val="bottom"/>
          </w:tcPr>
          <w:p>
            <w:pPr>
              <w:spacing w:after="0"/>
              <w:rPr>
                <w:sz w:val="1"/>
                <w:szCs w:val="1"/>
                <w:color w:val="auto"/>
              </w:rPr>
            </w:pPr>
          </w:p>
        </w:tc>
      </w:tr>
      <w:tr>
        <w:trPr>
          <w:trHeight w:val="140"/>
        </w:trPr>
        <w:tc>
          <w:tcPr>
            <w:tcW w:w="7480" w:type="dxa"/>
            <w:vAlign w:val="bottom"/>
          </w:tcPr>
          <w:p>
            <w:pPr>
              <w:spacing w:after="0"/>
              <w:rPr>
                <w:sz w:val="20"/>
                <w:szCs w:val="20"/>
                <w:color w:val="auto"/>
              </w:rPr>
            </w:pPr>
            <w:r>
              <w:rPr>
                <w:rFonts w:ascii="Arial" w:cs="Arial" w:eastAsia="Arial" w:hAnsi="Arial"/>
                <w:sz w:val="11"/>
                <w:szCs w:val="11"/>
                <w:color w:val="auto"/>
              </w:rPr>
              <w:t>Commitments and Contingencies</w:t>
            </w:r>
          </w:p>
        </w:tc>
        <w:tc>
          <w:tcPr>
            <w:tcW w:w="1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74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748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Embecta Corp. Equity</w:t>
            </w:r>
          </w:p>
        </w:tc>
        <w:tc>
          <w:tcPr>
            <w:tcW w:w="14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7480" w:type="dxa"/>
            <w:vAlign w:val="bottom"/>
          </w:tcPr>
          <w:p>
            <w:pPr>
              <w:ind w:left="460"/>
              <w:spacing w:after="0"/>
              <w:rPr>
                <w:sz w:val="20"/>
                <w:szCs w:val="20"/>
                <w:color w:val="auto"/>
              </w:rPr>
            </w:pPr>
            <w:r>
              <w:rPr>
                <w:rFonts w:ascii="Arial" w:cs="Arial" w:eastAsia="Arial" w:hAnsi="Arial"/>
                <w:sz w:val="11"/>
                <w:szCs w:val="11"/>
                <w:color w:val="auto"/>
              </w:rPr>
              <w:t>Common stock, $0.01 par value</w:t>
            </w:r>
          </w:p>
        </w:tc>
        <w:tc>
          <w:tcPr>
            <w:tcW w:w="1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7480" w:type="dxa"/>
            <w:vAlign w:val="bottom"/>
          </w:tcPr>
          <w:p>
            <w:pPr>
              <w:ind w:left="460"/>
              <w:spacing w:after="0"/>
              <w:rPr>
                <w:sz w:val="20"/>
                <w:szCs w:val="20"/>
                <w:color w:val="auto"/>
              </w:rPr>
            </w:pPr>
            <w:r>
              <w:rPr>
                <w:rFonts w:ascii="Arial" w:cs="Arial" w:eastAsia="Arial" w:hAnsi="Arial"/>
                <w:sz w:val="11"/>
                <w:szCs w:val="11"/>
                <w:color w:val="auto"/>
              </w:rPr>
              <w:t>Authorized - 250,000,000</w:t>
            </w:r>
          </w:p>
        </w:tc>
        <w:tc>
          <w:tcPr>
            <w:tcW w:w="144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1"/>
                <w:szCs w:val="11"/>
                <w:color w:val="auto"/>
              </w:rPr>
              <w:t>0.6</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20" w:type="dxa"/>
            <w:vAlign w:val="bottom"/>
            <w:vMerge w:val="restart"/>
          </w:tcPr>
          <w:p>
            <w:pPr>
              <w:jc w:val="right"/>
              <w:ind w:right="6"/>
              <w:spacing w:after="0"/>
              <w:rPr>
                <w:sz w:val="20"/>
                <w:szCs w:val="20"/>
                <w:color w:val="auto"/>
              </w:rPr>
            </w:pPr>
            <w:r>
              <w:rPr>
                <w:rFonts w:ascii="Arial" w:cs="Arial" w:eastAsia="Arial" w:hAnsi="Arial"/>
                <w:sz w:val="11"/>
                <w:szCs w:val="11"/>
                <w:color w:val="auto"/>
              </w:rPr>
              <w:t>0.6</w:t>
            </w:r>
          </w:p>
        </w:tc>
        <w:tc>
          <w:tcPr>
            <w:tcW w:w="0" w:type="dxa"/>
            <w:vAlign w:val="bottom"/>
          </w:tcPr>
          <w:p>
            <w:pPr>
              <w:spacing w:after="0"/>
              <w:rPr>
                <w:sz w:val="1"/>
                <w:szCs w:val="1"/>
                <w:color w:val="auto"/>
              </w:rPr>
            </w:pPr>
          </w:p>
        </w:tc>
      </w:tr>
      <w:tr>
        <w:trPr>
          <w:trHeight w:val="144"/>
        </w:trPr>
        <w:tc>
          <w:tcPr>
            <w:tcW w:w="7480" w:type="dxa"/>
            <w:vAlign w:val="bottom"/>
          </w:tcPr>
          <w:p>
            <w:pPr>
              <w:ind w:left="460"/>
              <w:spacing w:after="0"/>
              <w:rPr>
                <w:sz w:val="20"/>
                <w:szCs w:val="20"/>
                <w:color w:val="auto"/>
              </w:rPr>
            </w:pPr>
            <w:r>
              <w:rPr>
                <w:rFonts w:ascii="Arial" w:cs="Arial" w:eastAsia="Arial" w:hAnsi="Arial"/>
                <w:sz w:val="11"/>
                <w:szCs w:val="11"/>
                <w:color w:val="auto"/>
              </w:rPr>
              <w:t>Issued and outstanding - 57,333,353 as of September 30, 2023 and 57,055,327 as of September 30, 2022</w:t>
            </w:r>
          </w:p>
        </w:tc>
        <w:tc>
          <w:tcPr>
            <w:tcW w:w="144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4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1"/>
                <w:szCs w:val="11"/>
                <w:color w:val="auto"/>
              </w:rPr>
              <w:t>Additional paid-in capital</w:t>
            </w:r>
          </w:p>
        </w:tc>
        <w:tc>
          <w:tcPr>
            <w:tcW w:w="144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27.9</w:t>
            </w: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40"/>
        </w:trPr>
        <w:tc>
          <w:tcPr>
            <w:tcW w:w="7480" w:type="dxa"/>
            <w:vAlign w:val="bottom"/>
          </w:tcPr>
          <w:p>
            <w:pPr>
              <w:ind w:left="460"/>
              <w:spacing w:after="0"/>
              <w:rPr>
                <w:sz w:val="20"/>
                <w:szCs w:val="20"/>
                <w:color w:val="auto"/>
              </w:rPr>
            </w:pPr>
            <w:r>
              <w:rPr>
                <w:rFonts w:ascii="Arial" w:cs="Arial" w:eastAsia="Arial" w:hAnsi="Arial"/>
                <w:sz w:val="11"/>
                <w:szCs w:val="11"/>
                <w:color w:val="auto"/>
              </w:rPr>
              <w:t>Accumulated deficit</w:t>
            </w:r>
          </w:p>
        </w:tc>
        <w:tc>
          <w:tcPr>
            <w:tcW w:w="14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(541.1)</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tcPr>
          <w:p>
            <w:pPr>
              <w:jc w:val="right"/>
              <w:spacing w:after="0"/>
              <w:rPr>
                <w:sz w:val="20"/>
                <w:szCs w:val="20"/>
                <w:color w:val="auto"/>
              </w:rPr>
            </w:pPr>
            <w:r>
              <w:rPr>
                <w:rFonts w:ascii="Arial" w:cs="Arial" w:eastAsia="Arial" w:hAnsi="Arial"/>
                <w:sz w:val="11"/>
                <w:szCs w:val="11"/>
                <w:color w:val="auto"/>
              </w:rPr>
              <w:t>(577.1)</w:t>
            </w:r>
          </w:p>
        </w:tc>
        <w:tc>
          <w:tcPr>
            <w:tcW w:w="0" w:type="dxa"/>
            <w:vAlign w:val="bottom"/>
          </w:tcPr>
          <w:p>
            <w:pPr>
              <w:spacing w:after="0"/>
              <w:rPr>
                <w:sz w:val="1"/>
                <w:szCs w:val="1"/>
                <w:color w:val="auto"/>
              </w:rPr>
            </w:pPr>
          </w:p>
        </w:tc>
      </w:tr>
      <w:tr>
        <w:trPr>
          <w:trHeight w:val="22"/>
        </w:trPr>
        <w:tc>
          <w:tcPr>
            <w:tcW w:w="74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74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1"/>
                <w:szCs w:val="11"/>
                <w:color w:val="auto"/>
              </w:rPr>
              <w:t>Accumulated other comprehensive loss</w:t>
            </w:r>
          </w:p>
        </w:tc>
        <w:tc>
          <w:tcPr>
            <w:tcW w:w="144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(309.1)</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(324.9)</w:t>
            </w:r>
          </w:p>
        </w:tc>
        <w:tc>
          <w:tcPr>
            <w:tcW w:w="0" w:type="dxa"/>
            <w:vAlign w:val="bottom"/>
          </w:tcPr>
          <w:p>
            <w:pPr>
              <w:spacing w:after="0"/>
              <w:rPr>
                <w:sz w:val="1"/>
                <w:szCs w:val="1"/>
                <w:color w:val="auto"/>
              </w:rPr>
            </w:pPr>
          </w:p>
        </w:tc>
      </w:tr>
      <w:tr>
        <w:trPr>
          <w:trHeight w:val="129"/>
        </w:trPr>
        <w:tc>
          <w:tcPr>
            <w:tcW w:w="7480" w:type="dxa"/>
            <w:vAlign w:val="bottom"/>
          </w:tcPr>
          <w:p>
            <w:pPr>
              <w:ind w:left="700"/>
              <w:spacing w:after="0" w:line="120" w:lineRule="exact"/>
              <w:rPr>
                <w:sz w:val="20"/>
                <w:szCs w:val="20"/>
                <w:color w:val="auto"/>
              </w:rPr>
            </w:pPr>
            <w:r>
              <w:rPr>
                <w:rFonts w:ascii="Arial" w:cs="Arial" w:eastAsia="Arial" w:hAnsi="Arial"/>
                <w:sz w:val="11"/>
                <w:szCs w:val="11"/>
                <w:color w:val="auto"/>
              </w:rPr>
              <w:t>Total Equity</w:t>
            </w:r>
          </w:p>
        </w:tc>
        <w:tc>
          <w:tcPr>
            <w:tcW w:w="144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(821.7)</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(891.4)</w:t>
            </w:r>
          </w:p>
        </w:tc>
        <w:tc>
          <w:tcPr>
            <w:tcW w:w="0" w:type="dxa"/>
            <w:vAlign w:val="bottom"/>
          </w:tcPr>
          <w:p>
            <w:pPr>
              <w:spacing w:after="0"/>
              <w:rPr>
                <w:sz w:val="1"/>
                <w:szCs w:val="1"/>
                <w:color w:val="auto"/>
              </w:rPr>
            </w:pPr>
          </w:p>
        </w:tc>
      </w:tr>
      <w:tr>
        <w:trPr>
          <w:trHeight w:val="22"/>
        </w:trPr>
        <w:tc>
          <w:tcPr>
            <w:tcW w:w="748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1"/>
        </w:trPr>
        <w:tc>
          <w:tcPr>
            <w:tcW w:w="7480" w:type="dxa"/>
            <w:vAlign w:val="bottom"/>
            <w:tcBorders>
              <w:bottom w:val="single" w:sz="8" w:color="CCEEFF"/>
            </w:tcBorders>
            <w:shd w:val="clear" w:color="auto" w:fill="CCEEFF"/>
          </w:tcPr>
          <w:p>
            <w:pPr>
              <w:spacing w:after="0" w:line="120" w:lineRule="exact"/>
              <w:rPr>
                <w:sz w:val="20"/>
                <w:szCs w:val="20"/>
                <w:color w:val="auto"/>
              </w:rPr>
            </w:pPr>
            <w:r>
              <w:rPr>
                <w:rFonts w:ascii="Arial" w:cs="Arial" w:eastAsia="Arial" w:hAnsi="Arial"/>
                <w:sz w:val="11"/>
                <w:szCs w:val="11"/>
                <w:color w:val="auto"/>
              </w:rPr>
              <w:t>Total Liabilities and Equity</w:t>
            </w:r>
          </w:p>
        </w:tc>
        <w:tc>
          <w:tcPr>
            <w:tcW w:w="1440" w:type="dxa"/>
            <w:vAlign w:val="bottom"/>
            <w:tcBorders>
              <w:bottom w:val="single" w:sz="8" w:color="CCEEFF"/>
            </w:tcBorders>
            <w:shd w:val="clear" w:color="auto" w:fill="CCEEFF"/>
          </w:tcPr>
          <w:p>
            <w:pPr>
              <w:jc w:val="right"/>
              <w:ind w:right="1306"/>
              <w:spacing w:after="0"/>
              <w:rPr>
                <w:sz w:val="20"/>
                <w:szCs w:val="20"/>
                <w:color w:val="auto"/>
              </w:rPr>
            </w:pPr>
            <w:r>
              <w:rPr>
                <w:rFonts w:ascii="Arial" w:cs="Arial" w:eastAsia="Arial" w:hAnsi="Arial"/>
                <w:sz w:val="11"/>
                <w:szCs w:val="11"/>
                <w:color w:val="auto"/>
                <w:w w:val="97"/>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1,214.4</w:t>
            </w:r>
          </w:p>
        </w:tc>
        <w:tc>
          <w:tcPr>
            <w:tcW w:w="10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1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1,086.4</w:t>
            </w:r>
          </w:p>
        </w:tc>
        <w:tc>
          <w:tcPr>
            <w:tcW w:w="0" w:type="dxa"/>
            <w:vAlign w:val="bottom"/>
          </w:tcPr>
          <w:p>
            <w:pPr>
              <w:spacing w:after="0"/>
              <w:rPr>
                <w:sz w:val="1"/>
                <w:szCs w:val="1"/>
                <w:color w:val="auto"/>
              </w:rPr>
            </w:pPr>
          </w:p>
        </w:tc>
      </w:tr>
      <w:tr>
        <w:trPr>
          <w:trHeight w:val="36"/>
        </w:trPr>
        <w:tc>
          <w:tcPr>
            <w:tcW w:w="7480" w:type="dxa"/>
            <w:vAlign w:val="bottom"/>
            <w:shd w:val="clear" w:color="auto" w:fill="CCEEFF"/>
          </w:tcPr>
          <w:p>
            <w:pPr>
              <w:spacing w:after="0"/>
              <w:rPr>
                <w:sz w:val="3"/>
                <w:szCs w:val="3"/>
                <w:color w:val="auto"/>
              </w:rPr>
            </w:pPr>
          </w:p>
        </w:tc>
        <w:tc>
          <w:tcPr>
            <w:tcW w:w="1440" w:type="dxa"/>
            <w:vAlign w:val="bottom"/>
            <w:shd w:val="clear" w:color="auto" w:fill="000000"/>
          </w:tcPr>
          <w:p>
            <w:pPr>
              <w:spacing w:after="0"/>
              <w:rPr>
                <w:sz w:val="3"/>
                <w:szCs w:val="3"/>
                <w:color w:val="auto"/>
              </w:rPr>
            </w:pPr>
          </w:p>
        </w:tc>
        <w:tc>
          <w:tcPr>
            <w:tcW w:w="420" w:type="dxa"/>
            <w:vAlign w:val="bottom"/>
            <w:shd w:val="clear" w:color="auto" w:fill="000000"/>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40" w:type="dxa"/>
            <w:vAlign w:val="bottom"/>
            <w:shd w:val="clear" w:color="auto" w:fill="000000"/>
          </w:tcPr>
          <w:p>
            <w:pPr>
              <w:spacing w:after="0"/>
              <w:rPr>
                <w:sz w:val="3"/>
                <w:szCs w:val="3"/>
                <w:color w:val="auto"/>
              </w:rPr>
            </w:pPr>
          </w:p>
        </w:tc>
        <w:tc>
          <w:tcPr>
            <w:tcW w:w="1620" w:type="dxa"/>
            <w:vAlign w:val="bottom"/>
            <w:shd w:val="clear" w:color="auto" w:fill="000000"/>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11"/>
          <w:szCs w:val="11"/>
          <w:color w:val="auto"/>
        </w:rPr>
        <w:t>5</w:t>
      </w:r>
    </w:p>
    <w:p>
      <w:pPr>
        <w:sectPr>
          <w:pgSz w:w="11900" w:h="16838" w:orient="portrait"/>
          <w:cols w:equalWidth="0" w:num="1">
            <w:col w:w="11300"/>
          </w:cols>
          <w:pgMar w:left="300" w:top="719" w:right="299" w:bottom="1440" w:gutter="0" w:footer="0" w:header="0"/>
        </w:sectPr>
      </w:pPr>
    </w:p>
    <w:bookmarkStart w:id="7" w:name="page8"/>
    <w:bookmarkEnd w:id="7"/>
    <w:p>
      <w:pPr>
        <w:ind w:left="4160"/>
        <w:spacing w:after="0"/>
        <w:rPr>
          <w:sz w:val="20"/>
          <w:szCs w:val="20"/>
          <w:color w:val="auto"/>
        </w:rPr>
      </w:pPr>
      <w:r>
        <w:rPr>
          <w:rFonts w:ascii="Arial" w:cs="Arial" w:eastAsia="Arial" w:hAnsi="Arial"/>
          <w:sz w:val="12"/>
          <w:szCs w:val="12"/>
          <w:b w:val="1"/>
          <w:bCs w:val="1"/>
          <w:color w:val="auto"/>
        </w:rPr>
        <w:t>Condensed Consolidated Statements of Cash Flows</w:t>
      </w:r>
    </w:p>
    <w:p>
      <w:pPr>
        <w:ind w:left="5220"/>
        <w:spacing w:after="0" w:line="206" w:lineRule="auto"/>
        <w:rPr>
          <w:sz w:val="20"/>
          <w:szCs w:val="20"/>
          <w:color w:val="auto"/>
        </w:rPr>
      </w:pPr>
      <w:r>
        <w:rPr>
          <w:rFonts w:ascii="Arial" w:cs="Arial" w:eastAsia="Arial" w:hAnsi="Arial"/>
          <w:sz w:val="12"/>
          <w:szCs w:val="12"/>
          <w:b w:val="1"/>
          <w:bCs w:val="1"/>
          <w:color w:val="auto"/>
        </w:rPr>
        <w:t>Embecta Corp.</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(Unaudited, in millions)</w:t>
      </w:r>
    </w:p>
    <w:p>
      <w:pPr>
        <w:jc w:val="center"/>
        <w:ind w:left="8260"/>
        <w:spacing w:after="0" w:line="236" w:lineRule="auto"/>
        <w:rPr>
          <w:sz w:val="20"/>
          <w:szCs w:val="20"/>
          <w:color w:val="auto"/>
        </w:rPr>
      </w:pPr>
      <w:r>
        <w:rPr>
          <w:rFonts w:ascii="Arial" w:cs="Arial" w:eastAsia="Arial" w:hAnsi="Arial"/>
          <w:sz w:val="11"/>
          <w:szCs w:val="11"/>
          <w:b w:val="1"/>
          <w:bCs w:val="1"/>
          <w:color w:val="auto"/>
        </w:rPr>
        <w:t>Twelve Months Ended</w:t>
      </w:r>
    </w:p>
    <w:p>
      <w:pPr>
        <w:jc w:val="center"/>
        <w:ind w:left="8260"/>
        <w:spacing w:after="0"/>
        <w:rPr>
          <w:sz w:val="20"/>
          <w:szCs w:val="20"/>
          <w:color w:val="auto"/>
        </w:rPr>
      </w:pPr>
      <w:r>
        <w:rPr>
          <w:rFonts w:ascii="Arial" w:cs="Arial" w:eastAsia="Arial" w:hAnsi="Arial"/>
          <w:sz w:val="11"/>
          <w:szCs w:val="11"/>
          <w:b w:val="1"/>
          <w:bCs w:val="1"/>
          <w:color w:val="auto"/>
        </w:rPr>
        <w:t>September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2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Operating Activities</w:t>
            </w:r>
          </w:p>
        </w:tc>
        <w:tc>
          <w:tcPr>
            <w:tcW w:w="100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2023</w:t>
            </w:r>
          </w:p>
        </w:tc>
        <w:tc>
          <w:tcPr>
            <w:tcW w:w="4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546"/>
              <w:spacing w:after="0"/>
              <w:rPr>
                <w:sz w:val="20"/>
                <w:szCs w:val="20"/>
                <w:color w:val="auto"/>
              </w:rPr>
            </w:pPr>
            <w:r>
              <w:rPr>
                <w:rFonts w:ascii="Arial" w:cs="Arial" w:eastAsia="Arial" w:hAnsi="Arial"/>
                <w:sz w:val="11"/>
                <w:szCs w:val="11"/>
                <w:b w:val="1"/>
                <w:bCs w:val="1"/>
                <w:color w:val="auto"/>
              </w:rPr>
              <w:t>2022</w:t>
            </w:r>
          </w:p>
        </w:tc>
        <w:tc>
          <w:tcPr>
            <w:tcW w:w="0" w:type="dxa"/>
            <w:vAlign w:val="bottom"/>
          </w:tcPr>
          <w:p>
            <w:pPr>
              <w:spacing w:after="0"/>
              <w:rPr>
                <w:sz w:val="1"/>
                <w:szCs w:val="1"/>
                <w:color w:val="auto"/>
              </w:rPr>
            </w:pPr>
          </w:p>
        </w:tc>
      </w:tr>
      <w:tr>
        <w:trPr>
          <w:trHeight w:val="135"/>
        </w:trPr>
        <w:tc>
          <w:tcPr>
            <w:tcW w:w="828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Net income</w:t>
            </w:r>
          </w:p>
        </w:tc>
        <w:tc>
          <w:tcPr>
            <w:tcW w:w="1000" w:type="dxa"/>
            <w:vAlign w:val="bottom"/>
            <w:tcBorders>
              <w:bottom w:val="single" w:sz="8" w:color="CCEEFF"/>
            </w:tcBorders>
            <w:shd w:val="clear" w:color="auto" w:fill="CCEEFF"/>
          </w:tcPr>
          <w:p>
            <w:pPr>
              <w:jc w:val="right"/>
              <w:ind w:right="866"/>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70.4</w:t>
            </w:r>
          </w:p>
        </w:tc>
        <w:tc>
          <w:tcPr>
            <w:tcW w:w="8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jc w:val="right"/>
              <w:ind w:right="206"/>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223.6</w:t>
            </w:r>
          </w:p>
        </w:tc>
        <w:tc>
          <w:tcPr>
            <w:tcW w:w="0" w:type="dxa"/>
            <w:vAlign w:val="bottom"/>
          </w:tcPr>
          <w:p>
            <w:pPr>
              <w:spacing w:after="0"/>
              <w:rPr>
                <w:sz w:val="1"/>
                <w:szCs w:val="1"/>
                <w:color w:val="auto"/>
              </w:rPr>
            </w:pPr>
          </w:p>
        </w:tc>
      </w:tr>
      <w:tr>
        <w:trPr>
          <w:trHeight w:val="140"/>
        </w:trPr>
        <w:tc>
          <w:tcPr>
            <w:tcW w:w="8280" w:type="dxa"/>
            <w:vAlign w:val="bottom"/>
          </w:tcPr>
          <w:p>
            <w:pPr>
              <w:ind w:left="220"/>
              <w:spacing w:after="0"/>
              <w:rPr>
                <w:sz w:val="20"/>
                <w:szCs w:val="20"/>
                <w:color w:val="auto"/>
              </w:rPr>
            </w:pPr>
            <w:r>
              <w:rPr>
                <w:rFonts w:ascii="Arial" w:cs="Arial" w:eastAsia="Arial" w:hAnsi="Arial"/>
                <w:sz w:val="11"/>
                <w:szCs w:val="11"/>
                <w:color w:val="auto"/>
              </w:rPr>
              <w:t>Adjustments to net income to derive net cash provided by operating activities:</w:t>
            </w:r>
          </w:p>
        </w:tc>
        <w:tc>
          <w:tcPr>
            <w:tcW w:w="10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8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2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1"/>
                <w:szCs w:val="11"/>
                <w:color w:val="auto"/>
              </w:rPr>
              <w:t>Depreciation and amortization</w:t>
            </w:r>
          </w:p>
        </w:tc>
        <w:tc>
          <w:tcPr>
            <w:tcW w:w="100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32.6</w:t>
            </w:r>
          </w:p>
        </w:tc>
        <w:tc>
          <w:tcPr>
            <w:tcW w:w="8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31.7</w:t>
            </w:r>
          </w:p>
        </w:tc>
        <w:tc>
          <w:tcPr>
            <w:tcW w:w="0" w:type="dxa"/>
            <w:vAlign w:val="bottom"/>
          </w:tcPr>
          <w:p>
            <w:pPr>
              <w:spacing w:after="0"/>
              <w:rPr>
                <w:sz w:val="1"/>
                <w:szCs w:val="1"/>
                <w:color w:val="auto"/>
              </w:rPr>
            </w:pPr>
          </w:p>
        </w:tc>
      </w:tr>
      <w:tr>
        <w:trPr>
          <w:trHeight w:val="140"/>
        </w:trPr>
        <w:tc>
          <w:tcPr>
            <w:tcW w:w="8280" w:type="dxa"/>
            <w:vAlign w:val="bottom"/>
          </w:tcPr>
          <w:p>
            <w:pPr>
              <w:ind w:left="460"/>
              <w:spacing w:after="0"/>
              <w:rPr>
                <w:sz w:val="20"/>
                <w:szCs w:val="20"/>
                <w:color w:val="auto"/>
              </w:rPr>
            </w:pPr>
            <w:r>
              <w:rPr>
                <w:rFonts w:ascii="Arial" w:cs="Arial" w:eastAsia="Arial" w:hAnsi="Arial"/>
                <w:sz w:val="11"/>
                <w:szCs w:val="11"/>
                <w:color w:val="auto"/>
              </w:rPr>
              <w:t>Amortization of debt issuance costs</w:t>
            </w:r>
          </w:p>
        </w:tc>
        <w:tc>
          <w:tcPr>
            <w:tcW w:w="10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6.4</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3.2</w:t>
            </w:r>
          </w:p>
        </w:tc>
        <w:tc>
          <w:tcPr>
            <w:tcW w:w="0" w:type="dxa"/>
            <w:vAlign w:val="bottom"/>
          </w:tcPr>
          <w:p>
            <w:pPr>
              <w:spacing w:after="0"/>
              <w:rPr>
                <w:sz w:val="1"/>
                <w:szCs w:val="1"/>
                <w:color w:val="auto"/>
              </w:rPr>
            </w:pPr>
          </w:p>
        </w:tc>
      </w:tr>
      <w:tr>
        <w:trPr>
          <w:trHeight w:val="22"/>
        </w:trPr>
        <w:tc>
          <w:tcPr>
            <w:tcW w:w="8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2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1"/>
                <w:szCs w:val="11"/>
                <w:color w:val="auto"/>
              </w:rPr>
              <w:t>Impairment of property, plant and equipment</w:t>
            </w:r>
          </w:p>
        </w:tc>
        <w:tc>
          <w:tcPr>
            <w:tcW w:w="100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2.5</w:t>
            </w:r>
          </w:p>
        </w:tc>
        <w:tc>
          <w:tcPr>
            <w:tcW w:w="8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58.9</w:t>
            </w:r>
          </w:p>
        </w:tc>
        <w:tc>
          <w:tcPr>
            <w:tcW w:w="0" w:type="dxa"/>
            <w:vAlign w:val="bottom"/>
          </w:tcPr>
          <w:p>
            <w:pPr>
              <w:spacing w:after="0"/>
              <w:rPr>
                <w:sz w:val="1"/>
                <w:szCs w:val="1"/>
                <w:color w:val="auto"/>
              </w:rPr>
            </w:pPr>
          </w:p>
        </w:tc>
      </w:tr>
      <w:tr>
        <w:trPr>
          <w:trHeight w:val="140"/>
        </w:trPr>
        <w:tc>
          <w:tcPr>
            <w:tcW w:w="8280" w:type="dxa"/>
            <w:vAlign w:val="bottom"/>
          </w:tcPr>
          <w:p>
            <w:pPr>
              <w:ind w:left="460"/>
              <w:spacing w:after="0"/>
              <w:rPr>
                <w:sz w:val="20"/>
                <w:szCs w:val="20"/>
                <w:color w:val="auto"/>
              </w:rPr>
            </w:pPr>
            <w:r>
              <w:rPr>
                <w:rFonts w:ascii="Arial" w:cs="Arial" w:eastAsia="Arial" w:hAnsi="Arial"/>
                <w:sz w:val="11"/>
                <w:szCs w:val="11"/>
                <w:color w:val="auto"/>
              </w:rPr>
              <w:t>Stock-based compensation</w:t>
            </w:r>
          </w:p>
        </w:tc>
        <w:tc>
          <w:tcPr>
            <w:tcW w:w="10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21.5</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18.7</w:t>
            </w:r>
          </w:p>
        </w:tc>
        <w:tc>
          <w:tcPr>
            <w:tcW w:w="0" w:type="dxa"/>
            <w:vAlign w:val="bottom"/>
          </w:tcPr>
          <w:p>
            <w:pPr>
              <w:spacing w:after="0"/>
              <w:rPr>
                <w:sz w:val="1"/>
                <w:szCs w:val="1"/>
                <w:color w:val="auto"/>
              </w:rPr>
            </w:pPr>
          </w:p>
        </w:tc>
      </w:tr>
      <w:tr>
        <w:trPr>
          <w:trHeight w:val="22"/>
        </w:trPr>
        <w:tc>
          <w:tcPr>
            <w:tcW w:w="8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2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1"/>
                <w:szCs w:val="11"/>
                <w:color w:val="auto"/>
              </w:rPr>
              <w:t>Deferred income taxes</w:t>
            </w:r>
          </w:p>
        </w:tc>
        <w:tc>
          <w:tcPr>
            <w:tcW w:w="100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14.3</w:t>
            </w:r>
          </w:p>
        </w:tc>
        <w:tc>
          <w:tcPr>
            <w:tcW w:w="8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(26.5)</w:t>
            </w:r>
          </w:p>
        </w:tc>
        <w:tc>
          <w:tcPr>
            <w:tcW w:w="0" w:type="dxa"/>
            <w:vAlign w:val="bottom"/>
          </w:tcPr>
          <w:p>
            <w:pPr>
              <w:spacing w:after="0"/>
              <w:rPr>
                <w:sz w:val="1"/>
                <w:szCs w:val="1"/>
                <w:color w:val="auto"/>
              </w:rPr>
            </w:pPr>
          </w:p>
        </w:tc>
      </w:tr>
      <w:tr>
        <w:trPr>
          <w:trHeight w:val="140"/>
        </w:trPr>
        <w:tc>
          <w:tcPr>
            <w:tcW w:w="8280" w:type="dxa"/>
            <w:vAlign w:val="bottom"/>
          </w:tcPr>
          <w:p>
            <w:pPr>
              <w:ind w:left="460"/>
              <w:spacing w:after="0"/>
              <w:rPr>
                <w:sz w:val="20"/>
                <w:szCs w:val="20"/>
                <w:color w:val="auto"/>
              </w:rPr>
            </w:pPr>
            <w:r>
              <w:rPr>
                <w:rFonts w:ascii="Arial" w:cs="Arial" w:eastAsia="Arial" w:hAnsi="Arial"/>
                <w:sz w:val="11"/>
                <w:szCs w:val="11"/>
                <w:color w:val="auto"/>
              </w:rPr>
              <w:t>Change in operating assets and liabilities:</w:t>
            </w:r>
          </w:p>
        </w:tc>
        <w:tc>
          <w:tcPr>
            <w:tcW w:w="10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8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2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1"/>
                <w:szCs w:val="11"/>
                <w:color w:val="auto"/>
              </w:rPr>
              <w:t>Trade receivables, net</w:t>
            </w:r>
          </w:p>
        </w:tc>
        <w:tc>
          <w:tcPr>
            <w:tcW w:w="100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7.0</w:t>
            </w:r>
          </w:p>
        </w:tc>
        <w:tc>
          <w:tcPr>
            <w:tcW w:w="8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122.7</w:t>
            </w:r>
          </w:p>
        </w:tc>
        <w:tc>
          <w:tcPr>
            <w:tcW w:w="0" w:type="dxa"/>
            <w:vAlign w:val="bottom"/>
          </w:tcPr>
          <w:p>
            <w:pPr>
              <w:spacing w:after="0"/>
              <w:rPr>
                <w:sz w:val="1"/>
                <w:szCs w:val="1"/>
                <w:color w:val="auto"/>
              </w:rPr>
            </w:pPr>
          </w:p>
        </w:tc>
      </w:tr>
      <w:tr>
        <w:trPr>
          <w:trHeight w:val="140"/>
        </w:trPr>
        <w:tc>
          <w:tcPr>
            <w:tcW w:w="8280" w:type="dxa"/>
            <w:vAlign w:val="bottom"/>
          </w:tcPr>
          <w:p>
            <w:pPr>
              <w:ind w:left="700"/>
              <w:spacing w:after="0"/>
              <w:rPr>
                <w:sz w:val="20"/>
                <w:szCs w:val="20"/>
                <w:color w:val="auto"/>
              </w:rPr>
            </w:pPr>
            <w:r>
              <w:rPr>
                <w:rFonts w:ascii="Arial" w:cs="Arial" w:eastAsia="Arial" w:hAnsi="Arial"/>
                <w:sz w:val="11"/>
                <w:szCs w:val="11"/>
                <w:color w:val="auto"/>
              </w:rPr>
              <w:t>Inventories</w:t>
            </w:r>
          </w:p>
        </w:tc>
        <w:tc>
          <w:tcPr>
            <w:tcW w:w="10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(28.8)</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(23.4)</w:t>
            </w:r>
          </w:p>
        </w:tc>
        <w:tc>
          <w:tcPr>
            <w:tcW w:w="0" w:type="dxa"/>
            <w:vAlign w:val="bottom"/>
          </w:tcPr>
          <w:p>
            <w:pPr>
              <w:spacing w:after="0"/>
              <w:rPr>
                <w:sz w:val="1"/>
                <w:szCs w:val="1"/>
                <w:color w:val="auto"/>
              </w:rPr>
            </w:pPr>
          </w:p>
        </w:tc>
      </w:tr>
      <w:tr>
        <w:trPr>
          <w:trHeight w:val="22"/>
        </w:trPr>
        <w:tc>
          <w:tcPr>
            <w:tcW w:w="8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2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1"/>
                <w:szCs w:val="11"/>
                <w:color w:val="auto"/>
              </w:rPr>
              <w:t>Due from/due to Becton, Dickinson and Company</w:t>
            </w:r>
          </w:p>
        </w:tc>
        <w:tc>
          <w:tcPr>
            <w:tcW w:w="100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(23.2)</w:t>
            </w:r>
          </w:p>
        </w:tc>
        <w:tc>
          <w:tcPr>
            <w:tcW w:w="8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(47.0)</w:t>
            </w:r>
          </w:p>
        </w:tc>
        <w:tc>
          <w:tcPr>
            <w:tcW w:w="0" w:type="dxa"/>
            <w:vAlign w:val="bottom"/>
          </w:tcPr>
          <w:p>
            <w:pPr>
              <w:spacing w:after="0"/>
              <w:rPr>
                <w:sz w:val="1"/>
                <w:szCs w:val="1"/>
                <w:color w:val="auto"/>
              </w:rPr>
            </w:pPr>
          </w:p>
        </w:tc>
      </w:tr>
      <w:tr>
        <w:trPr>
          <w:trHeight w:val="140"/>
        </w:trPr>
        <w:tc>
          <w:tcPr>
            <w:tcW w:w="8280" w:type="dxa"/>
            <w:vAlign w:val="bottom"/>
          </w:tcPr>
          <w:p>
            <w:pPr>
              <w:ind w:left="700"/>
              <w:spacing w:after="0"/>
              <w:rPr>
                <w:sz w:val="20"/>
                <w:szCs w:val="20"/>
                <w:color w:val="auto"/>
              </w:rPr>
            </w:pPr>
            <w:r>
              <w:rPr>
                <w:rFonts w:ascii="Arial" w:cs="Arial" w:eastAsia="Arial" w:hAnsi="Arial"/>
                <w:sz w:val="11"/>
                <w:szCs w:val="11"/>
                <w:color w:val="auto"/>
              </w:rPr>
              <w:t>Prepaid expenses and other</w:t>
            </w:r>
          </w:p>
        </w:tc>
        <w:tc>
          <w:tcPr>
            <w:tcW w:w="10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(14.2)</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(44.0)</w:t>
            </w:r>
          </w:p>
        </w:tc>
        <w:tc>
          <w:tcPr>
            <w:tcW w:w="0" w:type="dxa"/>
            <w:vAlign w:val="bottom"/>
          </w:tcPr>
          <w:p>
            <w:pPr>
              <w:spacing w:after="0"/>
              <w:rPr>
                <w:sz w:val="1"/>
                <w:szCs w:val="1"/>
                <w:color w:val="auto"/>
              </w:rPr>
            </w:pPr>
          </w:p>
        </w:tc>
      </w:tr>
      <w:tr>
        <w:trPr>
          <w:trHeight w:val="22"/>
        </w:trPr>
        <w:tc>
          <w:tcPr>
            <w:tcW w:w="8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2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1"/>
                <w:szCs w:val="11"/>
                <w:color w:val="auto"/>
              </w:rPr>
              <w:t>Accounts payable, accrued expenses and other current liabilities</w:t>
            </w:r>
          </w:p>
        </w:tc>
        <w:tc>
          <w:tcPr>
            <w:tcW w:w="100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7.9</w:t>
            </w:r>
          </w:p>
        </w:tc>
        <w:tc>
          <w:tcPr>
            <w:tcW w:w="8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76.9</w:t>
            </w:r>
          </w:p>
        </w:tc>
        <w:tc>
          <w:tcPr>
            <w:tcW w:w="0" w:type="dxa"/>
            <w:vAlign w:val="bottom"/>
          </w:tcPr>
          <w:p>
            <w:pPr>
              <w:spacing w:after="0"/>
              <w:rPr>
                <w:sz w:val="1"/>
                <w:szCs w:val="1"/>
                <w:color w:val="auto"/>
              </w:rPr>
            </w:pPr>
          </w:p>
        </w:tc>
      </w:tr>
      <w:tr>
        <w:trPr>
          <w:trHeight w:val="140"/>
        </w:trPr>
        <w:tc>
          <w:tcPr>
            <w:tcW w:w="8280" w:type="dxa"/>
            <w:vAlign w:val="bottom"/>
          </w:tcPr>
          <w:p>
            <w:pPr>
              <w:ind w:left="700"/>
              <w:spacing w:after="0"/>
              <w:rPr>
                <w:sz w:val="20"/>
                <w:szCs w:val="20"/>
                <w:color w:val="auto"/>
              </w:rPr>
            </w:pPr>
            <w:r>
              <w:rPr>
                <w:rFonts w:ascii="Arial" w:cs="Arial" w:eastAsia="Arial" w:hAnsi="Arial"/>
                <w:sz w:val="11"/>
                <w:szCs w:val="11"/>
                <w:color w:val="auto"/>
              </w:rPr>
              <w:t>Income and other net taxes payable</w:t>
            </w:r>
          </w:p>
        </w:tc>
        <w:tc>
          <w:tcPr>
            <w:tcW w:w="10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(12.6)</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10.3</w:t>
            </w:r>
          </w:p>
        </w:tc>
        <w:tc>
          <w:tcPr>
            <w:tcW w:w="0" w:type="dxa"/>
            <w:vAlign w:val="bottom"/>
          </w:tcPr>
          <w:p>
            <w:pPr>
              <w:spacing w:after="0"/>
              <w:rPr>
                <w:sz w:val="1"/>
                <w:szCs w:val="1"/>
                <w:color w:val="auto"/>
              </w:rPr>
            </w:pPr>
          </w:p>
        </w:tc>
      </w:tr>
      <w:tr>
        <w:trPr>
          <w:trHeight w:val="22"/>
        </w:trPr>
        <w:tc>
          <w:tcPr>
            <w:tcW w:w="8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2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1"/>
                <w:szCs w:val="11"/>
                <w:color w:val="auto"/>
              </w:rPr>
              <w:t>Other assets and liabilities, net</w:t>
            </w:r>
          </w:p>
        </w:tc>
        <w:tc>
          <w:tcPr>
            <w:tcW w:w="100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(16.1)</w:t>
            </w: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7.1</w:t>
            </w:r>
          </w:p>
        </w:tc>
        <w:tc>
          <w:tcPr>
            <w:tcW w:w="0" w:type="dxa"/>
            <w:vAlign w:val="bottom"/>
          </w:tcPr>
          <w:p>
            <w:pPr>
              <w:spacing w:after="0"/>
              <w:rPr>
                <w:sz w:val="1"/>
                <w:szCs w:val="1"/>
                <w:color w:val="auto"/>
              </w:rPr>
            </w:pPr>
          </w:p>
        </w:tc>
      </w:tr>
      <w:tr>
        <w:trPr>
          <w:trHeight w:val="129"/>
        </w:trPr>
        <w:tc>
          <w:tcPr>
            <w:tcW w:w="8280" w:type="dxa"/>
            <w:vAlign w:val="bottom"/>
          </w:tcPr>
          <w:p>
            <w:pPr>
              <w:ind w:left="220"/>
              <w:spacing w:after="0" w:line="120" w:lineRule="exact"/>
              <w:rPr>
                <w:sz w:val="20"/>
                <w:szCs w:val="20"/>
                <w:color w:val="auto"/>
              </w:rPr>
            </w:pPr>
            <w:r>
              <w:rPr>
                <w:rFonts w:ascii="Arial" w:cs="Arial" w:eastAsia="Arial" w:hAnsi="Arial"/>
                <w:sz w:val="11"/>
                <w:szCs w:val="11"/>
                <w:color w:val="auto"/>
              </w:rPr>
              <w:t>Net Cash Provided by Operating Activities</w:t>
            </w:r>
          </w:p>
        </w:tc>
        <w:tc>
          <w:tcPr>
            <w:tcW w:w="1000" w:type="dxa"/>
            <w:vAlign w:val="bottom"/>
            <w:tcBorders>
              <w:top w:val="single" w:sz="8" w:color="auto"/>
            </w:tcBorders>
          </w:tcPr>
          <w:p>
            <w:pPr>
              <w:jc w:val="right"/>
              <w:ind w:right="866"/>
              <w:spacing w:after="0"/>
              <w:rPr>
                <w:sz w:val="20"/>
                <w:szCs w:val="20"/>
                <w:color w:val="auto"/>
              </w:rPr>
            </w:pPr>
            <w:r>
              <w:rPr>
                <w:rFonts w:ascii="Arial" w:cs="Arial" w:eastAsia="Arial" w:hAnsi="Arial"/>
                <w:sz w:val="11"/>
                <w:szCs w:val="11"/>
                <w:color w:val="auto"/>
                <w:w w:val="97"/>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67.7</w:t>
            </w:r>
          </w:p>
        </w:tc>
        <w:tc>
          <w:tcPr>
            <w:tcW w:w="80" w:type="dxa"/>
            <w:vAlign w:val="bottom"/>
          </w:tcPr>
          <w:p>
            <w:pPr>
              <w:spacing w:after="0"/>
              <w:rPr>
                <w:sz w:val="11"/>
                <w:szCs w:val="11"/>
                <w:color w:val="auto"/>
              </w:rPr>
            </w:pPr>
          </w:p>
        </w:tc>
        <w:tc>
          <w:tcPr>
            <w:tcW w:w="340" w:type="dxa"/>
            <w:vAlign w:val="bottom"/>
            <w:tcBorders>
              <w:top w:val="single" w:sz="8" w:color="auto"/>
            </w:tcBorders>
          </w:tcPr>
          <w:p>
            <w:pPr>
              <w:jc w:val="right"/>
              <w:ind w:right="206"/>
              <w:spacing w:after="0"/>
              <w:rPr>
                <w:sz w:val="20"/>
                <w:szCs w:val="20"/>
                <w:color w:val="auto"/>
              </w:rPr>
            </w:pPr>
            <w:r>
              <w:rPr>
                <w:rFonts w:ascii="Arial" w:cs="Arial" w:eastAsia="Arial" w:hAnsi="Arial"/>
                <w:sz w:val="11"/>
                <w:szCs w:val="11"/>
                <w:color w:val="auto"/>
                <w:w w:val="97"/>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412.2</w:t>
            </w:r>
          </w:p>
        </w:tc>
        <w:tc>
          <w:tcPr>
            <w:tcW w:w="0" w:type="dxa"/>
            <w:vAlign w:val="bottom"/>
          </w:tcPr>
          <w:p>
            <w:pPr>
              <w:spacing w:after="0"/>
              <w:rPr>
                <w:sz w:val="1"/>
                <w:szCs w:val="1"/>
                <w:color w:val="auto"/>
              </w:rPr>
            </w:pPr>
          </w:p>
        </w:tc>
      </w:tr>
      <w:tr>
        <w:trPr>
          <w:trHeight w:val="22"/>
        </w:trPr>
        <w:tc>
          <w:tcPr>
            <w:tcW w:w="82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828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Investing Activities</w:t>
            </w:r>
          </w:p>
        </w:tc>
        <w:tc>
          <w:tcPr>
            <w:tcW w:w="10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280" w:type="dxa"/>
            <w:vAlign w:val="bottom"/>
          </w:tcPr>
          <w:p>
            <w:pPr>
              <w:ind w:left="460"/>
              <w:spacing w:after="0"/>
              <w:rPr>
                <w:sz w:val="20"/>
                <w:szCs w:val="20"/>
                <w:color w:val="auto"/>
              </w:rPr>
            </w:pPr>
            <w:r>
              <w:rPr>
                <w:rFonts w:ascii="Arial" w:cs="Arial" w:eastAsia="Arial" w:hAnsi="Arial"/>
                <w:sz w:val="11"/>
                <w:szCs w:val="11"/>
                <w:color w:val="auto"/>
              </w:rPr>
              <w:t>Capital expenditures</w:t>
            </w:r>
          </w:p>
        </w:tc>
        <w:tc>
          <w:tcPr>
            <w:tcW w:w="10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(26.5)</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(23.6)</w:t>
            </w:r>
          </w:p>
        </w:tc>
        <w:tc>
          <w:tcPr>
            <w:tcW w:w="0" w:type="dxa"/>
            <w:vAlign w:val="bottom"/>
          </w:tcPr>
          <w:p>
            <w:pPr>
              <w:spacing w:after="0"/>
              <w:rPr>
                <w:sz w:val="1"/>
                <w:szCs w:val="1"/>
                <w:color w:val="auto"/>
              </w:rPr>
            </w:pPr>
          </w:p>
        </w:tc>
      </w:tr>
      <w:tr>
        <w:trPr>
          <w:trHeight w:val="22"/>
        </w:trPr>
        <w:tc>
          <w:tcPr>
            <w:tcW w:w="8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2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1"/>
                <w:szCs w:val="11"/>
                <w:color w:val="auto"/>
              </w:rPr>
              <w:t>Acquisition of intangible assets</w:t>
            </w:r>
          </w:p>
        </w:tc>
        <w:tc>
          <w:tcPr>
            <w:tcW w:w="100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(0.4)</w:t>
            </w:r>
          </w:p>
        </w:tc>
        <w:tc>
          <w:tcPr>
            <w:tcW w:w="0" w:type="dxa"/>
            <w:vAlign w:val="bottom"/>
          </w:tcPr>
          <w:p>
            <w:pPr>
              <w:spacing w:after="0"/>
              <w:rPr>
                <w:sz w:val="1"/>
                <w:szCs w:val="1"/>
                <w:color w:val="auto"/>
              </w:rPr>
            </w:pPr>
          </w:p>
        </w:tc>
      </w:tr>
      <w:tr>
        <w:trPr>
          <w:trHeight w:val="129"/>
        </w:trPr>
        <w:tc>
          <w:tcPr>
            <w:tcW w:w="8280" w:type="dxa"/>
            <w:vAlign w:val="bottom"/>
          </w:tcPr>
          <w:p>
            <w:pPr>
              <w:ind w:left="220"/>
              <w:spacing w:after="0" w:line="120" w:lineRule="exact"/>
              <w:rPr>
                <w:sz w:val="20"/>
                <w:szCs w:val="20"/>
                <w:color w:val="auto"/>
              </w:rPr>
            </w:pPr>
            <w:r>
              <w:rPr>
                <w:rFonts w:ascii="Arial" w:cs="Arial" w:eastAsia="Arial" w:hAnsi="Arial"/>
                <w:sz w:val="11"/>
                <w:szCs w:val="11"/>
                <w:color w:val="auto"/>
              </w:rPr>
              <w:t>Net Cash Used for Investing Activities</w:t>
            </w:r>
          </w:p>
        </w:tc>
        <w:tc>
          <w:tcPr>
            <w:tcW w:w="1000" w:type="dxa"/>
            <w:vAlign w:val="bottom"/>
            <w:tcBorders>
              <w:top w:val="single" w:sz="8" w:color="auto"/>
            </w:tcBorders>
          </w:tcPr>
          <w:p>
            <w:pPr>
              <w:jc w:val="right"/>
              <w:ind w:right="866"/>
              <w:spacing w:after="0"/>
              <w:rPr>
                <w:sz w:val="20"/>
                <w:szCs w:val="20"/>
                <w:color w:val="auto"/>
              </w:rPr>
            </w:pPr>
            <w:r>
              <w:rPr>
                <w:rFonts w:ascii="Arial" w:cs="Arial" w:eastAsia="Arial" w:hAnsi="Arial"/>
                <w:sz w:val="11"/>
                <w:szCs w:val="11"/>
                <w:color w:val="auto"/>
                <w:w w:val="97"/>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(26.5)</w:t>
            </w:r>
          </w:p>
        </w:tc>
        <w:tc>
          <w:tcPr>
            <w:tcW w:w="80" w:type="dxa"/>
            <w:vAlign w:val="bottom"/>
          </w:tcPr>
          <w:p>
            <w:pPr>
              <w:spacing w:after="0"/>
              <w:rPr>
                <w:sz w:val="11"/>
                <w:szCs w:val="11"/>
                <w:color w:val="auto"/>
              </w:rPr>
            </w:pPr>
          </w:p>
        </w:tc>
        <w:tc>
          <w:tcPr>
            <w:tcW w:w="340" w:type="dxa"/>
            <w:vAlign w:val="bottom"/>
            <w:tcBorders>
              <w:top w:val="single" w:sz="8" w:color="auto"/>
            </w:tcBorders>
          </w:tcPr>
          <w:p>
            <w:pPr>
              <w:jc w:val="right"/>
              <w:ind w:right="206"/>
              <w:spacing w:after="0"/>
              <w:rPr>
                <w:sz w:val="20"/>
                <w:szCs w:val="20"/>
                <w:color w:val="auto"/>
              </w:rPr>
            </w:pPr>
            <w:r>
              <w:rPr>
                <w:rFonts w:ascii="Arial" w:cs="Arial" w:eastAsia="Arial" w:hAnsi="Arial"/>
                <w:sz w:val="11"/>
                <w:szCs w:val="11"/>
                <w:color w:val="auto"/>
                <w:w w:val="97"/>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(24.0)</w:t>
            </w:r>
          </w:p>
        </w:tc>
        <w:tc>
          <w:tcPr>
            <w:tcW w:w="0" w:type="dxa"/>
            <w:vAlign w:val="bottom"/>
          </w:tcPr>
          <w:p>
            <w:pPr>
              <w:spacing w:after="0"/>
              <w:rPr>
                <w:sz w:val="1"/>
                <w:szCs w:val="1"/>
                <w:color w:val="auto"/>
              </w:rPr>
            </w:pPr>
          </w:p>
        </w:tc>
      </w:tr>
      <w:tr>
        <w:trPr>
          <w:trHeight w:val="22"/>
        </w:trPr>
        <w:tc>
          <w:tcPr>
            <w:tcW w:w="82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828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Financing Activities</w:t>
            </w:r>
          </w:p>
        </w:tc>
        <w:tc>
          <w:tcPr>
            <w:tcW w:w="10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280" w:type="dxa"/>
            <w:vAlign w:val="bottom"/>
          </w:tcPr>
          <w:p>
            <w:pPr>
              <w:ind w:left="460"/>
              <w:spacing w:after="0"/>
              <w:rPr>
                <w:sz w:val="20"/>
                <w:szCs w:val="20"/>
                <w:color w:val="auto"/>
              </w:rPr>
            </w:pPr>
            <w:r>
              <w:rPr>
                <w:rFonts w:ascii="Arial" w:cs="Arial" w:eastAsia="Arial" w:hAnsi="Arial"/>
                <w:sz w:val="11"/>
                <w:szCs w:val="11"/>
                <w:color w:val="auto"/>
              </w:rPr>
              <w:t>Proceeds from the issuance of long-term debt</w:t>
            </w:r>
          </w:p>
        </w:tc>
        <w:tc>
          <w:tcPr>
            <w:tcW w:w="1000" w:type="dxa"/>
            <w:vAlign w:val="bottom"/>
          </w:tcPr>
          <w:p>
            <w:pPr>
              <w:spacing w:after="0"/>
              <w:rPr>
                <w:sz w:val="12"/>
                <w:szCs w:val="12"/>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1,450.0</w:t>
            </w:r>
          </w:p>
        </w:tc>
        <w:tc>
          <w:tcPr>
            <w:tcW w:w="0" w:type="dxa"/>
            <w:vAlign w:val="bottom"/>
          </w:tcPr>
          <w:p>
            <w:pPr>
              <w:spacing w:after="0"/>
              <w:rPr>
                <w:sz w:val="1"/>
                <w:szCs w:val="1"/>
                <w:color w:val="auto"/>
              </w:rPr>
            </w:pPr>
          </w:p>
        </w:tc>
      </w:tr>
      <w:tr>
        <w:trPr>
          <w:trHeight w:val="22"/>
        </w:trPr>
        <w:tc>
          <w:tcPr>
            <w:tcW w:w="8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2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1"/>
                <w:szCs w:val="11"/>
                <w:color w:val="auto"/>
              </w:rPr>
              <w:t>Payments on long-term debt</w:t>
            </w:r>
          </w:p>
        </w:tc>
        <w:tc>
          <w:tcPr>
            <w:tcW w:w="100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(9.5)</w:t>
            </w:r>
          </w:p>
        </w:tc>
        <w:tc>
          <w:tcPr>
            <w:tcW w:w="8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(4.8)</w:t>
            </w:r>
          </w:p>
        </w:tc>
        <w:tc>
          <w:tcPr>
            <w:tcW w:w="0" w:type="dxa"/>
            <w:vAlign w:val="bottom"/>
          </w:tcPr>
          <w:p>
            <w:pPr>
              <w:spacing w:after="0"/>
              <w:rPr>
                <w:sz w:val="1"/>
                <w:szCs w:val="1"/>
                <w:color w:val="auto"/>
              </w:rPr>
            </w:pPr>
          </w:p>
        </w:tc>
      </w:tr>
      <w:tr>
        <w:trPr>
          <w:trHeight w:val="140"/>
        </w:trPr>
        <w:tc>
          <w:tcPr>
            <w:tcW w:w="8280" w:type="dxa"/>
            <w:vAlign w:val="bottom"/>
          </w:tcPr>
          <w:p>
            <w:pPr>
              <w:ind w:left="460"/>
              <w:spacing w:after="0"/>
              <w:rPr>
                <w:sz w:val="20"/>
                <w:szCs w:val="20"/>
                <w:color w:val="auto"/>
              </w:rPr>
            </w:pPr>
            <w:r>
              <w:rPr>
                <w:rFonts w:ascii="Arial" w:cs="Arial" w:eastAsia="Arial" w:hAnsi="Arial"/>
                <w:sz w:val="11"/>
                <w:szCs w:val="11"/>
                <w:color w:val="auto"/>
              </w:rPr>
              <w:t>Payment of long-term debt issuance costs</w:t>
            </w:r>
          </w:p>
        </w:tc>
        <w:tc>
          <w:tcPr>
            <w:tcW w:w="1000" w:type="dxa"/>
            <w:vAlign w:val="bottom"/>
          </w:tcPr>
          <w:p>
            <w:pPr>
              <w:spacing w:after="0"/>
              <w:rPr>
                <w:sz w:val="12"/>
                <w:szCs w:val="12"/>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(33.3)</w:t>
            </w:r>
          </w:p>
        </w:tc>
        <w:tc>
          <w:tcPr>
            <w:tcW w:w="0" w:type="dxa"/>
            <w:vAlign w:val="bottom"/>
          </w:tcPr>
          <w:p>
            <w:pPr>
              <w:spacing w:after="0"/>
              <w:rPr>
                <w:sz w:val="1"/>
                <w:szCs w:val="1"/>
                <w:color w:val="auto"/>
              </w:rPr>
            </w:pPr>
          </w:p>
        </w:tc>
      </w:tr>
      <w:tr>
        <w:trPr>
          <w:trHeight w:val="22"/>
        </w:trPr>
        <w:tc>
          <w:tcPr>
            <w:tcW w:w="8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2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1"/>
                <w:szCs w:val="11"/>
                <w:color w:val="auto"/>
              </w:rPr>
              <w:t>Payment of revolving credit facility fees</w:t>
            </w:r>
          </w:p>
        </w:tc>
        <w:tc>
          <w:tcPr>
            <w:tcW w:w="100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(5.6)</w:t>
            </w:r>
          </w:p>
        </w:tc>
        <w:tc>
          <w:tcPr>
            <w:tcW w:w="0" w:type="dxa"/>
            <w:vAlign w:val="bottom"/>
          </w:tcPr>
          <w:p>
            <w:pPr>
              <w:spacing w:after="0"/>
              <w:rPr>
                <w:sz w:val="1"/>
                <w:szCs w:val="1"/>
                <w:color w:val="auto"/>
              </w:rPr>
            </w:pPr>
          </w:p>
        </w:tc>
      </w:tr>
      <w:tr>
        <w:trPr>
          <w:trHeight w:val="140"/>
        </w:trPr>
        <w:tc>
          <w:tcPr>
            <w:tcW w:w="8280" w:type="dxa"/>
            <w:vAlign w:val="bottom"/>
          </w:tcPr>
          <w:p>
            <w:pPr>
              <w:ind w:left="460"/>
              <w:spacing w:after="0"/>
              <w:rPr>
                <w:sz w:val="20"/>
                <w:szCs w:val="20"/>
                <w:color w:val="auto"/>
              </w:rPr>
            </w:pPr>
            <w:r>
              <w:rPr>
                <w:rFonts w:ascii="Arial" w:cs="Arial" w:eastAsia="Arial" w:hAnsi="Arial"/>
                <w:sz w:val="11"/>
                <w:szCs w:val="11"/>
                <w:color w:val="auto"/>
              </w:rPr>
              <w:t>Payments related to tax withholding for stock-based compensation</w:t>
            </w:r>
          </w:p>
        </w:tc>
        <w:tc>
          <w:tcPr>
            <w:tcW w:w="10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(3.6)</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8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2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1"/>
                <w:szCs w:val="11"/>
                <w:color w:val="auto"/>
              </w:rPr>
              <w:t>Payments on finance lease</w:t>
            </w:r>
          </w:p>
        </w:tc>
        <w:tc>
          <w:tcPr>
            <w:tcW w:w="100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w:t>
            </w:r>
          </w:p>
        </w:tc>
        <w:tc>
          <w:tcPr>
            <w:tcW w:w="8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140"/>
        </w:trPr>
        <w:tc>
          <w:tcPr>
            <w:tcW w:w="8280" w:type="dxa"/>
            <w:vAlign w:val="bottom"/>
          </w:tcPr>
          <w:p>
            <w:pPr>
              <w:ind w:left="460"/>
              <w:spacing w:after="0"/>
              <w:rPr>
                <w:sz w:val="20"/>
                <w:szCs w:val="20"/>
                <w:color w:val="auto"/>
              </w:rPr>
            </w:pPr>
            <w:r>
              <w:rPr>
                <w:rFonts w:ascii="Arial" w:cs="Arial" w:eastAsia="Arial" w:hAnsi="Arial"/>
                <w:sz w:val="11"/>
                <w:szCs w:val="11"/>
                <w:color w:val="auto"/>
              </w:rPr>
              <w:t>Dividend payments</w:t>
            </w:r>
          </w:p>
        </w:tc>
        <w:tc>
          <w:tcPr>
            <w:tcW w:w="10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(34.4)</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(8.6)</w:t>
            </w:r>
          </w:p>
        </w:tc>
        <w:tc>
          <w:tcPr>
            <w:tcW w:w="0" w:type="dxa"/>
            <w:vAlign w:val="bottom"/>
          </w:tcPr>
          <w:p>
            <w:pPr>
              <w:spacing w:after="0"/>
              <w:rPr>
                <w:sz w:val="1"/>
                <w:szCs w:val="1"/>
                <w:color w:val="auto"/>
              </w:rPr>
            </w:pPr>
          </w:p>
        </w:tc>
      </w:tr>
      <w:tr>
        <w:trPr>
          <w:trHeight w:val="22"/>
        </w:trPr>
        <w:tc>
          <w:tcPr>
            <w:tcW w:w="8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2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1"/>
                <w:szCs w:val="11"/>
                <w:color w:val="auto"/>
              </w:rPr>
              <w:t>Net consideration paid to Becton, Dickinson and Company in connection with the Separation</w:t>
            </w:r>
          </w:p>
        </w:tc>
        <w:tc>
          <w:tcPr>
            <w:tcW w:w="100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(1,266.0)</w:t>
            </w:r>
          </w:p>
        </w:tc>
        <w:tc>
          <w:tcPr>
            <w:tcW w:w="0" w:type="dxa"/>
            <w:vAlign w:val="bottom"/>
          </w:tcPr>
          <w:p>
            <w:pPr>
              <w:spacing w:after="0"/>
              <w:rPr>
                <w:sz w:val="1"/>
                <w:szCs w:val="1"/>
                <w:color w:val="auto"/>
              </w:rPr>
            </w:pPr>
          </w:p>
        </w:tc>
      </w:tr>
      <w:tr>
        <w:trPr>
          <w:trHeight w:val="140"/>
        </w:trPr>
        <w:tc>
          <w:tcPr>
            <w:tcW w:w="8280" w:type="dxa"/>
            <w:vAlign w:val="bottom"/>
          </w:tcPr>
          <w:p>
            <w:pPr>
              <w:ind w:left="460"/>
              <w:spacing w:after="0"/>
              <w:rPr>
                <w:sz w:val="20"/>
                <w:szCs w:val="20"/>
                <w:color w:val="auto"/>
              </w:rPr>
            </w:pPr>
            <w:r>
              <w:rPr>
                <w:rFonts w:ascii="Arial" w:cs="Arial" w:eastAsia="Arial" w:hAnsi="Arial"/>
                <w:sz w:val="11"/>
                <w:szCs w:val="11"/>
                <w:color w:val="auto"/>
              </w:rPr>
              <w:t>Net transfers to Becton, Dickinson and Company</w:t>
            </w:r>
          </w:p>
        </w:tc>
        <w:tc>
          <w:tcPr>
            <w:tcW w:w="1000" w:type="dxa"/>
            <w:vAlign w:val="bottom"/>
          </w:tcPr>
          <w:p>
            <w:pPr>
              <w:spacing w:after="0"/>
              <w:rPr>
                <w:sz w:val="12"/>
                <w:szCs w:val="12"/>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(177.9)</w:t>
            </w:r>
          </w:p>
        </w:tc>
        <w:tc>
          <w:tcPr>
            <w:tcW w:w="0" w:type="dxa"/>
            <w:vAlign w:val="bottom"/>
          </w:tcPr>
          <w:p>
            <w:pPr>
              <w:spacing w:after="0"/>
              <w:rPr>
                <w:sz w:val="1"/>
                <w:szCs w:val="1"/>
                <w:color w:val="auto"/>
              </w:rPr>
            </w:pPr>
          </w:p>
        </w:tc>
      </w:tr>
      <w:tr>
        <w:trPr>
          <w:trHeight w:val="22"/>
        </w:trPr>
        <w:tc>
          <w:tcPr>
            <w:tcW w:w="82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8280" w:type="dxa"/>
            <w:vAlign w:val="bottom"/>
            <w:tcBorders>
              <w:bottom w:val="single" w:sz="8" w:color="CCEEFF"/>
            </w:tcBorders>
            <w:shd w:val="clear" w:color="auto" w:fill="CCEEFF"/>
          </w:tcPr>
          <w:p>
            <w:pPr>
              <w:ind w:left="220"/>
              <w:spacing w:after="0" w:line="120" w:lineRule="exact"/>
              <w:rPr>
                <w:sz w:val="20"/>
                <w:szCs w:val="20"/>
                <w:color w:val="auto"/>
              </w:rPr>
            </w:pPr>
            <w:r>
              <w:rPr>
                <w:rFonts w:ascii="Arial" w:cs="Arial" w:eastAsia="Arial" w:hAnsi="Arial"/>
                <w:sz w:val="11"/>
                <w:szCs w:val="11"/>
                <w:color w:val="auto"/>
              </w:rPr>
              <w:t>Net Cash Used for Financing Activities</w:t>
            </w:r>
          </w:p>
        </w:tc>
        <w:tc>
          <w:tcPr>
            <w:tcW w:w="1000" w:type="dxa"/>
            <w:vAlign w:val="bottom"/>
            <w:tcBorders>
              <w:bottom w:val="single" w:sz="8" w:color="CCEEFF"/>
            </w:tcBorders>
            <w:shd w:val="clear" w:color="auto" w:fill="CCEEFF"/>
          </w:tcPr>
          <w:p>
            <w:pPr>
              <w:jc w:val="right"/>
              <w:ind w:right="866"/>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(48.7)</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jc w:val="right"/>
              <w:ind w:right="206"/>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(48.0)</w:t>
            </w:r>
          </w:p>
        </w:tc>
        <w:tc>
          <w:tcPr>
            <w:tcW w:w="0" w:type="dxa"/>
            <w:vAlign w:val="bottom"/>
          </w:tcPr>
          <w:p>
            <w:pPr>
              <w:spacing w:after="0"/>
              <w:rPr>
                <w:sz w:val="1"/>
                <w:szCs w:val="1"/>
                <w:color w:val="auto"/>
              </w:rPr>
            </w:pPr>
          </w:p>
        </w:tc>
      </w:tr>
      <w:tr>
        <w:trPr>
          <w:trHeight w:val="129"/>
        </w:trPr>
        <w:tc>
          <w:tcPr>
            <w:tcW w:w="8280" w:type="dxa"/>
            <w:vAlign w:val="bottom"/>
          </w:tcPr>
          <w:p>
            <w:pPr>
              <w:ind w:left="220"/>
              <w:spacing w:after="0" w:line="120" w:lineRule="exact"/>
              <w:rPr>
                <w:sz w:val="20"/>
                <w:szCs w:val="20"/>
                <w:color w:val="auto"/>
              </w:rPr>
            </w:pPr>
            <w:r>
              <w:rPr>
                <w:rFonts w:ascii="Arial" w:cs="Arial" w:eastAsia="Arial" w:hAnsi="Arial"/>
                <w:sz w:val="11"/>
                <w:szCs w:val="11"/>
                <w:color w:val="auto"/>
              </w:rPr>
              <w:t>Effect of exchange rate changes on cash and cash equivalents</w:t>
            </w:r>
          </w:p>
        </w:tc>
        <w:tc>
          <w:tcPr>
            <w:tcW w:w="10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3.1</w:t>
            </w:r>
          </w:p>
        </w:tc>
        <w:tc>
          <w:tcPr>
            <w:tcW w:w="8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(9.3)</w:t>
            </w:r>
          </w:p>
        </w:tc>
        <w:tc>
          <w:tcPr>
            <w:tcW w:w="0" w:type="dxa"/>
            <w:vAlign w:val="bottom"/>
          </w:tcPr>
          <w:p>
            <w:pPr>
              <w:spacing w:after="0"/>
              <w:rPr>
                <w:sz w:val="1"/>
                <w:szCs w:val="1"/>
                <w:color w:val="auto"/>
              </w:rPr>
            </w:pPr>
          </w:p>
        </w:tc>
      </w:tr>
      <w:tr>
        <w:trPr>
          <w:trHeight w:val="22"/>
        </w:trPr>
        <w:tc>
          <w:tcPr>
            <w:tcW w:w="82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1"/>
        </w:trPr>
        <w:tc>
          <w:tcPr>
            <w:tcW w:w="8280" w:type="dxa"/>
            <w:vAlign w:val="bottom"/>
            <w:tcBorders>
              <w:bottom w:val="single" w:sz="8" w:color="CCEEFF"/>
            </w:tcBorders>
            <w:shd w:val="clear" w:color="auto" w:fill="CCEEFF"/>
          </w:tcPr>
          <w:p>
            <w:pPr>
              <w:ind w:left="220"/>
              <w:spacing w:after="0" w:line="120" w:lineRule="exact"/>
              <w:rPr>
                <w:sz w:val="20"/>
                <w:szCs w:val="20"/>
                <w:color w:val="auto"/>
              </w:rPr>
            </w:pPr>
            <w:r>
              <w:rPr>
                <w:rFonts w:ascii="Arial" w:cs="Arial" w:eastAsia="Arial" w:hAnsi="Arial"/>
                <w:sz w:val="11"/>
                <w:szCs w:val="11"/>
                <w:color w:val="auto"/>
              </w:rPr>
              <w:t>Net Change in Cash and cash equivalents</w:t>
            </w:r>
          </w:p>
        </w:tc>
        <w:tc>
          <w:tcPr>
            <w:tcW w:w="1000" w:type="dxa"/>
            <w:vAlign w:val="bottom"/>
            <w:tcBorders>
              <w:bottom w:val="single" w:sz="8" w:color="CCEEFF"/>
            </w:tcBorders>
            <w:shd w:val="clear" w:color="auto" w:fill="CCEEFF"/>
          </w:tcPr>
          <w:p>
            <w:pPr>
              <w:jc w:val="right"/>
              <w:ind w:right="866"/>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(4.4)</w:t>
            </w:r>
          </w:p>
        </w:tc>
        <w:tc>
          <w:tcPr>
            <w:tcW w:w="8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jc w:val="right"/>
              <w:ind w:right="206"/>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330.9</w:t>
            </w:r>
          </w:p>
        </w:tc>
        <w:tc>
          <w:tcPr>
            <w:tcW w:w="0" w:type="dxa"/>
            <w:vAlign w:val="bottom"/>
          </w:tcPr>
          <w:p>
            <w:pPr>
              <w:spacing w:after="0"/>
              <w:rPr>
                <w:sz w:val="1"/>
                <w:szCs w:val="1"/>
                <w:color w:val="auto"/>
              </w:rPr>
            </w:pPr>
          </w:p>
        </w:tc>
      </w:tr>
      <w:tr>
        <w:trPr>
          <w:trHeight w:val="140"/>
        </w:trPr>
        <w:tc>
          <w:tcPr>
            <w:tcW w:w="8280" w:type="dxa"/>
            <w:vAlign w:val="bottom"/>
          </w:tcPr>
          <w:p>
            <w:pPr>
              <w:ind w:left="220"/>
              <w:spacing w:after="0"/>
              <w:rPr>
                <w:sz w:val="20"/>
                <w:szCs w:val="20"/>
                <w:color w:val="auto"/>
              </w:rPr>
            </w:pPr>
            <w:r>
              <w:rPr>
                <w:rFonts w:ascii="Arial" w:cs="Arial" w:eastAsia="Arial" w:hAnsi="Arial"/>
                <w:sz w:val="11"/>
                <w:szCs w:val="11"/>
                <w:color w:val="auto"/>
              </w:rPr>
              <w:t>Opening Cash and cash equivalents</w:t>
            </w:r>
          </w:p>
        </w:tc>
        <w:tc>
          <w:tcPr>
            <w:tcW w:w="10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330.9</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82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1"/>
        </w:trPr>
        <w:tc>
          <w:tcPr>
            <w:tcW w:w="8280" w:type="dxa"/>
            <w:vAlign w:val="bottom"/>
            <w:tcBorders>
              <w:bottom w:val="single" w:sz="8" w:color="CCEEFF"/>
            </w:tcBorders>
            <w:shd w:val="clear" w:color="auto" w:fill="CCEEFF"/>
          </w:tcPr>
          <w:p>
            <w:pPr>
              <w:ind w:left="220"/>
              <w:spacing w:after="0" w:line="120" w:lineRule="exact"/>
              <w:rPr>
                <w:sz w:val="20"/>
                <w:szCs w:val="20"/>
                <w:color w:val="auto"/>
              </w:rPr>
            </w:pPr>
            <w:r>
              <w:rPr>
                <w:rFonts w:ascii="Arial" w:cs="Arial" w:eastAsia="Arial" w:hAnsi="Arial"/>
                <w:sz w:val="11"/>
                <w:szCs w:val="11"/>
                <w:color w:val="auto"/>
              </w:rPr>
              <w:t>Closing Cash and cash equivalents</w:t>
            </w:r>
          </w:p>
        </w:tc>
        <w:tc>
          <w:tcPr>
            <w:tcW w:w="1000" w:type="dxa"/>
            <w:vAlign w:val="bottom"/>
            <w:tcBorders>
              <w:bottom w:val="single" w:sz="8" w:color="CCEEFF"/>
            </w:tcBorders>
            <w:shd w:val="clear" w:color="auto" w:fill="CCEEFF"/>
          </w:tcPr>
          <w:p>
            <w:pPr>
              <w:jc w:val="right"/>
              <w:ind w:right="866"/>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326.5</w:t>
            </w:r>
          </w:p>
        </w:tc>
        <w:tc>
          <w:tcPr>
            <w:tcW w:w="8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jc w:val="right"/>
              <w:ind w:right="206"/>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330.9</w:t>
            </w:r>
          </w:p>
        </w:tc>
        <w:tc>
          <w:tcPr>
            <w:tcW w:w="0" w:type="dxa"/>
            <w:vAlign w:val="bottom"/>
          </w:tcPr>
          <w:p>
            <w:pPr>
              <w:spacing w:after="0"/>
              <w:rPr>
                <w:sz w:val="1"/>
                <w:szCs w:val="1"/>
                <w:color w:val="auto"/>
              </w:rPr>
            </w:pPr>
          </w:p>
        </w:tc>
      </w:tr>
      <w:tr>
        <w:trPr>
          <w:trHeight w:val="36"/>
        </w:trPr>
        <w:tc>
          <w:tcPr>
            <w:tcW w:w="8280" w:type="dxa"/>
            <w:vAlign w:val="bottom"/>
            <w:shd w:val="clear" w:color="auto" w:fill="CCEEFF"/>
          </w:tcPr>
          <w:p>
            <w:pPr>
              <w:spacing w:after="0"/>
              <w:rPr>
                <w:sz w:val="3"/>
                <w:szCs w:val="3"/>
                <w:color w:val="auto"/>
              </w:rPr>
            </w:pPr>
          </w:p>
        </w:tc>
        <w:tc>
          <w:tcPr>
            <w:tcW w:w="1000" w:type="dxa"/>
            <w:vAlign w:val="bottom"/>
            <w:shd w:val="clear" w:color="auto" w:fill="000000"/>
          </w:tcPr>
          <w:p>
            <w:pPr>
              <w:spacing w:after="0"/>
              <w:rPr>
                <w:sz w:val="3"/>
                <w:szCs w:val="3"/>
                <w:color w:val="auto"/>
              </w:rPr>
            </w:pPr>
          </w:p>
        </w:tc>
        <w:tc>
          <w:tcPr>
            <w:tcW w:w="460" w:type="dxa"/>
            <w:vAlign w:val="bottom"/>
            <w:shd w:val="clear" w:color="auto" w:fill="000000"/>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1120" w:type="dxa"/>
            <w:vAlign w:val="bottom"/>
            <w:shd w:val="clear" w:color="auto" w:fill="000000"/>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6</w:t>
      </w:r>
    </w:p>
    <w:p>
      <w:pPr>
        <w:sectPr>
          <w:pgSz w:w="11900" w:h="16838" w:orient="portrait"/>
          <w:cols w:equalWidth="0" w:num="1">
            <w:col w:w="11280"/>
          </w:cols>
          <w:pgMar w:left="300" w:top="881" w:right="319" w:bottom="1440" w:gutter="0" w:footer="0" w:header="0"/>
        </w:sectPr>
      </w:pPr>
    </w:p>
    <w:bookmarkStart w:id="8" w:name="page9"/>
    <w:bookmarkEnd w:id="8"/>
    <w:p>
      <w:pPr>
        <w:jc w:val="center"/>
        <w:spacing w:after="0"/>
        <w:rPr>
          <w:sz w:val="20"/>
          <w:szCs w:val="20"/>
          <w:color w:val="auto"/>
        </w:rPr>
      </w:pPr>
      <w:r>
        <w:rPr>
          <w:rFonts w:ascii="Arial" w:cs="Arial" w:eastAsia="Arial" w:hAnsi="Arial"/>
          <w:sz w:val="11"/>
          <w:szCs w:val="11"/>
          <w:b w:val="1"/>
          <w:bCs w:val="1"/>
          <w:u w:val="single" w:color="auto"/>
          <w:color w:val="auto"/>
        </w:rPr>
        <w:t>About Non-GAAP financial measures</w:t>
      </w:r>
    </w:p>
    <w:p>
      <w:pPr>
        <w:spacing w:after="0" w:line="132" w:lineRule="exact"/>
        <w:rPr>
          <w:sz w:val="20"/>
          <w:szCs w:val="20"/>
          <w:color w:val="auto"/>
        </w:rPr>
      </w:pPr>
    </w:p>
    <w:p>
      <w:pPr>
        <w:jc w:val="both"/>
        <w:spacing w:after="0" w:line="252" w:lineRule="auto"/>
        <w:rPr>
          <w:sz w:val="20"/>
          <w:szCs w:val="20"/>
          <w:color w:val="auto"/>
        </w:rPr>
      </w:pPr>
      <w:r>
        <w:rPr>
          <w:rFonts w:ascii="Arial" w:cs="Arial" w:eastAsia="Arial" w:hAnsi="Arial"/>
          <w:sz w:val="11"/>
          <w:szCs w:val="11"/>
          <w:color w:val="auto"/>
        </w:rPr>
        <w:t>In evaluating our operating performance, we supplement the reporting of our financial information determined under GAAP with certain non-GAAP financial measures including (i) earnings before interest, taxes, depreciation, and amortization (“EBITDA”), (ii) Adjusted EBITDA and Adjusted EBITDA Margin, (iii) Adjusted Gross Profit and Adjusted Gross Profit Margin, (iv) Constant Currency revenue growth, (v) Adjusted Operating Income and Adjusted Operating Income Margin (vi) Adjusted Pre-tax Income and, (vii) Adjusted Net Income and Adjusted earnings per diluted share. These non-GAAP financial measures are indicators of our performance that are not required by, or presented in accordance with, GAAP. They are presented with the intent of providing greater transparency to financial information used by us in our financial analysis and operational decision-making. We believe that these non-GAAP measures provide meaningful information to assist investors, stockholders and other readers of our consolidated financial statements in making comparisons to our historical operating results and analyzing the underlying performance of our results of operations. However, the presentation of these measures has limitations as an analytical tool and should not be considered in isolation, or as a substitute for the company’s results as reported under GAAP. Because not all companies use identical calculations, the presentations of these non-GAAP measures may not be comparable to other similarly titled measures of other companies. The Company uses non-GAAP financial measures in its operational and financial decision making, and believes that it is useful to exclude certain items in order to focus on what it regards to be a meaningful alternative representation of the underlying operating performance of the business.</w:t>
      </w:r>
    </w:p>
    <w:p>
      <w:pPr>
        <w:spacing w:after="0" w:line="92" w:lineRule="exact"/>
        <w:rPr>
          <w:sz w:val="20"/>
          <w:szCs w:val="20"/>
          <w:color w:val="auto"/>
        </w:rPr>
      </w:pPr>
    </w:p>
    <w:p>
      <w:pPr>
        <w:spacing w:after="0"/>
        <w:rPr>
          <w:sz w:val="20"/>
          <w:szCs w:val="20"/>
          <w:color w:val="auto"/>
        </w:rPr>
      </w:pPr>
      <w:r>
        <w:rPr>
          <w:rFonts w:ascii="Arial" w:cs="Arial" w:eastAsia="Arial" w:hAnsi="Arial"/>
          <w:sz w:val="11"/>
          <w:szCs w:val="11"/>
          <w:color w:val="auto"/>
        </w:rPr>
        <w:t>For the three- and twelve-month periods ended September 30, 2023 and 2022, the reconciliation of net income (loss) to EBITDA and adjusted EBITDA was as follows (unaudited, in millions)</w:t>
      </w:r>
    </w:p>
    <w:p>
      <w:pPr>
        <w:spacing w:after="0" w:line="172" w:lineRule="exact"/>
        <w:rPr>
          <w:sz w:val="20"/>
          <w:szCs w:val="20"/>
          <w:color w:val="auto"/>
        </w:rPr>
      </w:pPr>
    </w:p>
    <w:tbl>
      <w:tblPr>
        <w:tblLayout w:type="fixed"/>
        <w:tblInd w:w="440" w:type="dxa"/>
        <w:tblCellMar>
          <w:top w:w="0" w:type="dxa"/>
          <w:left w:w="0" w:type="dxa"/>
          <w:bottom w:w="0" w:type="dxa"/>
          <w:right w:w="0" w:type="dxa"/>
        </w:tblCellMar>
      </w:tblPr>
      <w:tr>
        <w:trPr>
          <w:trHeight w:val="146"/>
        </w:trPr>
        <w:tc>
          <w:tcPr>
            <w:tcW w:w="4600" w:type="dxa"/>
            <w:vAlign w:val="bottom"/>
          </w:tcPr>
          <w:p>
            <w:pPr>
              <w:spacing w:after="0"/>
              <w:rPr>
                <w:sz w:val="12"/>
                <w:szCs w:val="12"/>
                <w:color w:val="auto"/>
              </w:rPr>
            </w:pPr>
          </w:p>
        </w:tc>
        <w:tc>
          <w:tcPr>
            <w:tcW w:w="2400" w:type="dxa"/>
            <w:vAlign w:val="bottom"/>
            <w:tcBorders>
              <w:bottom w:val="single" w:sz="8" w:color="auto"/>
            </w:tcBorders>
            <w:gridSpan w:val="4"/>
          </w:tcPr>
          <w:p>
            <w:pPr>
              <w:jc w:val="right"/>
              <w:ind w:right="6"/>
              <w:spacing w:after="0"/>
              <w:rPr>
                <w:sz w:val="20"/>
                <w:szCs w:val="20"/>
                <w:color w:val="auto"/>
              </w:rPr>
            </w:pPr>
            <w:r>
              <w:rPr>
                <w:rFonts w:ascii="Arial" w:cs="Arial" w:eastAsia="Arial" w:hAnsi="Arial"/>
                <w:sz w:val="11"/>
                <w:szCs w:val="11"/>
                <w:b w:val="1"/>
                <w:bCs w:val="1"/>
                <w:color w:val="auto"/>
              </w:rPr>
              <w:t>Three Months Ended September 30,</w:t>
            </w:r>
          </w:p>
        </w:tc>
        <w:tc>
          <w:tcPr>
            <w:tcW w:w="4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420" w:type="dxa"/>
            <w:vAlign w:val="bottom"/>
            <w:tcBorders>
              <w:bottom w:val="single" w:sz="8" w:color="auto"/>
            </w:tcBorders>
            <w:gridSpan w:val="4"/>
          </w:tcPr>
          <w:p>
            <w:pPr>
              <w:jc w:val="right"/>
              <w:spacing w:after="0"/>
              <w:rPr>
                <w:sz w:val="20"/>
                <w:szCs w:val="20"/>
                <w:color w:val="auto"/>
              </w:rPr>
            </w:pPr>
            <w:r>
              <w:rPr>
                <w:rFonts w:ascii="Arial" w:cs="Arial" w:eastAsia="Arial" w:hAnsi="Arial"/>
                <w:sz w:val="11"/>
                <w:szCs w:val="11"/>
                <w:b w:val="1"/>
                <w:bCs w:val="1"/>
                <w:color w:val="auto"/>
              </w:rPr>
              <w:t>Twelve Months Ended September 30,</w:t>
            </w:r>
          </w:p>
        </w:tc>
        <w:tc>
          <w:tcPr>
            <w:tcW w:w="460" w:type="dxa"/>
            <w:vAlign w:val="bottom"/>
            <w:tcBorders>
              <w:bottom w:val="single" w:sz="8" w:color="auto"/>
            </w:tcBorders>
          </w:tcPr>
          <w:p>
            <w:pPr>
              <w:spacing w:after="0"/>
              <w:rPr>
                <w:sz w:val="12"/>
                <w:szCs w:val="12"/>
                <w:color w:val="auto"/>
              </w:rPr>
            </w:pPr>
          </w:p>
        </w:tc>
      </w:tr>
      <w:tr>
        <w:trPr>
          <w:trHeight w:val="207"/>
        </w:trPr>
        <w:tc>
          <w:tcPr>
            <w:tcW w:w="46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ind w:right="69"/>
              <w:spacing w:after="0"/>
              <w:rPr>
                <w:sz w:val="20"/>
                <w:szCs w:val="20"/>
                <w:color w:val="auto"/>
              </w:rPr>
            </w:pPr>
            <w:r>
              <w:rPr>
                <w:rFonts w:ascii="Arial" w:cs="Arial" w:eastAsia="Arial" w:hAnsi="Arial"/>
                <w:sz w:val="11"/>
                <w:szCs w:val="11"/>
                <w:b w:val="1"/>
                <w:bCs w:val="1"/>
                <w:color w:val="auto"/>
              </w:rPr>
              <w:t>2023</w:t>
            </w:r>
          </w:p>
        </w:tc>
        <w:tc>
          <w:tcPr>
            <w:tcW w:w="4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2022</w:t>
            </w:r>
          </w:p>
        </w:tc>
        <w:tc>
          <w:tcPr>
            <w:tcW w:w="4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b w:val="1"/>
                <w:bCs w:val="1"/>
                <w:color w:val="auto"/>
              </w:rPr>
              <w:t>2023</w:t>
            </w:r>
          </w:p>
        </w:tc>
        <w:tc>
          <w:tcPr>
            <w:tcW w:w="5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2022</w:t>
            </w:r>
          </w:p>
        </w:tc>
        <w:tc>
          <w:tcPr>
            <w:tcW w:w="460" w:type="dxa"/>
            <w:vAlign w:val="bottom"/>
            <w:tcBorders>
              <w:bottom w:val="single" w:sz="8" w:color="auto"/>
            </w:tcBorders>
          </w:tcPr>
          <w:p>
            <w:pPr>
              <w:spacing w:after="0"/>
              <w:rPr>
                <w:sz w:val="18"/>
                <w:szCs w:val="18"/>
                <w:color w:val="auto"/>
              </w:rPr>
            </w:pPr>
          </w:p>
        </w:tc>
      </w:tr>
      <w:tr>
        <w:trPr>
          <w:trHeight w:val="158"/>
        </w:trPr>
        <w:tc>
          <w:tcPr>
            <w:tcW w:w="46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GAAP Net Income</w:t>
            </w:r>
          </w:p>
        </w:tc>
        <w:tc>
          <w:tcPr>
            <w:tcW w:w="920" w:type="dxa"/>
            <w:vAlign w:val="bottom"/>
            <w:shd w:val="clear" w:color="auto" w:fill="CCEEFF"/>
          </w:tcPr>
          <w:p>
            <w:pPr>
              <w:jc w:val="right"/>
              <w:ind w:right="809"/>
              <w:spacing w:after="0"/>
              <w:rPr>
                <w:sz w:val="20"/>
                <w:szCs w:val="20"/>
                <w:color w:val="auto"/>
              </w:rPr>
            </w:pPr>
            <w:r>
              <w:rPr>
                <w:rFonts w:ascii="Arial" w:cs="Arial" w:eastAsia="Arial" w:hAnsi="Arial"/>
                <w:sz w:val="10"/>
                <w:szCs w:val="10"/>
                <w:b w:val="1"/>
                <w:bCs w:val="1"/>
                <w:color w:val="auto"/>
                <w:w w:val="71"/>
              </w:rPr>
              <w:t>$</w:t>
            </w:r>
          </w:p>
        </w:tc>
        <w:tc>
          <w:tcPr>
            <w:tcW w:w="460" w:type="dxa"/>
            <w:vAlign w:val="bottom"/>
            <w:shd w:val="clear" w:color="auto" w:fill="CCEEFF"/>
          </w:tcPr>
          <w:p>
            <w:pPr>
              <w:jc w:val="right"/>
              <w:ind w:right="86"/>
              <w:spacing w:after="0"/>
              <w:rPr>
                <w:sz w:val="20"/>
                <w:szCs w:val="20"/>
                <w:color w:val="auto"/>
              </w:rPr>
            </w:pPr>
            <w:r>
              <w:rPr>
                <w:rFonts w:ascii="Arial" w:cs="Arial" w:eastAsia="Arial" w:hAnsi="Arial"/>
                <w:sz w:val="11"/>
                <w:szCs w:val="11"/>
                <w:b w:val="1"/>
                <w:bCs w:val="1"/>
                <w:color w:val="auto"/>
              </w:rPr>
              <w:t>6.0</w:t>
            </w: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806"/>
              <w:spacing w:after="0"/>
              <w:rPr>
                <w:sz w:val="20"/>
                <w:szCs w:val="20"/>
                <w:color w:val="auto"/>
              </w:rPr>
            </w:pPr>
            <w:r>
              <w:rPr>
                <w:rFonts w:ascii="Arial" w:cs="Arial" w:eastAsia="Arial" w:hAnsi="Arial"/>
                <w:sz w:val="11"/>
                <w:szCs w:val="11"/>
                <w:b w:val="1"/>
                <w:bCs w:val="1"/>
                <w:color w:val="auto"/>
                <w:w w:val="97"/>
              </w:rPr>
              <w:t>$</w:t>
            </w:r>
          </w:p>
        </w:tc>
        <w:tc>
          <w:tcPr>
            <w:tcW w:w="460" w:type="dxa"/>
            <w:vAlign w:val="bottom"/>
            <w:shd w:val="clear" w:color="auto" w:fill="CCEEFF"/>
          </w:tcPr>
          <w:p>
            <w:pPr>
              <w:jc w:val="right"/>
              <w:ind w:right="46"/>
              <w:spacing w:after="0"/>
              <w:rPr>
                <w:sz w:val="20"/>
                <w:szCs w:val="20"/>
                <w:color w:val="auto"/>
              </w:rPr>
            </w:pPr>
            <w:r>
              <w:rPr>
                <w:rFonts w:ascii="Arial" w:cs="Arial" w:eastAsia="Arial" w:hAnsi="Arial"/>
                <w:sz w:val="11"/>
                <w:szCs w:val="11"/>
                <w:b w:val="1"/>
                <w:bCs w:val="1"/>
                <w:color w:val="auto"/>
              </w:rPr>
              <w:t>(17.2)</w:t>
            </w: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766"/>
              <w:spacing w:after="0"/>
              <w:rPr>
                <w:sz w:val="20"/>
                <w:szCs w:val="20"/>
                <w:color w:val="auto"/>
              </w:rPr>
            </w:pPr>
            <w:r>
              <w:rPr>
                <w:rFonts w:ascii="Arial" w:cs="Arial" w:eastAsia="Arial" w:hAnsi="Arial"/>
                <w:sz w:val="11"/>
                <w:szCs w:val="11"/>
                <w:b w:val="1"/>
                <w:bCs w:val="1"/>
                <w:color w:val="auto"/>
                <w:w w:val="97"/>
              </w:rPr>
              <w:t>$</w:t>
            </w:r>
          </w:p>
        </w:tc>
        <w:tc>
          <w:tcPr>
            <w:tcW w:w="500" w:type="dxa"/>
            <w:vAlign w:val="bottom"/>
            <w:shd w:val="clear" w:color="auto" w:fill="CCEEFF"/>
          </w:tcPr>
          <w:p>
            <w:pPr>
              <w:jc w:val="right"/>
              <w:ind w:right="86"/>
              <w:spacing w:after="0"/>
              <w:rPr>
                <w:sz w:val="20"/>
                <w:szCs w:val="20"/>
                <w:color w:val="auto"/>
              </w:rPr>
            </w:pPr>
            <w:r>
              <w:rPr>
                <w:rFonts w:ascii="Arial" w:cs="Arial" w:eastAsia="Arial" w:hAnsi="Arial"/>
                <w:sz w:val="11"/>
                <w:szCs w:val="11"/>
                <w:b w:val="1"/>
                <w:bCs w:val="1"/>
                <w:color w:val="auto"/>
              </w:rPr>
              <w:t>70.4</w:t>
            </w: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806"/>
              <w:spacing w:after="0"/>
              <w:rPr>
                <w:sz w:val="20"/>
                <w:szCs w:val="20"/>
                <w:color w:val="auto"/>
              </w:rPr>
            </w:pPr>
            <w:r>
              <w:rPr>
                <w:rFonts w:ascii="Arial" w:cs="Arial" w:eastAsia="Arial" w:hAnsi="Arial"/>
                <w:sz w:val="11"/>
                <w:szCs w:val="11"/>
                <w:b w:val="1"/>
                <w:bCs w:val="1"/>
                <w:color w:val="auto"/>
                <w:w w:val="97"/>
              </w:rPr>
              <w:t>$</w:t>
            </w:r>
          </w:p>
        </w:tc>
        <w:tc>
          <w:tcPr>
            <w:tcW w:w="460" w:type="dxa"/>
            <w:vAlign w:val="bottom"/>
            <w:shd w:val="clear" w:color="auto" w:fill="CCEEFF"/>
          </w:tcPr>
          <w:p>
            <w:pPr>
              <w:jc w:val="right"/>
              <w:ind w:right="86"/>
              <w:spacing w:after="0"/>
              <w:rPr>
                <w:sz w:val="20"/>
                <w:szCs w:val="20"/>
                <w:color w:val="auto"/>
              </w:rPr>
            </w:pPr>
            <w:r>
              <w:rPr>
                <w:rFonts w:ascii="Arial" w:cs="Arial" w:eastAsia="Arial" w:hAnsi="Arial"/>
                <w:sz w:val="11"/>
                <w:szCs w:val="11"/>
                <w:b w:val="1"/>
                <w:bCs w:val="1"/>
                <w:color w:val="auto"/>
              </w:rPr>
              <w:t>223.6</w:t>
            </w:r>
          </w:p>
        </w:tc>
      </w:tr>
      <w:tr>
        <w:trPr>
          <w:trHeight w:val="140"/>
        </w:trPr>
        <w:tc>
          <w:tcPr>
            <w:tcW w:w="4600" w:type="dxa"/>
            <w:vAlign w:val="bottom"/>
          </w:tcPr>
          <w:p>
            <w:pPr>
              <w:spacing w:after="0"/>
              <w:rPr>
                <w:sz w:val="20"/>
                <w:szCs w:val="20"/>
                <w:color w:val="auto"/>
              </w:rPr>
            </w:pPr>
            <w:r>
              <w:rPr>
                <w:rFonts w:ascii="Arial" w:cs="Arial" w:eastAsia="Arial" w:hAnsi="Arial"/>
                <w:sz w:val="11"/>
                <w:szCs w:val="11"/>
                <w:color w:val="auto"/>
              </w:rPr>
              <w:t>Interest expense, net</w:t>
            </w:r>
          </w:p>
        </w:tc>
        <w:tc>
          <w:tcPr>
            <w:tcW w:w="9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27.6</w:t>
            </w: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21.8</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107.0</w:t>
            </w: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46.2</w:t>
            </w:r>
          </w:p>
        </w:tc>
      </w:tr>
      <w:tr>
        <w:trPr>
          <w:trHeight w:val="22"/>
        </w:trPr>
        <w:tc>
          <w:tcPr>
            <w:tcW w:w="4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42"/>
        </w:trPr>
        <w:tc>
          <w:tcPr>
            <w:tcW w:w="4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Income taxes</w:t>
            </w:r>
          </w:p>
        </w:tc>
        <w:tc>
          <w:tcPr>
            <w:tcW w:w="92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w:t>
            </w:r>
          </w:p>
        </w:tc>
        <w:tc>
          <w:tcPr>
            <w:tcW w:w="8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(10.3)</w:t>
            </w:r>
          </w:p>
        </w:tc>
        <w:tc>
          <w:tcPr>
            <w:tcW w:w="8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35.3</w:t>
            </w:r>
          </w:p>
        </w:tc>
        <w:tc>
          <w:tcPr>
            <w:tcW w:w="8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33.0</w:t>
            </w:r>
          </w:p>
        </w:tc>
      </w:tr>
      <w:tr>
        <w:trPr>
          <w:trHeight w:val="140"/>
        </w:trPr>
        <w:tc>
          <w:tcPr>
            <w:tcW w:w="4600" w:type="dxa"/>
            <w:vAlign w:val="bottom"/>
          </w:tcPr>
          <w:p>
            <w:pPr>
              <w:spacing w:after="0"/>
              <w:rPr>
                <w:sz w:val="20"/>
                <w:szCs w:val="20"/>
                <w:color w:val="auto"/>
              </w:rPr>
            </w:pPr>
            <w:r>
              <w:rPr>
                <w:rFonts w:ascii="Arial" w:cs="Arial" w:eastAsia="Arial" w:hAnsi="Arial"/>
                <w:sz w:val="11"/>
                <w:szCs w:val="11"/>
                <w:color w:val="auto"/>
              </w:rPr>
              <w:t>Depreciation and amortization</w:t>
            </w:r>
          </w:p>
        </w:tc>
        <w:tc>
          <w:tcPr>
            <w:tcW w:w="9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9.3</w:t>
            </w: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7.5</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32.6</w:t>
            </w: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31.7</w:t>
            </w:r>
          </w:p>
        </w:tc>
      </w:tr>
      <w:tr>
        <w:trPr>
          <w:trHeight w:val="22"/>
        </w:trPr>
        <w:tc>
          <w:tcPr>
            <w:tcW w:w="46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151"/>
        </w:trPr>
        <w:tc>
          <w:tcPr>
            <w:tcW w:w="46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EBITDA</w:t>
            </w:r>
          </w:p>
        </w:tc>
        <w:tc>
          <w:tcPr>
            <w:tcW w:w="920" w:type="dxa"/>
            <w:vAlign w:val="bottom"/>
            <w:tcBorders>
              <w:bottom w:val="single" w:sz="8" w:color="auto"/>
            </w:tcBorders>
            <w:shd w:val="clear" w:color="auto" w:fill="CCEEFF"/>
          </w:tcPr>
          <w:p>
            <w:pPr>
              <w:jc w:val="right"/>
              <w:ind w:right="809"/>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b w:val="1"/>
                <w:bCs w:val="1"/>
                <w:color w:val="auto"/>
              </w:rPr>
              <w:t>41.9</w:t>
            </w:r>
          </w:p>
        </w:tc>
        <w:tc>
          <w:tcPr>
            <w:tcW w:w="80" w:type="dxa"/>
            <w:vAlign w:val="bottom"/>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ind w:right="806"/>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b w:val="1"/>
                <w:bCs w:val="1"/>
                <w:color w:val="auto"/>
              </w:rPr>
              <w:t>1.8</w:t>
            </w:r>
          </w:p>
        </w:tc>
        <w:tc>
          <w:tcPr>
            <w:tcW w:w="80" w:type="dxa"/>
            <w:vAlign w:val="bottom"/>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766"/>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b w:val="1"/>
                <w:bCs w:val="1"/>
                <w:color w:val="auto"/>
              </w:rPr>
              <w:t>245.3</w:t>
            </w:r>
          </w:p>
        </w:tc>
        <w:tc>
          <w:tcPr>
            <w:tcW w:w="80" w:type="dxa"/>
            <w:vAlign w:val="bottom"/>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ind w:right="806"/>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b w:val="1"/>
                <w:bCs w:val="1"/>
                <w:color w:val="auto"/>
              </w:rPr>
              <w:t>334.5</w:t>
            </w:r>
          </w:p>
        </w:tc>
      </w:tr>
      <w:tr>
        <w:trPr>
          <w:trHeight w:val="151"/>
        </w:trPr>
        <w:tc>
          <w:tcPr>
            <w:tcW w:w="4600" w:type="dxa"/>
            <w:vAlign w:val="bottom"/>
          </w:tcPr>
          <w:p>
            <w:pPr>
              <w:spacing w:after="0" w:line="151" w:lineRule="exact"/>
              <w:rPr>
                <w:sz w:val="20"/>
                <w:szCs w:val="20"/>
                <w:color w:val="auto"/>
              </w:rPr>
            </w:pPr>
            <w:r>
              <w:rPr>
                <w:rFonts w:ascii="Arial" w:cs="Arial" w:eastAsia="Arial" w:hAnsi="Arial"/>
                <w:sz w:val="11"/>
                <w:szCs w:val="11"/>
                <w:color w:val="auto"/>
              </w:rPr>
              <w:t xml:space="preserve">Stock-based compensation expense </w:t>
            </w:r>
            <w:r>
              <w:rPr>
                <w:rFonts w:ascii="Arial" w:cs="Arial" w:eastAsia="Arial" w:hAnsi="Arial"/>
                <w:sz w:val="14"/>
                <w:szCs w:val="14"/>
                <w:color w:val="auto"/>
                <w:vertAlign w:val="superscript"/>
              </w:rPr>
              <w:t>(1)</w:t>
            </w:r>
          </w:p>
        </w:tc>
        <w:tc>
          <w:tcPr>
            <w:tcW w:w="9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4.9</w:t>
            </w: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4.4</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21.9</w:t>
            </w: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18.7</w:t>
            </w:r>
          </w:p>
        </w:tc>
      </w:tr>
      <w:tr>
        <w:trPr>
          <w:trHeight w:val="162"/>
        </w:trPr>
        <w:tc>
          <w:tcPr>
            <w:tcW w:w="4600" w:type="dxa"/>
            <w:vAlign w:val="bottom"/>
            <w:shd w:val="clear" w:color="auto" w:fill="CCEEFF"/>
          </w:tcPr>
          <w:p>
            <w:pPr>
              <w:spacing w:after="0"/>
              <w:rPr>
                <w:sz w:val="20"/>
                <w:szCs w:val="20"/>
                <w:color w:val="auto"/>
              </w:rPr>
            </w:pPr>
            <w:r>
              <w:rPr>
                <w:rFonts w:ascii="Arial" w:cs="Arial" w:eastAsia="Arial" w:hAnsi="Arial"/>
                <w:sz w:val="11"/>
                <w:szCs w:val="11"/>
                <w:color w:val="auto"/>
              </w:rPr>
              <w:t xml:space="preserve">One-time stand up costs </w:t>
            </w:r>
            <w:r>
              <w:rPr>
                <w:rFonts w:ascii="Arial" w:cs="Arial" w:eastAsia="Arial" w:hAnsi="Arial"/>
                <w:sz w:val="14"/>
                <w:szCs w:val="14"/>
                <w:color w:val="auto"/>
                <w:vertAlign w:val="superscript"/>
              </w:rPr>
              <w:t>(2)</w:t>
            </w:r>
          </w:p>
        </w:tc>
        <w:tc>
          <w:tcPr>
            <w:tcW w:w="9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31.8</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15.0</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93.7</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38.2</w:t>
            </w:r>
          </w:p>
        </w:tc>
      </w:tr>
      <w:tr>
        <w:trPr>
          <w:trHeight w:val="162"/>
        </w:trPr>
        <w:tc>
          <w:tcPr>
            <w:tcW w:w="4600" w:type="dxa"/>
            <w:vAlign w:val="bottom"/>
          </w:tcPr>
          <w:p>
            <w:pPr>
              <w:spacing w:after="0"/>
              <w:rPr>
                <w:sz w:val="20"/>
                <w:szCs w:val="20"/>
                <w:color w:val="auto"/>
              </w:rPr>
            </w:pPr>
            <w:r>
              <w:rPr>
                <w:rFonts w:ascii="Arial" w:cs="Arial" w:eastAsia="Arial" w:hAnsi="Arial"/>
                <w:sz w:val="11"/>
                <w:szCs w:val="11"/>
                <w:color w:val="auto"/>
              </w:rPr>
              <w:t xml:space="preserve">Other costs associated with impairment </w:t>
            </w:r>
            <w:r>
              <w:rPr>
                <w:rFonts w:ascii="Arial" w:cs="Arial" w:eastAsia="Arial" w:hAnsi="Arial"/>
                <w:sz w:val="14"/>
                <w:szCs w:val="14"/>
                <w:color w:val="auto"/>
                <w:vertAlign w:val="superscript"/>
              </w:rPr>
              <w:t>(3)</w:t>
            </w:r>
          </w:p>
        </w:tc>
        <w:tc>
          <w:tcPr>
            <w:tcW w:w="92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9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5.5</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9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5.5</w:t>
            </w:r>
          </w:p>
        </w:tc>
      </w:tr>
      <w:tr>
        <w:trPr>
          <w:trHeight w:val="162"/>
        </w:trPr>
        <w:tc>
          <w:tcPr>
            <w:tcW w:w="4600" w:type="dxa"/>
            <w:vAlign w:val="bottom"/>
            <w:shd w:val="clear" w:color="auto" w:fill="CCEEFF"/>
          </w:tcPr>
          <w:p>
            <w:pPr>
              <w:spacing w:after="0"/>
              <w:rPr>
                <w:sz w:val="20"/>
                <w:szCs w:val="20"/>
                <w:color w:val="auto"/>
              </w:rPr>
            </w:pPr>
            <w:r>
              <w:rPr>
                <w:rFonts w:ascii="Arial" w:cs="Arial" w:eastAsia="Arial" w:hAnsi="Arial"/>
                <w:sz w:val="11"/>
                <w:szCs w:val="11"/>
                <w:color w:val="auto"/>
              </w:rPr>
              <w:t xml:space="preserve">European regulatory initiative-related costs ("EU MDR") </w:t>
            </w:r>
            <w:r>
              <w:rPr>
                <w:rFonts w:ascii="Arial" w:cs="Arial" w:eastAsia="Arial" w:hAnsi="Arial"/>
                <w:sz w:val="14"/>
                <w:szCs w:val="14"/>
                <w:color w:val="auto"/>
                <w:vertAlign w:val="superscript"/>
              </w:rPr>
              <w:t>(4)</w:t>
            </w:r>
          </w:p>
        </w:tc>
        <w:tc>
          <w:tcPr>
            <w:tcW w:w="9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0.6</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0.9</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w:t>
            </w:r>
          </w:p>
        </w:tc>
      </w:tr>
      <w:tr>
        <w:trPr>
          <w:trHeight w:val="162"/>
        </w:trPr>
        <w:tc>
          <w:tcPr>
            <w:tcW w:w="4600" w:type="dxa"/>
            <w:vAlign w:val="bottom"/>
          </w:tcPr>
          <w:p>
            <w:pPr>
              <w:spacing w:after="0"/>
              <w:rPr>
                <w:sz w:val="20"/>
                <w:szCs w:val="20"/>
                <w:color w:val="auto"/>
              </w:rPr>
            </w:pPr>
            <w:r>
              <w:rPr>
                <w:rFonts w:ascii="Arial" w:cs="Arial" w:eastAsia="Arial" w:hAnsi="Arial"/>
                <w:sz w:val="11"/>
                <w:szCs w:val="11"/>
                <w:color w:val="auto"/>
              </w:rPr>
              <w:t xml:space="preserve">Business optimization and severance related costs </w:t>
            </w:r>
            <w:r>
              <w:rPr>
                <w:rFonts w:ascii="Arial" w:cs="Arial" w:eastAsia="Arial" w:hAnsi="Arial"/>
                <w:sz w:val="14"/>
                <w:szCs w:val="14"/>
                <w:color w:val="auto"/>
                <w:vertAlign w:val="superscript"/>
              </w:rPr>
              <w:t>(5)</w:t>
            </w:r>
          </w:p>
        </w:tc>
        <w:tc>
          <w:tcPr>
            <w:tcW w:w="9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2.6</w:t>
            </w: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0.7</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5.6</w:t>
            </w: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2.2</w:t>
            </w:r>
          </w:p>
        </w:tc>
      </w:tr>
      <w:tr>
        <w:trPr>
          <w:trHeight w:val="162"/>
        </w:trPr>
        <w:tc>
          <w:tcPr>
            <w:tcW w:w="4600" w:type="dxa"/>
            <w:vAlign w:val="bottom"/>
            <w:shd w:val="clear" w:color="auto" w:fill="CCEEFF"/>
          </w:tcPr>
          <w:p>
            <w:pPr>
              <w:spacing w:after="0"/>
              <w:rPr>
                <w:sz w:val="20"/>
                <w:szCs w:val="20"/>
                <w:color w:val="auto"/>
              </w:rPr>
            </w:pPr>
            <w:r>
              <w:rPr>
                <w:rFonts w:ascii="Arial" w:cs="Arial" w:eastAsia="Arial" w:hAnsi="Arial"/>
                <w:sz w:val="11"/>
                <w:szCs w:val="11"/>
                <w:color w:val="auto"/>
              </w:rPr>
              <w:t xml:space="preserve">Impairment losses </w:t>
            </w:r>
            <w:r>
              <w:rPr>
                <w:rFonts w:ascii="Arial" w:cs="Arial" w:eastAsia="Arial" w:hAnsi="Arial"/>
                <w:sz w:val="14"/>
                <w:szCs w:val="14"/>
                <w:color w:val="auto"/>
                <w:vertAlign w:val="superscript"/>
              </w:rPr>
              <w:t>(6)</w:t>
            </w:r>
          </w:p>
        </w:tc>
        <w:tc>
          <w:tcPr>
            <w:tcW w:w="9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58.9</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58.9</w:t>
            </w:r>
          </w:p>
        </w:tc>
      </w:tr>
      <w:tr>
        <w:trPr>
          <w:trHeight w:val="162"/>
        </w:trPr>
        <w:tc>
          <w:tcPr>
            <w:tcW w:w="4600" w:type="dxa"/>
            <w:vAlign w:val="bottom"/>
          </w:tcPr>
          <w:p>
            <w:pPr>
              <w:spacing w:after="0"/>
              <w:rPr>
                <w:sz w:val="20"/>
                <w:szCs w:val="20"/>
                <w:color w:val="auto"/>
              </w:rPr>
            </w:pPr>
            <w:r>
              <w:rPr>
                <w:rFonts w:ascii="Arial" w:cs="Arial" w:eastAsia="Arial" w:hAnsi="Arial"/>
                <w:sz w:val="11"/>
                <w:szCs w:val="11"/>
                <w:color w:val="auto"/>
              </w:rPr>
              <w:t xml:space="preserve">Deferred jurisdiction adjustments in Other income (expense), net for taxes </w:t>
            </w:r>
            <w:r>
              <w:rPr>
                <w:rFonts w:ascii="Arial" w:cs="Arial" w:eastAsia="Arial" w:hAnsi="Arial"/>
                <w:sz w:val="14"/>
                <w:szCs w:val="14"/>
                <w:color w:val="auto"/>
                <w:vertAlign w:val="superscript"/>
              </w:rPr>
              <w:t>(7)</w:t>
            </w:r>
          </w:p>
        </w:tc>
        <w:tc>
          <w:tcPr>
            <w:tcW w:w="9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(4.7)</w:t>
            </w: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9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8.4</w:t>
            </w: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9"/>
        </w:trPr>
        <w:tc>
          <w:tcPr>
            <w:tcW w:w="4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Adjusted EBITDA</w:t>
            </w:r>
          </w:p>
        </w:tc>
        <w:tc>
          <w:tcPr>
            <w:tcW w:w="920" w:type="dxa"/>
            <w:vAlign w:val="bottom"/>
            <w:tcBorders>
              <w:top w:val="single" w:sz="8" w:color="auto"/>
              <w:bottom w:val="single" w:sz="8" w:color="auto"/>
            </w:tcBorders>
            <w:shd w:val="clear" w:color="auto" w:fill="CCEEFF"/>
          </w:tcPr>
          <w:p>
            <w:pPr>
              <w:jc w:val="right"/>
              <w:ind w:right="809"/>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b w:val="1"/>
                <w:bCs w:val="1"/>
                <w:color w:val="auto"/>
              </w:rPr>
              <w:t>79.6</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940" w:type="dxa"/>
            <w:vAlign w:val="bottom"/>
            <w:tcBorders>
              <w:top w:val="single" w:sz="8" w:color="auto"/>
              <w:bottom w:val="single" w:sz="8" w:color="auto"/>
            </w:tcBorders>
            <w:shd w:val="clear" w:color="auto" w:fill="CCEEFF"/>
          </w:tcPr>
          <w:p>
            <w:pPr>
              <w:jc w:val="right"/>
              <w:ind w:right="806"/>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b w:val="1"/>
                <w:bCs w:val="1"/>
                <w:color w:val="auto"/>
              </w:rPr>
              <w:t>87.2</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900" w:type="dxa"/>
            <w:vAlign w:val="bottom"/>
            <w:tcBorders>
              <w:top w:val="single" w:sz="8" w:color="auto"/>
              <w:bottom w:val="single" w:sz="8" w:color="auto"/>
            </w:tcBorders>
            <w:shd w:val="clear" w:color="auto" w:fill="CCEEFF"/>
          </w:tcPr>
          <w:p>
            <w:pPr>
              <w:jc w:val="right"/>
              <w:ind w:right="766"/>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b w:val="1"/>
                <w:bCs w:val="1"/>
                <w:color w:val="auto"/>
              </w:rPr>
              <w:t>378.7</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940" w:type="dxa"/>
            <w:vAlign w:val="bottom"/>
            <w:tcBorders>
              <w:top w:val="single" w:sz="8" w:color="auto"/>
              <w:bottom w:val="single" w:sz="8" w:color="auto"/>
            </w:tcBorders>
            <w:shd w:val="clear" w:color="auto" w:fill="CCEEFF"/>
          </w:tcPr>
          <w:p>
            <w:pPr>
              <w:jc w:val="right"/>
              <w:ind w:right="806"/>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b w:val="1"/>
                <w:bCs w:val="1"/>
                <w:color w:val="auto"/>
              </w:rPr>
              <w:t>459.9</w:t>
            </w:r>
          </w:p>
        </w:tc>
      </w:tr>
      <w:tr>
        <w:trPr>
          <w:trHeight w:val="148"/>
        </w:trPr>
        <w:tc>
          <w:tcPr>
            <w:tcW w:w="4600" w:type="dxa"/>
            <w:vAlign w:val="bottom"/>
          </w:tcPr>
          <w:p>
            <w:pPr>
              <w:spacing w:after="0"/>
              <w:rPr>
                <w:sz w:val="20"/>
                <w:szCs w:val="20"/>
                <w:color w:val="auto"/>
              </w:rPr>
            </w:pPr>
            <w:r>
              <w:rPr>
                <w:rFonts w:ascii="Arial" w:cs="Arial" w:eastAsia="Arial" w:hAnsi="Arial"/>
                <w:sz w:val="11"/>
                <w:szCs w:val="11"/>
                <w:b w:val="1"/>
                <w:bCs w:val="1"/>
                <w:i w:val="1"/>
                <w:iCs w:val="1"/>
                <w:color w:val="auto"/>
              </w:rPr>
              <w:t>Adjusted EBITDA Margin</w:t>
            </w:r>
          </w:p>
        </w:tc>
        <w:tc>
          <w:tcPr>
            <w:tcW w:w="9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b w:val="1"/>
                <w:bCs w:val="1"/>
                <w:i w:val="1"/>
                <w:iCs w:val="1"/>
                <w:color w:val="auto"/>
              </w:rPr>
              <w:t>28.2 %</w:t>
            </w: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b w:val="1"/>
                <w:bCs w:val="1"/>
                <w:i w:val="1"/>
                <w:iCs w:val="1"/>
                <w:color w:val="auto"/>
              </w:rPr>
              <w:t>31.8 %</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b w:val="1"/>
                <w:bCs w:val="1"/>
                <w:i w:val="1"/>
                <w:iCs w:val="1"/>
                <w:color w:val="auto"/>
              </w:rPr>
              <w:t>33.8 %</w:t>
            </w: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b w:val="1"/>
                <w:bCs w:val="1"/>
                <w:i w:val="1"/>
                <w:iCs w:val="1"/>
                <w:color w:val="auto"/>
              </w:rPr>
              <w:t>40.7 %</w:t>
            </w:r>
          </w:p>
        </w:tc>
      </w:tr>
    </w:tbl>
    <w:p>
      <w:pPr>
        <w:spacing w:after="0" w:line="171" w:lineRule="exact"/>
        <w:rPr>
          <w:sz w:val="20"/>
          <w:szCs w:val="20"/>
          <w:color w:val="auto"/>
        </w:rPr>
      </w:pPr>
    </w:p>
    <w:p>
      <w:pPr>
        <w:ind w:left="320" w:right="60" w:hanging="258"/>
        <w:spacing w:after="0" w:line="208" w:lineRule="auto"/>
        <w:tabs>
          <w:tab w:leader="none" w:pos="318" w:val="left"/>
        </w:tabs>
        <w:numPr>
          <w:ilvl w:val="0"/>
          <w:numId w:val="8"/>
        </w:numPr>
        <w:rPr>
          <w:rFonts w:ascii="Arial" w:cs="Arial" w:eastAsia="Arial" w:hAnsi="Arial"/>
          <w:sz w:val="10"/>
          <w:szCs w:val="10"/>
          <w:color w:val="auto"/>
        </w:rPr>
      </w:pPr>
      <w:r>
        <w:rPr>
          <w:rFonts w:ascii="Arial" w:cs="Arial" w:eastAsia="Arial" w:hAnsi="Arial"/>
          <w:sz w:val="10"/>
          <w:szCs w:val="10"/>
          <w:color w:val="auto"/>
        </w:rPr>
        <w:t>Represents stock-based compensation expense incurred during the three and twelve months ended September 30, 2023 and 2022, respectively. For the three months ended September 30, 2023, $4.1 million is recorded in Selling and administrative expense, $0.4 million is recorded in Cost of products sold, and $0.4 million is recorded in Research and development expense. For the twelve months ended, September 30, 2023, $18.1 million is recorded in Selling and administrative expense, $2.2 million is recorded in Cost of products sold, and $1.6 million is recorded in Research and development expense. For the three months ended September 30, 2022, $3.9 million is recorded in Selling and administrative expense, $0.3 million is recorded in Cost of products sold, and $0.2 million is recorded in Research and development expense. For the twelve months ended September 30, 2022, $14.6 million is recorded in Selling and administrative expense, $2.3 million is recorded in Cost of products sold, and $1.8 million is recorded in Research and development expense.</w:t>
      </w:r>
    </w:p>
    <w:p>
      <w:pPr>
        <w:spacing w:after="0" w:line="14" w:lineRule="exact"/>
        <w:rPr>
          <w:rFonts w:ascii="Arial" w:cs="Arial" w:eastAsia="Arial" w:hAnsi="Arial"/>
          <w:sz w:val="10"/>
          <w:szCs w:val="10"/>
          <w:color w:val="auto"/>
        </w:rPr>
      </w:pPr>
    </w:p>
    <w:p>
      <w:pPr>
        <w:ind w:left="320" w:right="20" w:hanging="258"/>
        <w:spacing w:after="0" w:line="281" w:lineRule="auto"/>
        <w:tabs>
          <w:tab w:leader="none" w:pos="318" w:val="left"/>
        </w:tabs>
        <w:numPr>
          <w:ilvl w:val="0"/>
          <w:numId w:val="8"/>
        </w:numPr>
        <w:rPr>
          <w:rFonts w:ascii="Arial" w:cs="Arial" w:eastAsia="Arial" w:hAnsi="Arial"/>
          <w:sz w:val="8"/>
          <w:szCs w:val="8"/>
          <w:color w:val="auto"/>
        </w:rPr>
      </w:pPr>
      <w:r>
        <w:rPr>
          <w:rFonts w:ascii="Arial" w:cs="Arial" w:eastAsia="Arial" w:hAnsi="Arial"/>
          <w:sz w:val="8"/>
          <w:szCs w:val="8"/>
          <w:color w:val="auto"/>
        </w:rPr>
        <w:t>One-time stand up costs incurred primarily include costs to stand up the Company. For the three months ended September 30, 2023, approximately $31.6 million and $0.2 million are recorded in Other operating expenses and Selling and administrative expense, respectively. For the twelve months ended September 30, 2023, approximately $92.7 million and $1.0 million are recorded in Other operating expenses and Selling and administrative expense, respectively. For the three months ended September 30, 2022, approximately $15.0 million is recorded in Other operating expenses. For the twelve months ended September 30, 2022, approximately $37.3 and $0.9 are recorded in Other operating expenses and Selling and administrative expense, respectively.</w:t>
      </w:r>
    </w:p>
    <w:p>
      <w:pPr>
        <w:ind w:left="320" w:hanging="258"/>
        <w:spacing w:after="0"/>
        <w:tabs>
          <w:tab w:leader="none" w:pos="320" w:val="left"/>
        </w:tabs>
        <w:numPr>
          <w:ilvl w:val="0"/>
          <w:numId w:val="8"/>
        </w:numPr>
        <w:rPr>
          <w:rFonts w:ascii="Arial" w:cs="Arial" w:eastAsia="Arial" w:hAnsi="Arial"/>
          <w:sz w:val="10"/>
          <w:szCs w:val="10"/>
          <w:color w:val="auto"/>
        </w:rPr>
      </w:pPr>
      <w:r>
        <w:rPr>
          <w:rFonts w:ascii="Arial" w:cs="Arial" w:eastAsia="Arial" w:hAnsi="Arial"/>
          <w:sz w:val="10"/>
          <w:szCs w:val="10"/>
          <w:color w:val="auto"/>
        </w:rPr>
        <w:t>Represents the costs of purchase commitments associated with the abandonment and impairment of certain manufacturing lines incurred in fiscal year 2022. Please see footnote (6) below. These costs are recorded in Other operating expenses.</w:t>
      </w:r>
    </w:p>
    <w:p>
      <w:pPr>
        <w:spacing w:after="0" w:line="20" w:lineRule="exact"/>
        <w:rPr>
          <w:rFonts w:ascii="Arial" w:cs="Arial" w:eastAsia="Arial" w:hAnsi="Arial"/>
          <w:sz w:val="10"/>
          <w:szCs w:val="10"/>
          <w:color w:val="auto"/>
        </w:rPr>
      </w:pPr>
    </w:p>
    <w:p>
      <w:pPr>
        <w:ind w:left="320" w:right="60" w:hanging="258"/>
        <w:spacing w:after="0" w:line="220" w:lineRule="auto"/>
        <w:tabs>
          <w:tab w:leader="none" w:pos="318" w:val="left"/>
        </w:tabs>
        <w:numPr>
          <w:ilvl w:val="0"/>
          <w:numId w:val="8"/>
        </w:numPr>
        <w:rPr>
          <w:rFonts w:ascii="Arial" w:cs="Arial" w:eastAsia="Arial" w:hAnsi="Arial"/>
          <w:sz w:val="10"/>
          <w:szCs w:val="10"/>
          <w:color w:val="auto"/>
        </w:rPr>
      </w:pPr>
      <w:r>
        <w:rPr>
          <w:rFonts w:ascii="Arial" w:cs="Arial" w:eastAsia="Arial" w:hAnsi="Arial"/>
          <w:sz w:val="10"/>
          <w:szCs w:val="10"/>
          <w:color w:val="auto"/>
        </w:rPr>
        <w:t>Represents costs required to develop processes and systems to comply with regulations such as the EU MDR and General Data Protection Regulation ("GDPR") which represent a significant, unusual change to the existing regulatory framework. We consider these costs to be duplicative of previously incurred costs and/or one-off costs, which are limited to a specific period of time. These costs are recorded in Research and development expense.</w:t>
      </w:r>
    </w:p>
    <w:p>
      <w:pPr>
        <w:spacing w:after="0" w:line="14" w:lineRule="exact"/>
        <w:rPr>
          <w:rFonts w:ascii="Arial" w:cs="Arial" w:eastAsia="Arial" w:hAnsi="Arial"/>
          <w:sz w:val="10"/>
          <w:szCs w:val="10"/>
          <w:color w:val="auto"/>
        </w:rPr>
      </w:pPr>
    </w:p>
    <w:p>
      <w:pPr>
        <w:ind w:left="320" w:hanging="258"/>
        <w:spacing w:after="0"/>
        <w:tabs>
          <w:tab w:leader="none" w:pos="320" w:val="left"/>
        </w:tabs>
        <w:numPr>
          <w:ilvl w:val="0"/>
          <w:numId w:val="8"/>
        </w:numPr>
        <w:rPr>
          <w:rFonts w:ascii="Arial" w:cs="Arial" w:eastAsia="Arial" w:hAnsi="Arial"/>
          <w:sz w:val="10"/>
          <w:szCs w:val="10"/>
          <w:color w:val="auto"/>
        </w:rPr>
      </w:pPr>
      <w:r>
        <w:rPr>
          <w:rFonts w:ascii="Arial" w:cs="Arial" w:eastAsia="Arial" w:hAnsi="Arial"/>
          <w:sz w:val="10"/>
          <w:szCs w:val="10"/>
          <w:color w:val="auto"/>
        </w:rPr>
        <w:t>Represents business optimization and severance related costs recorded in Other operating expenses.</w:t>
      </w:r>
    </w:p>
    <w:p>
      <w:pPr>
        <w:spacing w:after="0" w:line="20" w:lineRule="exact"/>
        <w:rPr>
          <w:rFonts w:ascii="Arial" w:cs="Arial" w:eastAsia="Arial" w:hAnsi="Arial"/>
          <w:sz w:val="10"/>
          <w:szCs w:val="10"/>
          <w:color w:val="auto"/>
        </w:rPr>
      </w:pPr>
    </w:p>
    <w:p>
      <w:pPr>
        <w:ind w:left="320" w:hanging="258"/>
        <w:spacing w:after="0"/>
        <w:tabs>
          <w:tab w:leader="none" w:pos="320" w:val="left"/>
        </w:tabs>
        <w:numPr>
          <w:ilvl w:val="0"/>
          <w:numId w:val="8"/>
        </w:numPr>
        <w:rPr>
          <w:rFonts w:ascii="Arial" w:cs="Arial" w:eastAsia="Arial" w:hAnsi="Arial"/>
          <w:sz w:val="10"/>
          <w:szCs w:val="10"/>
          <w:color w:val="auto"/>
        </w:rPr>
      </w:pPr>
      <w:r>
        <w:rPr>
          <w:rFonts w:ascii="Arial" w:cs="Arial" w:eastAsia="Arial" w:hAnsi="Arial"/>
          <w:sz w:val="10"/>
          <w:szCs w:val="10"/>
          <w:color w:val="auto"/>
        </w:rPr>
        <w:t>Relates to impairment charges incurred. The impairment charges are recorded in Impairment Expense.</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7</w:t>
      </w:r>
    </w:p>
    <w:p>
      <w:pPr>
        <w:sectPr>
          <w:pgSz w:w="11900" w:h="16838" w:orient="portrait"/>
          <w:cols w:equalWidth="0" w:num="1">
            <w:col w:w="11300"/>
          </w:cols>
          <w:pgMar w:left="300" w:top="715" w:right="299" w:bottom="1440" w:gutter="0" w:footer="0" w:header="0"/>
        </w:sectPr>
      </w:pPr>
    </w:p>
    <w:bookmarkStart w:id="9" w:name="page10"/>
    <w:bookmarkEnd w:id="9"/>
    <w:p>
      <w:pPr>
        <w:ind w:left="320" w:hanging="258"/>
        <w:spacing w:after="0"/>
        <w:tabs>
          <w:tab w:leader="none" w:pos="320" w:val="left"/>
        </w:tabs>
        <w:numPr>
          <w:ilvl w:val="0"/>
          <w:numId w:val="9"/>
        </w:numPr>
        <w:rPr>
          <w:rFonts w:ascii="Arial" w:cs="Arial" w:eastAsia="Arial" w:hAnsi="Arial"/>
          <w:sz w:val="10"/>
          <w:szCs w:val="10"/>
          <w:color w:val="auto"/>
        </w:rPr>
      </w:pPr>
      <w:r>
        <w:rPr>
          <w:rFonts w:ascii="Arial" w:cs="Arial" w:eastAsia="Arial" w:hAnsi="Arial"/>
          <w:sz w:val="10"/>
          <w:szCs w:val="10"/>
          <w:color w:val="auto"/>
        </w:rPr>
        <w:t>Represents amounts due to BD for tax liabilities incurred in deferred closing jurisdictions where BD is considered the primary obligor.</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1"/>
          <w:szCs w:val="11"/>
          <w:color w:val="auto"/>
        </w:rPr>
        <w:t>For the three- and twelve-month periods ended September 30, 2023, the reconciliations of (1) GAAP Gross Profit and Gross Margin to Adjusted Gross Profit and Adjusted Gross Margin, (2) GAAP Operating Income and Operating Margin to Adjusted Operating Income and Adjusted Operating Income Margin and (3) GAAP Net Income Per Diluted Share to Adjusted Net Income Per Diluted Share are as follows (unaudited in millions, except per share amounts):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60" w:type="dxa"/>
            <w:vAlign w:val="bottom"/>
            <w:gridSpan w:val="2"/>
          </w:tcPr>
          <w:p>
            <w:pPr>
              <w:ind w:left="20"/>
              <w:spacing w:after="0"/>
              <w:rPr>
                <w:sz w:val="20"/>
                <w:szCs w:val="20"/>
                <w:color w:val="auto"/>
              </w:rPr>
            </w:pPr>
            <w:r>
              <w:rPr>
                <w:rFonts w:ascii="Arial" w:cs="Arial" w:eastAsia="Arial" w:hAnsi="Arial"/>
                <w:sz w:val="11"/>
                <w:szCs w:val="11"/>
                <w:b w:val="1"/>
                <w:bCs w:val="1"/>
                <w:color w:val="auto"/>
              </w:rPr>
              <w:t>Three Months Ended September</w:t>
            </w:r>
          </w:p>
        </w:tc>
        <w:tc>
          <w:tcPr>
            <w:tcW w:w="1740" w:type="dxa"/>
            <w:vAlign w:val="bottom"/>
            <w:gridSpan w:val="2"/>
          </w:tcPr>
          <w:p>
            <w:pPr>
              <w:ind w:left="20"/>
              <w:spacing w:after="0"/>
              <w:rPr>
                <w:sz w:val="20"/>
                <w:szCs w:val="20"/>
                <w:color w:val="auto"/>
              </w:rPr>
            </w:pPr>
            <w:r>
              <w:rPr>
                <w:rFonts w:ascii="Arial" w:cs="Arial" w:eastAsia="Arial" w:hAnsi="Arial"/>
                <w:sz w:val="11"/>
                <w:szCs w:val="11"/>
                <w:b w:val="1"/>
                <w:bCs w:val="1"/>
                <w:color w:val="auto"/>
                <w:w w:val="96"/>
              </w:rPr>
              <w:t>Twelve Months Ended September</w:t>
            </w:r>
          </w:p>
        </w:tc>
      </w:tr>
      <w:tr>
        <w:trPr>
          <w:trHeight w:val="144"/>
        </w:trPr>
        <w:tc>
          <w:tcPr>
            <w:tcW w:w="77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ind w:right="706"/>
              <w:spacing w:after="0"/>
              <w:rPr>
                <w:sz w:val="20"/>
                <w:szCs w:val="20"/>
                <w:color w:val="auto"/>
              </w:rPr>
            </w:pPr>
            <w:r>
              <w:rPr>
                <w:rFonts w:ascii="Arial" w:cs="Arial" w:eastAsia="Arial" w:hAnsi="Arial"/>
                <w:sz w:val="11"/>
                <w:szCs w:val="11"/>
                <w:b w:val="1"/>
                <w:bCs w:val="1"/>
                <w:color w:val="auto"/>
              </w:rPr>
              <w:t>30,</w:t>
            </w: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746"/>
              <w:spacing w:after="0"/>
              <w:rPr>
                <w:sz w:val="20"/>
                <w:szCs w:val="20"/>
                <w:color w:val="auto"/>
              </w:rPr>
            </w:pPr>
            <w:r>
              <w:rPr>
                <w:rFonts w:ascii="Arial" w:cs="Arial" w:eastAsia="Arial" w:hAnsi="Arial"/>
                <w:sz w:val="11"/>
                <w:szCs w:val="11"/>
                <w:b w:val="1"/>
                <w:bCs w:val="1"/>
                <w:color w:val="auto"/>
              </w:rPr>
              <w:t>30,</w:t>
            </w:r>
          </w:p>
        </w:tc>
      </w:tr>
      <w:tr>
        <w:trPr>
          <w:trHeight w:val="214"/>
        </w:trPr>
        <w:tc>
          <w:tcPr>
            <w:tcW w:w="77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646"/>
              <w:spacing w:after="0"/>
              <w:rPr>
                <w:sz w:val="20"/>
                <w:szCs w:val="20"/>
                <w:color w:val="auto"/>
              </w:rPr>
            </w:pPr>
            <w:r>
              <w:rPr>
                <w:rFonts w:ascii="Arial" w:cs="Arial" w:eastAsia="Arial" w:hAnsi="Arial"/>
                <w:sz w:val="11"/>
                <w:szCs w:val="11"/>
                <w:b w:val="1"/>
                <w:bCs w:val="1"/>
                <w:color w:val="auto"/>
              </w:rPr>
              <w:t xml:space="preserve">2023 </w:t>
            </w:r>
            <w:r>
              <w:rPr>
                <w:rFonts w:ascii="Arial" w:cs="Arial" w:eastAsia="Arial" w:hAnsi="Arial"/>
                <w:sz w:val="14"/>
                <w:szCs w:val="14"/>
                <w:b w:val="1"/>
                <w:bCs w:val="1"/>
                <w:color w:val="auto"/>
                <w:vertAlign w:val="superscript"/>
              </w:rPr>
              <w:t>(1)</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606"/>
              <w:spacing w:after="0"/>
              <w:rPr>
                <w:sz w:val="20"/>
                <w:szCs w:val="20"/>
                <w:color w:val="auto"/>
              </w:rPr>
            </w:pPr>
            <w:r>
              <w:rPr>
                <w:rFonts w:ascii="Arial" w:cs="Arial" w:eastAsia="Arial" w:hAnsi="Arial"/>
                <w:sz w:val="11"/>
                <w:szCs w:val="11"/>
                <w:b w:val="1"/>
                <w:bCs w:val="1"/>
                <w:color w:val="auto"/>
              </w:rPr>
              <w:t xml:space="preserve">2023 </w:t>
            </w:r>
            <w:r>
              <w:rPr>
                <w:rFonts w:ascii="Arial" w:cs="Arial" w:eastAsia="Arial" w:hAnsi="Arial"/>
                <w:sz w:val="14"/>
                <w:szCs w:val="14"/>
                <w:b w:val="1"/>
                <w:bCs w:val="1"/>
                <w:color w:val="auto"/>
                <w:vertAlign w:val="superscript"/>
              </w:rPr>
              <w:t>(1)</w:t>
            </w:r>
          </w:p>
        </w:tc>
      </w:tr>
      <w:tr>
        <w:trPr>
          <w:trHeight w:val="151"/>
        </w:trPr>
        <w:tc>
          <w:tcPr>
            <w:tcW w:w="77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Gross Profit</w:t>
            </w: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680" w:type="dxa"/>
            <w:vAlign w:val="bottom"/>
            <w:shd w:val="clear" w:color="auto" w:fill="CCEEFF"/>
          </w:tcPr>
          <w:p>
            <w:pPr>
              <w:jc w:val="right"/>
              <w:ind w:right="86"/>
              <w:spacing w:after="0"/>
              <w:rPr>
                <w:sz w:val="20"/>
                <w:szCs w:val="20"/>
                <w:color w:val="auto"/>
              </w:rPr>
            </w:pPr>
            <w:r>
              <w:rPr>
                <w:rFonts w:ascii="Arial" w:cs="Arial" w:eastAsia="Arial" w:hAnsi="Arial"/>
                <w:sz w:val="11"/>
                <w:szCs w:val="11"/>
                <w:b w:val="1"/>
                <w:bCs w:val="1"/>
                <w:color w:val="auto"/>
              </w:rPr>
              <w:t>181.8</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1360" w:type="dxa"/>
            <w:vAlign w:val="bottom"/>
            <w:shd w:val="clear" w:color="auto" w:fill="CCEEFF"/>
          </w:tcPr>
          <w:p>
            <w:pPr>
              <w:jc w:val="right"/>
              <w:ind w:right="86"/>
              <w:spacing w:after="0"/>
              <w:rPr>
                <w:sz w:val="20"/>
                <w:szCs w:val="20"/>
                <w:color w:val="auto"/>
              </w:rPr>
            </w:pPr>
            <w:r>
              <w:rPr>
                <w:rFonts w:ascii="Arial" w:cs="Arial" w:eastAsia="Arial" w:hAnsi="Arial"/>
                <w:sz w:val="11"/>
                <w:szCs w:val="11"/>
                <w:b w:val="1"/>
                <w:bCs w:val="1"/>
                <w:color w:val="auto"/>
              </w:rPr>
              <w:t>749.9</w:t>
            </w:r>
          </w:p>
        </w:tc>
      </w:tr>
      <w:tr>
        <w:trPr>
          <w:trHeight w:val="156"/>
        </w:trPr>
        <w:tc>
          <w:tcPr>
            <w:tcW w:w="7700" w:type="dxa"/>
            <w:vAlign w:val="bottom"/>
          </w:tcPr>
          <w:p>
            <w:pPr>
              <w:ind w:left="20"/>
              <w:spacing w:after="0"/>
              <w:rPr>
                <w:sz w:val="20"/>
                <w:szCs w:val="20"/>
                <w:color w:val="auto"/>
              </w:rPr>
            </w:pPr>
            <w:r>
              <w:rPr>
                <w:rFonts w:ascii="Arial" w:cs="Arial" w:eastAsia="Arial" w:hAnsi="Arial"/>
                <w:sz w:val="11"/>
                <w:szCs w:val="11"/>
                <w:b w:val="1"/>
                <w:bCs w:val="1"/>
                <w:i w:val="1"/>
                <w:iCs w:val="1"/>
                <w:color w:val="auto"/>
              </w:rPr>
              <w:t>Gross Profit Margin</w:t>
            </w:r>
          </w:p>
        </w:tc>
        <w:tc>
          <w:tcPr>
            <w:tcW w:w="8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1"/>
                <w:szCs w:val="11"/>
                <w:b w:val="1"/>
                <w:bCs w:val="1"/>
                <w:i w:val="1"/>
                <w:iCs w:val="1"/>
                <w:color w:val="auto"/>
              </w:rPr>
              <w:t>64.5 %</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1"/>
                <w:szCs w:val="11"/>
                <w:b w:val="1"/>
                <w:bCs w:val="1"/>
                <w:i w:val="1"/>
                <w:iCs w:val="1"/>
                <w:color w:val="auto"/>
              </w:rPr>
              <w:t>66.9 %</w:t>
            </w:r>
          </w:p>
        </w:tc>
      </w:tr>
      <w:tr>
        <w:trPr>
          <w:trHeight w:val="148"/>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Stock-based compensation expense</w:t>
            </w:r>
          </w:p>
        </w:tc>
        <w:tc>
          <w:tcPr>
            <w:tcW w:w="80" w:type="dxa"/>
            <w:vAlign w:val="bottom"/>
            <w:tcBorders>
              <w:bottom w:val="single" w:sz="8" w:color="CCEEFF"/>
            </w:tcBorders>
            <w:shd w:val="clear" w:color="auto" w:fill="CCEEFF"/>
          </w:tcPr>
          <w:p>
            <w:pPr>
              <w:spacing w:after="0"/>
              <w:rPr>
                <w:sz w:val="12"/>
                <w:szCs w:val="12"/>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380" w:type="dxa"/>
            <w:vAlign w:val="bottom"/>
            <w:tcBorders>
              <w:bottom w:val="single" w:sz="8" w:color="CCEEFF"/>
            </w:tcBorders>
            <w:shd w:val="clear" w:color="auto" w:fill="CCEEFF"/>
          </w:tcPr>
          <w:p>
            <w:pPr>
              <w:spacing w:after="0"/>
              <w:rPr>
                <w:sz w:val="12"/>
                <w:szCs w:val="12"/>
                <w:color w:val="auto"/>
              </w:rPr>
            </w:pPr>
          </w:p>
        </w:tc>
        <w:tc>
          <w:tcPr>
            <w:tcW w:w="13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0.1</w:t>
            </w:r>
          </w:p>
        </w:tc>
      </w:tr>
      <w:tr>
        <w:trPr>
          <w:trHeight w:val="162"/>
        </w:trPr>
        <w:tc>
          <w:tcPr>
            <w:tcW w:w="7700" w:type="dxa"/>
            <w:vAlign w:val="bottom"/>
          </w:tcPr>
          <w:p>
            <w:pPr>
              <w:ind w:left="20"/>
              <w:spacing w:after="0"/>
              <w:rPr>
                <w:sz w:val="20"/>
                <w:szCs w:val="20"/>
                <w:color w:val="auto"/>
              </w:rPr>
            </w:pPr>
            <w:r>
              <w:rPr>
                <w:rFonts w:ascii="Arial" w:cs="Arial" w:eastAsia="Arial" w:hAnsi="Arial"/>
                <w:sz w:val="11"/>
                <w:szCs w:val="11"/>
                <w:color w:val="auto"/>
              </w:rPr>
              <w:t xml:space="preserve">Amortization of intangible assets </w:t>
            </w:r>
            <w:r>
              <w:rPr>
                <w:rFonts w:ascii="Arial" w:cs="Arial" w:eastAsia="Arial" w:hAnsi="Arial"/>
                <w:sz w:val="14"/>
                <w:szCs w:val="14"/>
                <w:color w:val="auto"/>
                <w:vertAlign w:val="superscript"/>
              </w:rPr>
              <w:t>(2)</w:t>
            </w:r>
          </w:p>
        </w:tc>
        <w:tc>
          <w:tcPr>
            <w:tcW w:w="80" w:type="dxa"/>
            <w:vAlign w:val="bottom"/>
          </w:tcPr>
          <w:p>
            <w:pPr>
              <w:spacing w:after="0"/>
              <w:rPr>
                <w:sz w:val="14"/>
                <w:szCs w:val="14"/>
                <w:color w:val="auto"/>
              </w:rPr>
            </w:pPr>
          </w:p>
        </w:tc>
        <w:tc>
          <w:tcPr>
            <w:tcW w:w="1680" w:type="dxa"/>
            <w:vAlign w:val="bottom"/>
          </w:tcPr>
          <w:p>
            <w:pPr>
              <w:jc w:val="right"/>
              <w:ind w:right="86"/>
              <w:spacing w:after="0"/>
              <w:rPr>
                <w:sz w:val="20"/>
                <w:szCs w:val="20"/>
                <w:color w:val="auto"/>
              </w:rPr>
            </w:pPr>
            <w:r>
              <w:rPr>
                <w:rFonts w:ascii="Arial" w:cs="Arial" w:eastAsia="Arial" w:hAnsi="Arial"/>
                <w:sz w:val="11"/>
                <w:szCs w:val="11"/>
                <w:color w:val="auto"/>
              </w:rPr>
              <w:t>0.8</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tcPr>
          <w:p>
            <w:pPr>
              <w:jc w:val="right"/>
              <w:ind w:right="86"/>
              <w:spacing w:after="0"/>
              <w:rPr>
                <w:sz w:val="20"/>
                <w:szCs w:val="20"/>
                <w:color w:val="auto"/>
              </w:rPr>
            </w:pPr>
            <w:r>
              <w:rPr>
                <w:rFonts w:ascii="Arial" w:cs="Arial" w:eastAsia="Arial" w:hAnsi="Arial"/>
                <w:sz w:val="11"/>
                <w:szCs w:val="11"/>
                <w:color w:val="auto"/>
              </w:rPr>
              <w:t>1.2</w:t>
            </w:r>
          </w:p>
        </w:tc>
      </w:tr>
      <w:tr>
        <w:trPr>
          <w:trHeight w:val="162"/>
        </w:trPr>
        <w:tc>
          <w:tcPr>
            <w:tcW w:w="77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Adjusted Gross Profit</w:t>
            </w: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680" w:type="dxa"/>
            <w:vAlign w:val="bottom"/>
            <w:shd w:val="clear" w:color="auto" w:fill="CCEEFF"/>
          </w:tcPr>
          <w:p>
            <w:pPr>
              <w:jc w:val="right"/>
              <w:ind w:right="86"/>
              <w:spacing w:after="0"/>
              <w:rPr>
                <w:sz w:val="20"/>
                <w:szCs w:val="20"/>
                <w:color w:val="auto"/>
              </w:rPr>
            </w:pPr>
            <w:r>
              <w:rPr>
                <w:rFonts w:ascii="Arial" w:cs="Arial" w:eastAsia="Arial" w:hAnsi="Arial"/>
                <w:sz w:val="11"/>
                <w:szCs w:val="11"/>
                <w:b w:val="1"/>
                <w:bCs w:val="1"/>
                <w:color w:val="auto"/>
              </w:rPr>
              <w:t>182.6</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1360" w:type="dxa"/>
            <w:vAlign w:val="bottom"/>
            <w:shd w:val="clear" w:color="auto" w:fill="CCEEFF"/>
          </w:tcPr>
          <w:p>
            <w:pPr>
              <w:jc w:val="right"/>
              <w:ind w:right="86"/>
              <w:spacing w:after="0"/>
              <w:rPr>
                <w:sz w:val="20"/>
                <w:szCs w:val="20"/>
                <w:color w:val="auto"/>
              </w:rPr>
            </w:pPr>
            <w:r>
              <w:rPr>
                <w:rFonts w:ascii="Arial" w:cs="Arial" w:eastAsia="Arial" w:hAnsi="Arial"/>
                <w:sz w:val="11"/>
                <w:szCs w:val="11"/>
                <w:b w:val="1"/>
                <w:bCs w:val="1"/>
                <w:color w:val="auto"/>
              </w:rPr>
              <w:t>751.2</w:t>
            </w:r>
          </w:p>
        </w:tc>
      </w:tr>
      <w:tr>
        <w:trPr>
          <w:trHeight w:val="156"/>
        </w:trPr>
        <w:tc>
          <w:tcPr>
            <w:tcW w:w="7700" w:type="dxa"/>
            <w:vAlign w:val="bottom"/>
          </w:tcPr>
          <w:p>
            <w:pPr>
              <w:ind w:left="20"/>
              <w:spacing w:after="0"/>
              <w:rPr>
                <w:sz w:val="20"/>
                <w:szCs w:val="20"/>
                <w:color w:val="auto"/>
              </w:rPr>
            </w:pPr>
            <w:r>
              <w:rPr>
                <w:rFonts w:ascii="Arial" w:cs="Arial" w:eastAsia="Arial" w:hAnsi="Arial"/>
                <w:sz w:val="11"/>
                <w:szCs w:val="11"/>
                <w:b w:val="1"/>
                <w:bCs w:val="1"/>
                <w:i w:val="1"/>
                <w:iCs w:val="1"/>
                <w:color w:val="auto"/>
              </w:rPr>
              <w:t>Adjusted Gross Profit Margin</w:t>
            </w:r>
          </w:p>
        </w:tc>
        <w:tc>
          <w:tcPr>
            <w:tcW w:w="8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1"/>
                <w:szCs w:val="11"/>
                <w:b w:val="1"/>
                <w:bCs w:val="1"/>
                <w:i w:val="1"/>
                <w:iCs w:val="1"/>
                <w:color w:val="auto"/>
              </w:rPr>
              <w:t>64.8 %</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1"/>
                <w:szCs w:val="11"/>
                <w:b w:val="1"/>
                <w:bCs w:val="1"/>
                <w:i w:val="1"/>
                <w:iCs w:val="1"/>
                <w:color w:val="auto"/>
              </w:rPr>
              <w:t>67.0 %</w:t>
            </w:r>
          </w:p>
        </w:tc>
      </w:tr>
      <w:tr>
        <w:trPr>
          <w:trHeight w:val="186"/>
        </w:trPr>
        <w:tc>
          <w:tcPr>
            <w:tcW w:w="7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r>
      <w:tr>
        <w:trPr>
          <w:trHeight w:val="156"/>
        </w:trPr>
        <w:tc>
          <w:tcPr>
            <w:tcW w:w="7700" w:type="dxa"/>
            <w:vAlign w:val="bottom"/>
          </w:tcPr>
          <w:p>
            <w:pPr>
              <w:ind w:left="20"/>
              <w:spacing w:after="0"/>
              <w:rPr>
                <w:sz w:val="20"/>
                <w:szCs w:val="20"/>
                <w:color w:val="auto"/>
              </w:rPr>
            </w:pPr>
            <w:r>
              <w:rPr>
                <w:rFonts w:ascii="Arial" w:cs="Arial" w:eastAsia="Arial" w:hAnsi="Arial"/>
                <w:sz w:val="11"/>
                <w:szCs w:val="11"/>
                <w:b w:val="1"/>
                <w:bCs w:val="1"/>
                <w:color w:val="auto"/>
              </w:rPr>
              <w:t>GAAP Operating Income</w:t>
            </w:r>
          </w:p>
        </w:tc>
        <w:tc>
          <w:tcPr>
            <w:tcW w:w="8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1680" w:type="dxa"/>
            <w:vAlign w:val="bottom"/>
          </w:tcPr>
          <w:p>
            <w:pPr>
              <w:jc w:val="right"/>
              <w:ind w:right="86"/>
              <w:spacing w:after="0"/>
              <w:rPr>
                <w:sz w:val="20"/>
                <w:szCs w:val="20"/>
                <w:color w:val="auto"/>
              </w:rPr>
            </w:pPr>
            <w:r>
              <w:rPr>
                <w:rFonts w:ascii="Arial" w:cs="Arial" w:eastAsia="Arial" w:hAnsi="Arial"/>
                <w:sz w:val="11"/>
                <w:szCs w:val="11"/>
                <w:b w:val="1"/>
                <w:bCs w:val="1"/>
                <w:color w:val="auto"/>
              </w:rPr>
              <w:t>25.8</w:t>
            </w:r>
          </w:p>
        </w:tc>
        <w:tc>
          <w:tcPr>
            <w:tcW w:w="80" w:type="dxa"/>
            <w:vAlign w:val="bottom"/>
          </w:tcPr>
          <w:p>
            <w:pPr>
              <w:spacing w:after="0"/>
              <w:rPr>
                <w:sz w:val="13"/>
                <w:szCs w:val="13"/>
                <w:color w:val="auto"/>
              </w:rPr>
            </w:pPr>
          </w:p>
        </w:tc>
        <w:tc>
          <w:tcPr>
            <w:tcW w:w="380" w:type="dxa"/>
            <w:vAlign w:val="bottom"/>
          </w:tcPr>
          <w:p>
            <w:pPr>
              <w:ind w:left="20"/>
              <w:spacing w:after="0"/>
              <w:rPr>
                <w:sz w:val="20"/>
                <w:szCs w:val="20"/>
                <w:color w:val="auto"/>
              </w:rPr>
            </w:pPr>
            <w:r>
              <w:rPr>
                <w:rFonts w:ascii="Arial" w:cs="Arial" w:eastAsia="Arial" w:hAnsi="Arial"/>
                <w:sz w:val="11"/>
                <w:szCs w:val="11"/>
                <w:b w:val="1"/>
                <w:bCs w:val="1"/>
                <w:color w:val="auto"/>
              </w:rPr>
              <w:t>$</w:t>
            </w:r>
          </w:p>
        </w:tc>
        <w:tc>
          <w:tcPr>
            <w:tcW w:w="1360" w:type="dxa"/>
            <w:vAlign w:val="bottom"/>
          </w:tcPr>
          <w:p>
            <w:pPr>
              <w:jc w:val="right"/>
              <w:ind w:right="86"/>
              <w:spacing w:after="0"/>
              <w:rPr>
                <w:sz w:val="20"/>
                <w:szCs w:val="20"/>
                <w:color w:val="auto"/>
              </w:rPr>
            </w:pPr>
            <w:r>
              <w:rPr>
                <w:rFonts w:ascii="Arial" w:cs="Arial" w:eastAsia="Arial" w:hAnsi="Arial"/>
                <w:sz w:val="11"/>
                <w:szCs w:val="11"/>
                <w:b w:val="1"/>
                <w:bCs w:val="1"/>
                <w:color w:val="auto"/>
              </w:rPr>
              <w:t>221.5</w:t>
            </w:r>
          </w:p>
        </w:tc>
      </w:tr>
      <w:tr>
        <w:trPr>
          <w:trHeight w:val="168"/>
        </w:trPr>
        <w:tc>
          <w:tcPr>
            <w:tcW w:w="7700" w:type="dxa"/>
            <w:vAlign w:val="bottom"/>
            <w:shd w:val="clear" w:color="auto" w:fill="CCEEFF"/>
          </w:tcPr>
          <w:p>
            <w:pPr>
              <w:ind w:left="20"/>
              <w:spacing w:after="0"/>
              <w:rPr>
                <w:sz w:val="20"/>
                <w:szCs w:val="20"/>
                <w:color w:val="auto"/>
              </w:rPr>
            </w:pPr>
            <w:r>
              <w:rPr>
                <w:rFonts w:ascii="Arial" w:cs="Arial" w:eastAsia="Arial" w:hAnsi="Arial"/>
                <w:sz w:val="11"/>
                <w:szCs w:val="11"/>
                <w:b w:val="1"/>
                <w:bCs w:val="1"/>
                <w:i w:val="1"/>
                <w:iCs w:val="1"/>
                <w:color w:val="auto"/>
              </w:rPr>
              <w:t>GAAP Operating Income Margin</w:t>
            </w:r>
          </w:p>
        </w:tc>
        <w:tc>
          <w:tcPr>
            <w:tcW w:w="8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1"/>
                <w:szCs w:val="11"/>
                <w:b w:val="1"/>
                <w:bCs w:val="1"/>
                <w:i w:val="1"/>
                <w:iCs w:val="1"/>
                <w:color w:val="auto"/>
              </w:rPr>
              <w:t>9.2 %</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b w:val="1"/>
                <w:bCs w:val="1"/>
                <w:i w:val="1"/>
                <w:iCs w:val="1"/>
                <w:color w:val="auto"/>
              </w:rPr>
              <w:t>19.8 %</w:t>
            </w:r>
          </w:p>
        </w:tc>
      </w:tr>
      <w:tr>
        <w:trPr>
          <w:trHeight w:val="162"/>
        </w:trPr>
        <w:tc>
          <w:tcPr>
            <w:tcW w:w="7700" w:type="dxa"/>
            <w:vAlign w:val="bottom"/>
          </w:tcPr>
          <w:p>
            <w:pPr>
              <w:ind w:left="20"/>
              <w:spacing w:after="0"/>
              <w:rPr>
                <w:sz w:val="20"/>
                <w:szCs w:val="20"/>
                <w:color w:val="auto"/>
              </w:rPr>
            </w:pPr>
            <w:r>
              <w:rPr>
                <w:rFonts w:ascii="Arial" w:cs="Arial" w:eastAsia="Arial" w:hAnsi="Arial"/>
                <w:sz w:val="11"/>
                <w:szCs w:val="11"/>
                <w:color w:val="auto"/>
              </w:rPr>
              <w:t xml:space="preserve">Amortization of intangible assets </w:t>
            </w:r>
            <w:r>
              <w:rPr>
                <w:rFonts w:ascii="Arial" w:cs="Arial" w:eastAsia="Arial" w:hAnsi="Arial"/>
                <w:sz w:val="14"/>
                <w:szCs w:val="14"/>
                <w:color w:val="auto"/>
                <w:vertAlign w:val="superscript"/>
              </w:rPr>
              <w:t>(2)</w:t>
            </w:r>
          </w:p>
        </w:tc>
        <w:tc>
          <w:tcPr>
            <w:tcW w:w="80" w:type="dxa"/>
            <w:vAlign w:val="bottom"/>
          </w:tcPr>
          <w:p>
            <w:pPr>
              <w:spacing w:after="0"/>
              <w:rPr>
                <w:sz w:val="14"/>
                <w:szCs w:val="14"/>
                <w:color w:val="auto"/>
              </w:rPr>
            </w:pPr>
          </w:p>
        </w:tc>
        <w:tc>
          <w:tcPr>
            <w:tcW w:w="1680" w:type="dxa"/>
            <w:vAlign w:val="bottom"/>
          </w:tcPr>
          <w:p>
            <w:pPr>
              <w:jc w:val="right"/>
              <w:ind w:right="86"/>
              <w:spacing w:after="0"/>
              <w:rPr>
                <w:sz w:val="20"/>
                <w:szCs w:val="20"/>
                <w:color w:val="auto"/>
              </w:rPr>
            </w:pPr>
            <w:r>
              <w:rPr>
                <w:rFonts w:ascii="Arial" w:cs="Arial" w:eastAsia="Arial" w:hAnsi="Arial"/>
                <w:sz w:val="11"/>
                <w:szCs w:val="11"/>
                <w:color w:val="auto"/>
              </w:rPr>
              <w:t>0.8</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tcPr>
          <w:p>
            <w:pPr>
              <w:jc w:val="right"/>
              <w:ind w:right="86"/>
              <w:spacing w:after="0"/>
              <w:rPr>
                <w:sz w:val="20"/>
                <w:szCs w:val="20"/>
                <w:color w:val="auto"/>
              </w:rPr>
            </w:pPr>
            <w:r>
              <w:rPr>
                <w:rFonts w:ascii="Arial" w:cs="Arial" w:eastAsia="Arial" w:hAnsi="Arial"/>
                <w:sz w:val="11"/>
                <w:szCs w:val="11"/>
                <w:color w:val="auto"/>
              </w:rPr>
              <w:t>1.2</w:t>
            </w:r>
          </w:p>
        </w:tc>
      </w:tr>
      <w:tr>
        <w:trPr>
          <w:trHeight w:val="162"/>
        </w:trPr>
        <w:tc>
          <w:tcPr>
            <w:tcW w:w="770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One-time stand up costs </w:t>
            </w:r>
            <w:r>
              <w:rPr>
                <w:rFonts w:ascii="Arial" w:cs="Arial" w:eastAsia="Arial" w:hAnsi="Arial"/>
                <w:sz w:val="14"/>
                <w:szCs w:val="14"/>
                <w:color w:val="auto"/>
                <w:vertAlign w:val="superscript"/>
              </w:rPr>
              <w:t>(3)</w:t>
            </w:r>
          </w:p>
        </w:tc>
        <w:tc>
          <w:tcPr>
            <w:tcW w:w="80" w:type="dxa"/>
            <w:vAlign w:val="bottom"/>
            <w:shd w:val="clear" w:color="auto" w:fill="CCEEFF"/>
          </w:tcPr>
          <w:p>
            <w:pPr>
              <w:spacing w:after="0"/>
              <w:rPr>
                <w:sz w:val="14"/>
                <w:szCs w:val="14"/>
                <w:color w:val="auto"/>
              </w:rPr>
            </w:pPr>
          </w:p>
        </w:tc>
        <w:tc>
          <w:tcPr>
            <w:tcW w:w="168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31.8</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93.7</w:t>
            </w:r>
          </w:p>
        </w:tc>
      </w:tr>
      <w:tr>
        <w:trPr>
          <w:trHeight w:val="162"/>
        </w:trPr>
        <w:tc>
          <w:tcPr>
            <w:tcW w:w="7700" w:type="dxa"/>
            <w:vAlign w:val="bottom"/>
          </w:tcPr>
          <w:p>
            <w:pPr>
              <w:ind w:left="20"/>
              <w:spacing w:after="0"/>
              <w:rPr>
                <w:sz w:val="20"/>
                <w:szCs w:val="20"/>
                <w:color w:val="auto"/>
              </w:rPr>
            </w:pPr>
            <w:r>
              <w:rPr>
                <w:rFonts w:ascii="Arial" w:cs="Arial" w:eastAsia="Arial" w:hAnsi="Arial"/>
                <w:sz w:val="11"/>
                <w:szCs w:val="11"/>
                <w:color w:val="auto"/>
              </w:rPr>
              <w:t xml:space="preserve">EU MDR </w:t>
            </w:r>
            <w:r>
              <w:rPr>
                <w:rFonts w:ascii="Arial" w:cs="Arial" w:eastAsia="Arial" w:hAnsi="Arial"/>
                <w:sz w:val="14"/>
                <w:szCs w:val="14"/>
                <w:color w:val="auto"/>
                <w:vertAlign w:val="superscript"/>
              </w:rPr>
              <w:t>(4)</w:t>
            </w:r>
          </w:p>
        </w:tc>
        <w:tc>
          <w:tcPr>
            <w:tcW w:w="80" w:type="dxa"/>
            <w:vAlign w:val="bottom"/>
          </w:tcPr>
          <w:p>
            <w:pPr>
              <w:spacing w:after="0"/>
              <w:rPr>
                <w:sz w:val="14"/>
                <w:szCs w:val="14"/>
                <w:color w:val="auto"/>
              </w:rPr>
            </w:pPr>
          </w:p>
        </w:tc>
        <w:tc>
          <w:tcPr>
            <w:tcW w:w="1680" w:type="dxa"/>
            <w:vAlign w:val="bottom"/>
          </w:tcPr>
          <w:p>
            <w:pPr>
              <w:jc w:val="right"/>
              <w:ind w:right="86"/>
              <w:spacing w:after="0"/>
              <w:rPr>
                <w:sz w:val="20"/>
                <w:szCs w:val="20"/>
                <w:color w:val="auto"/>
              </w:rPr>
            </w:pPr>
            <w:r>
              <w:rPr>
                <w:rFonts w:ascii="Arial" w:cs="Arial" w:eastAsia="Arial" w:hAnsi="Arial"/>
                <w:sz w:val="11"/>
                <w:szCs w:val="11"/>
                <w:color w:val="auto"/>
              </w:rPr>
              <w:t>0.6</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tcPr>
          <w:p>
            <w:pPr>
              <w:jc w:val="right"/>
              <w:ind w:right="86"/>
              <w:spacing w:after="0"/>
              <w:rPr>
                <w:sz w:val="20"/>
                <w:szCs w:val="20"/>
                <w:color w:val="auto"/>
              </w:rPr>
            </w:pPr>
            <w:r>
              <w:rPr>
                <w:rFonts w:ascii="Arial" w:cs="Arial" w:eastAsia="Arial" w:hAnsi="Arial"/>
                <w:sz w:val="11"/>
                <w:szCs w:val="11"/>
                <w:color w:val="auto"/>
              </w:rPr>
              <w:t>1.3</w:t>
            </w:r>
          </w:p>
        </w:tc>
      </w:tr>
      <w:tr>
        <w:trPr>
          <w:trHeight w:val="162"/>
        </w:trPr>
        <w:tc>
          <w:tcPr>
            <w:tcW w:w="770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Stock-based compensation expense </w:t>
            </w:r>
            <w:r>
              <w:rPr>
                <w:rFonts w:ascii="Arial" w:cs="Arial" w:eastAsia="Arial" w:hAnsi="Arial"/>
                <w:sz w:val="14"/>
                <w:szCs w:val="14"/>
                <w:color w:val="auto"/>
                <w:vertAlign w:val="superscript"/>
              </w:rPr>
              <w:t>(5)</w:t>
            </w:r>
          </w:p>
        </w:tc>
        <w:tc>
          <w:tcPr>
            <w:tcW w:w="80" w:type="dxa"/>
            <w:vAlign w:val="bottom"/>
            <w:shd w:val="clear" w:color="auto" w:fill="CCEEFF"/>
          </w:tcPr>
          <w:p>
            <w:pPr>
              <w:spacing w:after="0"/>
              <w:rPr>
                <w:sz w:val="14"/>
                <w:szCs w:val="14"/>
                <w:color w:val="auto"/>
              </w:rPr>
            </w:pPr>
          </w:p>
        </w:tc>
        <w:tc>
          <w:tcPr>
            <w:tcW w:w="168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1.1</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5.7</w:t>
            </w:r>
          </w:p>
        </w:tc>
      </w:tr>
      <w:tr>
        <w:trPr>
          <w:trHeight w:val="162"/>
        </w:trPr>
        <w:tc>
          <w:tcPr>
            <w:tcW w:w="7700" w:type="dxa"/>
            <w:vAlign w:val="bottom"/>
          </w:tcPr>
          <w:p>
            <w:pPr>
              <w:ind w:left="20"/>
              <w:spacing w:after="0"/>
              <w:rPr>
                <w:sz w:val="20"/>
                <w:szCs w:val="20"/>
                <w:color w:val="auto"/>
              </w:rPr>
            </w:pPr>
            <w:r>
              <w:rPr>
                <w:rFonts w:ascii="Arial" w:cs="Arial" w:eastAsia="Arial" w:hAnsi="Arial"/>
                <w:sz w:val="11"/>
                <w:szCs w:val="11"/>
                <w:color w:val="auto"/>
              </w:rPr>
              <w:t xml:space="preserve">Impairment losses </w:t>
            </w:r>
            <w:r>
              <w:rPr>
                <w:rFonts w:ascii="Arial" w:cs="Arial" w:eastAsia="Arial" w:hAnsi="Arial"/>
                <w:sz w:val="14"/>
                <w:szCs w:val="14"/>
                <w:color w:val="auto"/>
                <w:vertAlign w:val="superscript"/>
              </w:rPr>
              <w:t>(6)</w:t>
            </w:r>
          </w:p>
        </w:tc>
        <w:tc>
          <w:tcPr>
            <w:tcW w:w="80" w:type="dxa"/>
            <w:vAlign w:val="bottom"/>
          </w:tcPr>
          <w:p>
            <w:pPr>
              <w:spacing w:after="0"/>
              <w:rPr>
                <w:sz w:val="14"/>
                <w:szCs w:val="14"/>
                <w:color w:val="auto"/>
              </w:rPr>
            </w:pPr>
          </w:p>
        </w:tc>
        <w:tc>
          <w:tcPr>
            <w:tcW w:w="1680" w:type="dxa"/>
            <w:vAlign w:val="bottom"/>
          </w:tcPr>
          <w:p>
            <w:pPr>
              <w:jc w:val="right"/>
              <w:ind w:right="86"/>
              <w:spacing w:after="0"/>
              <w:rPr>
                <w:sz w:val="20"/>
                <w:szCs w:val="20"/>
                <w:color w:val="auto"/>
              </w:rPr>
            </w:pPr>
            <w:r>
              <w:rPr>
                <w:rFonts w:ascii="Arial" w:cs="Arial" w:eastAsia="Arial" w:hAnsi="Arial"/>
                <w:sz w:val="11"/>
                <w:szCs w:val="11"/>
                <w:color w:val="auto"/>
              </w:rPr>
              <w:t>2.5</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tcPr>
          <w:p>
            <w:pPr>
              <w:jc w:val="right"/>
              <w:ind w:right="86"/>
              <w:spacing w:after="0"/>
              <w:rPr>
                <w:sz w:val="20"/>
                <w:szCs w:val="20"/>
                <w:color w:val="auto"/>
              </w:rPr>
            </w:pPr>
            <w:r>
              <w:rPr>
                <w:rFonts w:ascii="Arial" w:cs="Arial" w:eastAsia="Arial" w:hAnsi="Arial"/>
                <w:sz w:val="11"/>
                <w:szCs w:val="11"/>
                <w:color w:val="auto"/>
              </w:rPr>
              <w:t>2.5</w:t>
            </w:r>
          </w:p>
        </w:tc>
      </w:tr>
      <w:tr>
        <w:trPr>
          <w:trHeight w:val="162"/>
        </w:trPr>
        <w:tc>
          <w:tcPr>
            <w:tcW w:w="770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Business optimization and severance related costs </w:t>
            </w:r>
            <w:r>
              <w:rPr>
                <w:rFonts w:ascii="Arial" w:cs="Arial" w:eastAsia="Arial" w:hAnsi="Arial"/>
                <w:sz w:val="14"/>
                <w:szCs w:val="14"/>
                <w:color w:val="auto"/>
                <w:vertAlign w:val="superscript"/>
              </w:rPr>
              <w:t>(7)</w:t>
            </w:r>
          </w:p>
        </w:tc>
        <w:tc>
          <w:tcPr>
            <w:tcW w:w="80" w:type="dxa"/>
            <w:vAlign w:val="bottom"/>
            <w:shd w:val="clear" w:color="auto" w:fill="CCEEFF"/>
          </w:tcPr>
          <w:p>
            <w:pPr>
              <w:spacing w:after="0"/>
              <w:rPr>
                <w:sz w:val="14"/>
                <w:szCs w:val="14"/>
                <w:color w:val="auto"/>
              </w:rPr>
            </w:pPr>
          </w:p>
        </w:tc>
        <w:tc>
          <w:tcPr>
            <w:tcW w:w="168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2.6</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5.6</w:t>
            </w:r>
          </w:p>
        </w:tc>
      </w:tr>
      <w:tr>
        <w:trPr>
          <w:trHeight w:val="180"/>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Adjusted Operating Income</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16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65.2</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w:t>
            </w:r>
          </w:p>
        </w:tc>
        <w:tc>
          <w:tcPr>
            <w:tcW w:w="136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331.5</w:t>
            </w:r>
          </w:p>
        </w:tc>
      </w:tr>
      <w:tr>
        <w:trPr>
          <w:trHeight w:val="160"/>
        </w:trPr>
        <w:tc>
          <w:tcPr>
            <w:tcW w:w="7700" w:type="dxa"/>
            <w:vAlign w:val="bottom"/>
            <w:shd w:val="clear" w:color="auto" w:fill="CCEEFF"/>
          </w:tcPr>
          <w:p>
            <w:pPr>
              <w:ind w:left="20"/>
              <w:spacing w:after="0"/>
              <w:rPr>
                <w:sz w:val="20"/>
                <w:szCs w:val="20"/>
                <w:color w:val="auto"/>
              </w:rPr>
            </w:pPr>
            <w:r>
              <w:rPr>
                <w:rFonts w:ascii="Arial" w:cs="Arial" w:eastAsia="Arial" w:hAnsi="Arial"/>
                <w:sz w:val="11"/>
                <w:szCs w:val="11"/>
                <w:b w:val="1"/>
                <w:bCs w:val="1"/>
                <w:i w:val="1"/>
                <w:iCs w:val="1"/>
                <w:color w:val="auto"/>
              </w:rPr>
              <w:t>Adjusted Operating Income Margin</w:t>
            </w:r>
          </w:p>
        </w:tc>
        <w:tc>
          <w:tcPr>
            <w:tcW w:w="80" w:type="dxa"/>
            <w:vAlign w:val="bottom"/>
            <w:shd w:val="clear" w:color="auto" w:fill="CCEEFF"/>
          </w:tcPr>
          <w:p>
            <w:pPr>
              <w:spacing w:after="0"/>
              <w:rPr>
                <w:sz w:val="13"/>
                <w:szCs w:val="13"/>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1"/>
                <w:szCs w:val="11"/>
                <w:b w:val="1"/>
                <w:bCs w:val="1"/>
                <w:i w:val="1"/>
                <w:iCs w:val="1"/>
                <w:color w:val="auto"/>
              </w:rPr>
              <w:t>23.1 %</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b w:val="1"/>
                <w:bCs w:val="1"/>
                <w:i w:val="1"/>
                <w:iCs w:val="1"/>
                <w:color w:val="auto"/>
              </w:rPr>
              <w:t>29.6 %</w:t>
            </w:r>
          </w:p>
        </w:tc>
      </w:tr>
      <w:tr>
        <w:trPr>
          <w:trHeight w:val="180"/>
        </w:trPr>
        <w:tc>
          <w:tcPr>
            <w:tcW w:w="7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62"/>
        </w:trPr>
        <w:tc>
          <w:tcPr>
            <w:tcW w:w="77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Income Before Income Taxes</w:t>
            </w: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680" w:type="dxa"/>
            <w:vAlign w:val="bottom"/>
            <w:shd w:val="clear" w:color="auto" w:fill="CCEEFF"/>
          </w:tcPr>
          <w:p>
            <w:pPr>
              <w:jc w:val="right"/>
              <w:ind w:right="86"/>
              <w:spacing w:after="0"/>
              <w:rPr>
                <w:sz w:val="20"/>
                <w:szCs w:val="20"/>
                <w:color w:val="auto"/>
              </w:rPr>
            </w:pPr>
            <w:r>
              <w:rPr>
                <w:rFonts w:ascii="Arial" w:cs="Arial" w:eastAsia="Arial" w:hAnsi="Arial"/>
                <w:sz w:val="11"/>
                <w:szCs w:val="11"/>
                <w:b w:val="1"/>
                <w:bCs w:val="1"/>
                <w:color w:val="auto"/>
              </w:rPr>
              <w:t>5.0</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1360" w:type="dxa"/>
            <w:vAlign w:val="bottom"/>
            <w:shd w:val="clear" w:color="auto" w:fill="CCEEFF"/>
          </w:tcPr>
          <w:p>
            <w:pPr>
              <w:jc w:val="right"/>
              <w:ind w:right="86"/>
              <w:spacing w:after="0"/>
              <w:rPr>
                <w:sz w:val="20"/>
                <w:szCs w:val="20"/>
                <w:color w:val="auto"/>
              </w:rPr>
            </w:pPr>
            <w:r>
              <w:rPr>
                <w:rFonts w:ascii="Arial" w:cs="Arial" w:eastAsia="Arial" w:hAnsi="Arial"/>
                <w:sz w:val="11"/>
                <w:szCs w:val="11"/>
                <w:b w:val="1"/>
                <w:bCs w:val="1"/>
                <w:color w:val="auto"/>
              </w:rPr>
              <w:t>105.7</w:t>
            </w:r>
          </w:p>
        </w:tc>
      </w:tr>
      <w:tr>
        <w:trPr>
          <w:trHeight w:val="140"/>
        </w:trPr>
        <w:tc>
          <w:tcPr>
            <w:tcW w:w="7700" w:type="dxa"/>
            <w:vAlign w:val="bottom"/>
          </w:tcPr>
          <w:p>
            <w:pPr>
              <w:ind w:left="160"/>
              <w:spacing w:after="0"/>
              <w:rPr>
                <w:sz w:val="20"/>
                <w:szCs w:val="20"/>
                <w:color w:val="auto"/>
              </w:rPr>
            </w:pPr>
            <w:r>
              <w:rPr>
                <w:rFonts w:ascii="Arial" w:cs="Arial" w:eastAsia="Arial" w:hAnsi="Arial"/>
                <w:sz w:val="11"/>
                <w:szCs w:val="11"/>
                <w:color w:val="auto"/>
              </w:rPr>
              <w:t>Adjustments:</w:t>
            </w: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22"/>
        </w:trPr>
        <w:tc>
          <w:tcPr>
            <w:tcW w:w="7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62"/>
        </w:trPr>
        <w:tc>
          <w:tcPr>
            <w:tcW w:w="7700" w:type="dxa"/>
            <w:vAlign w:val="bottom"/>
            <w:shd w:val="clear" w:color="auto" w:fill="CCEEFF"/>
          </w:tcPr>
          <w:p>
            <w:pPr>
              <w:ind w:left="160"/>
              <w:spacing w:after="0"/>
              <w:rPr>
                <w:sz w:val="20"/>
                <w:szCs w:val="20"/>
                <w:color w:val="auto"/>
              </w:rPr>
            </w:pPr>
            <w:r>
              <w:rPr>
                <w:rFonts w:ascii="Arial" w:cs="Arial" w:eastAsia="Arial" w:hAnsi="Arial"/>
                <w:sz w:val="11"/>
                <w:szCs w:val="11"/>
                <w:color w:val="auto"/>
              </w:rPr>
              <w:t xml:space="preserve">Amortization of intangible assets </w:t>
            </w:r>
            <w:r>
              <w:rPr>
                <w:rFonts w:ascii="Arial" w:cs="Arial" w:eastAsia="Arial" w:hAnsi="Arial"/>
                <w:sz w:val="14"/>
                <w:szCs w:val="14"/>
                <w:color w:val="auto"/>
                <w:vertAlign w:val="superscript"/>
              </w:rPr>
              <w:t>(2)</w:t>
            </w:r>
          </w:p>
        </w:tc>
        <w:tc>
          <w:tcPr>
            <w:tcW w:w="80" w:type="dxa"/>
            <w:vAlign w:val="bottom"/>
            <w:shd w:val="clear" w:color="auto" w:fill="CCEEFF"/>
          </w:tcPr>
          <w:p>
            <w:pPr>
              <w:spacing w:after="0"/>
              <w:rPr>
                <w:sz w:val="14"/>
                <w:szCs w:val="14"/>
                <w:color w:val="auto"/>
              </w:rPr>
            </w:pPr>
          </w:p>
        </w:tc>
        <w:tc>
          <w:tcPr>
            <w:tcW w:w="168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0.8</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1.2</w:t>
            </w:r>
          </w:p>
        </w:tc>
      </w:tr>
      <w:tr>
        <w:trPr>
          <w:trHeight w:val="162"/>
        </w:trPr>
        <w:tc>
          <w:tcPr>
            <w:tcW w:w="7700" w:type="dxa"/>
            <w:vAlign w:val="bottom"/>
          </w:tcPr>
          <w:p>
            <w:pPr>
              <w:ind w:left="160"/>
              <w:spacing w:after="0"/>
              <w:rPr>
                <w:sz w:val="20"/>
                <w:szCs w:val="20"/>
                <w:color w:val="auto"/>
              </w:rPr>
            </w:pPr>
            <w:r>
              <w:rPr>
                <w:rFonts w:ascii="Arial" w:cs="Arial" w:eastAsia="Arial" w:hAnsi="Arial"/>
                <w:sz w:val="11"/>
                <w:szCs w:val="11"/>
                <w:color w:val="auto"/>
              </w:rPr>
              <w:t xml:space="preserve">One-time stand up costs </w:t>
            </w:r>
            <w:r>
              <w:rPr>
                <w:rFonts w:ascii="Arial" w:cs="Arial" w:eastAsia="Arial" w:hAnsi="Arial"/>
                <w:sz w:val="14"/>
                <w:szCs w:val="14"/>
                <w:color w:val="auto"/>
                <w:vertAlign w:val="superscript"/>
              </w:rPr>
              <w:t>(3)</w:t>
            </w:r>
          </w:p>
        </w:tc>
        <w:tc>
          <w:tcPr>
            <w:tcW w:w="80" w:type="dxa"/>
            <w:vAlign w:val="bottom"/>
          </w:tcPr>
          <w:p>
            <w:pPr>
              <w:spacing w:after="0"/>
              <w:rPr>
                <w:sz w:val="14"/>
                <w:szCs w:val="14"/>
                <w:color w:val="auto"/>
              </w:rPr>
            </w:pPr>
          </w:p>
        </w:tc>
        <w:tc>
          <w:tcPr>
            <w:tcW w:w="1680" w:type="dxa"/>
            <w:vAlign w:val="bottom"/>
          </w:tcPr>
          <w:p>
            <w:pPr>
              <w:jc w:val="right"/>
              <w:ind w:right="86"/>
              <w:spacing w:after="0"/>
              <w:rPr>
                <w:sz w:val="20"/>
                <w:szCs w:val="20"/>
                <w:color w:val="auto"/>
              </w:rPr>
            </w:pPr>
            <w:r>
              <w:rPr>
                <w:rFonts w:ascii="Arial" w:cs="Arial" w:eastAsia="Arial" w:hAnsi="Arial"/>
                <w:sz w:val="11"/>
                <w:szCs w:val="11"/>
                <w:color w:val="auto"/>
              </w:rPr>
              <w:t>31.8</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tcPr>
          <w:p>
            <w:pPr>
              <w:jc w:val="right"/>
              <w:ind w:right="86"/>
              <w:spacing w:after="0"/>
              <w:rPr>
                <w:sz w:val="20"/>
                <w:szCs w:val="20"/>
                <w:color w:val="auto"/>
              </w:rPr>
            </w:pPr>
            <w:r>
              <w:rPr>
                <w:rFonts w:ascii="Arial" w:cs="Arial" w:eastAsia="Arial" w:hAnsi="Arial"/>
                <w:sz w:val="11"/>
                <w:szCs w:val="11"/>
                <w:color w:val="auto"/>
              </w:rPr>
              <w:t>93.7</w:t>
            </w:r>
          </w:p>
        </w:tc>
      </w:tr>
      <w:tr>
        <w:trPr>
          <w:trHeight w:val="162"/>
        </w:trPr>
        <w:tc>
          <w:tcPr>
            <w:tcW w:w="7700" w:type="dxa"/>
            <w:vAlign w:val="bottom"/>
            <w:shd w:val="clear" w:color="auto" w:fill="CCEEFF"/>
          </w:tcPr>
          <w:p>
            <w:pPr>
              <w:ind w:left="160"/>
              <w:spacing w:after="0"/>
              <w:rPr>
                <w:sz w:val="20"/>
                <w:szCs w:val="20"/>
                <w:color w:val="auto"/>
              </w:rPr>
            </w:pPr>
            <w:r>
              <w:rPr>
                <w:rFonts w:ascii="Arial" w:cs="Arial" w:eastAsia="Arial" w:hAnsi="Arial"/>
                <w:sz w:val="11"/>
                <w:szCs w:val="11"/>
                <w:color w:val="auto"/>
              </w:rPr>
              <w:t xml:space="preserve">EU MDR </w:t>
            </w:r>
            <w:r>
              <w:rPr>
                <w:rFonts w:ascii="Arial" w:cs="Arial" w:eastAsia="Arial" w:hAnsi="Arial"/>
                <w:sz w:val="14"/>
                <w:szCs w:val="14"/>
                <w:color w:val="auto"/>
                <w:vertAlign w:val="superscript"/>
              </w:rPr>
              <w:t>(4)</w:t>
            </w:r>
          </w:p>
        </w:tc>
        <w:tc>
          <w:tcPr>
            <w:tcW w:w="80" w:type="dxa"/>
            <w:vAlign w:val="bottom"/>
            <w:shd w:val="clear" w:color="auto" w:fill="CCEEFF"/>
          </w:tcPr>
          <w:p>
            <w:pPr>
              <w:spacing w:after="0"/>
              <w:rPr>
                <w:sz w:val="14"/>
                <w:szCs w:val="14"/>
                <w:color w:val="auto"/>
              </w:rPr>
            </w:pPr>
          </w:p>
        </w:tc>
        <w:tc>
          <w:tcPr>
            <w:tcW w:w="168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0.6</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1.3</w:t>
            </w:r>
          </w:p>
        </w:tc>
      </w:tr>
      <w:tr>
        <w:trPr>
          <w:trHeight w:val="162"/>
        </w:trPr>
        <w:tc>
          <w:tcPr>
            <w:tcW w:w="7700" w:type="dxa"/>
            <w:vAlign w:val="bottom"/>
          </w:tcPr>
          <w:p>
            <w:pPr>
              <w:ind w:left="160"/>
              <w:spacing w:after="0"/>
              <w:rPr>
                <w:sz w:val="20"/>
                <w:szCs w:val="20"/>
                <w:color w:val="auto"/>
              </w:rPr>
            </w:pPr>
            <w:r>
              <w:rPr>
                <w:rFonts w:ascii="Arial" w:cs="Arial" w:eastAsia="Arial" w:hAnsi="Arial"/>
                <w:sz w:val="11"/>
                <w:szCs w:val="11"/>
                <w:color w:val="auto"/>
              </w:rPr>
              <w:t xml:space="preserve">Stock-based compensation expense </w:t>
            </w:r>
            <w:r>
              <w:rPr>
                <w:rFonts w:ascii="Arial" w:cs="Arial" w:eastAsia="Arial" w:hAnsi="Arial"/>
                <w:sz w:val="14"/>
                <w:szCs w:val="14"/>
                <w:color w:val="auto"/>
                <w:vertAlign w:val="superscript"/>
              </w:rPr>
              <w:t>(5)</w:t>
            </w:r>
          </w:p>
        </w:tc>
        <w:tc>
          <w:tcPr>
            <w:tcW w:w="80" w:type="dxa"/>
            <w:vAlign w:val="bottom"/>
          </w:tcPr>
          <w:p>
            <w:pPr>
              <w:spacing w:after="0"/>
              <w:rPr>
                <w:sz w:val="14"/>
                <w:szCs w:val="14"/>
                <w:color w:val="auto"/>
              </w:rPr>
            </w:pPr>
          </w:p>
        </w:tc>
        <w:tc>
          <w:tcPr>
            <w:tcW w:w="1680" w:type="dxa"/>
            <w:vAlign w:val="bottom"/>
          </w:tcPr>
          <w:p>
            <w:pPr>
              <w:jc w:val="right"/>
              <w:ind w:right="86"/>
              <w:spacing w:after="0"/>
              <w:rPr>
                <w:sz w:val="20"/>
                <w:szCs w:val="20"/>
                <w:color w:val="auto"/>
              </w:rPr>
            </w:pPr>
            <w:r>
              <w:rPr>
                <w:rFonts w:ascii="Arial" w:cs="Arial" w:eastAsia="Arial" w:hAnsi="Arial"/>
                <w:sz w:val="11"/>
                <w:szCs w:val="11"/>
                <w:color w:val="auto"/>
              </w:rPr>
              <w:t>1.1</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tcPr>
          <w:p>
            <w:pPr>
              <w:jc w:val="right"/>
              <w:ind w:right="86"/>
              <w:spacing w:after="0"/>
              <w:rPr>
                <w:sz w:val="20"/>
                <w:szCs w:val="20"/>
                <w:color w:val="auto"/>
              </w:rPr>
            </w:pPr>
            <w:r>
              <w:rPr>
                <w:rFonts w:ascii="Arial" w:cs="Arial" w:eastAsia="Arial" w:hAnsi="Arial"/>
                <w:sz w:val="11"/>
                <w:szCs w:val="11"/>
                <w:color w:val="auto"/>
              </w:rPr>
              <w:t>5.7</w:t>
            </w:r>
          </w:p>
        </w:tc>
      </w:tr>
      <w:tr>
        <w:trPr>
          <w:trHeight w:val="162"/>
        </w:trPr>
        <w:tc>
          <w:tcPr>
            <w:tcW w:w="7700" w:type="dxa"/>
            <w:vAlign w:val="bottom"/>
            <w:shd w:val="clear" w:color="auto" w:fill="CCEEFF"/>
          </w:tcPr>
          <w:p>
            <w:pPr>
              <w:ind w:left="160"/>
              <w:spacing w:after="0"/>
              <w:rPr>
                <w:sz w:val="20"/>
                <w:szCs w:val="20"/>
                <w:color w:val="auto"/>
              </w:rPr>
            </w:pPr>
            <w:r>
              <w:rPr>
                <w:rFonts w:ascii="Arial" w:cs="Arial" w:eastAsia="Arial" w:hAnsi="Arial"/>
                <w:sz w:val="11"/>
                <w:szCs w:val="11"/>
                <w:color w:val="auto"/>
              </w:rPr>
              <w:t xml:space="preserve">Impairment losses </w:t>
            </w:r>
            <w:r>
              <w:rPr>
                <w:rFonts w:ascii="Arial" w:cs="Arial" w:eastAsia="Arial" w:hAnsi="Arial"/>
                <w:sz w:val="14"/>
                <w:szCs w:val="14"/>
                <w:color w:val="auto"/>
                <w:vertAlign w:val="superscript"/>
              </w:rPr>
              <w:t>(6)</w:t>
            </w:r>
          </w:p>
        </w:tc>
        <w:tc>
          <w:tcPr>
            <w:tcW w:w="80" w:type="dxa"/>
            <w:vAlign w:val="bottom"/>
            <w:shd w:val="clear" w:color="auto" w:fill="CCEEFF"/>
          </w:tcPr>
          <w:p>
            <w:pPr>
              <w:spacing w:after="0"/>
              <w:rPr>
                <w:sz w:val="14"/>
                <w:szCs w:val="14"/>
                <w:color w:val="auto"/>
              </w:rPr>
            </w:pPr>
          </w:p>
        </w:tc>
        <w:tc>
          <w:tcPr>
            <w:tcW w:w="168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2.5</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2.5</w:t>
            </w:r>
          </w:p>
        </w:tc>
      </w:tr>
      <w:tr>
        <w:trPr>
          <w:trHeight w:val="162"/>
        </w:trPr>
        <w:tc>
          <w:tcPr>
            <w:tcW w:w="7700" w:type="dxa"/>
            <w:vAlign w:val="bottom"/>
          </w:tcPr>
          <w:p>
            <w:pPr>
              <w:ind w:left="160"/>
              <w:spacing w:after="0"/>
              <w:rPr>
                <w:sz w:val="20"/>
                <w:szCs w:val="20"/>
                <w:color w:val="auto"/>
              </w:rPr>
            </w:pPr>
            <w:r>
              <w:rPr>
                <w:rFonts w:ascii="Arial" w:cs="Arial" w:eastAsia="Arial" w:hAnsi="Arial"/>
                <w:sz w:val="11"/>
                <w:szCs w:val="11"/>
                <w:color w:val="auto"/>
              </w:rPr>
              <w:t xml:space="preserve">Business optimization and severance related costs </w:t>
            </w:r>
            <w:r>
              <w:rPr>
                <w:rFonts w:ascii="Arial" w:cs="Arial" w:eastAsia="Arial" w:hAnsi="Arial"/>
                <w:sz w:val="14"/>
                <w:szCs w:val="14"/>
                <w:color w:val="auto"/>
                <w:vertAlign w:val="superscript"/>
              </w:rPr>
              <w:t>(7)</w:t>
            </w:r>
          </w:p>
        </w:tc>
        <w:tc>
          <w:tcPr>
            <w:tcW w:w="80" w:type="dxa"/>
            <w:vAlign w:val="bottom"/>
          </w:tcPr>
          <w:p>
            <w:pPr>
              <w:spacing w:after="0"/>
              <w:rPr>
                <w:sz w:val="14"/>
                <w:szCs w:val="14"/>
                <w:color w:val="auto"/>
              </w:rPr>
            </w:pPr>
          </w:p>
        </w:tc>
        <w:tc>
          <w:tcPr>
            <w:tcW w:w="1680" w:type="dxa"/>
            <w:vAlign w:val="bottom"/>
          </w:tcPr>
          <w:p>
            <w:pPr>
              <w:jc w:val="right"/>
              <w:ind w:right="86"/>
              <w:spacing w:after="0"/>
              <w:rPr>
                <w:sz w:val="20"/>
                <w:szCs w:val="20"/>
                <w:color w:val="auto"/>
              </w:rPr>
            </w:pPr>
            <w:r>
              <w:rPr>
                <w:rFonts w:ascii="Arial" w:cs="Arial" w:eastAsia="Arial" w:hAnsi="Arial"/>
                <w:sz w:val="11"/>
                <w:szCs w:val="11"/>
                <w:color w:val="auto"/>
              </w:rPr>
              <w:t>2.6</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tcPr>
          <w:p>
            <w:pPr>
              <w:jc w:val="right"/>
              <w:ind w:right="86"/>
              <w:spacing w:after="0"/>
              <w:rPr>
                <w:sz w:val="20"/>
                <w:szCs w:val="20"/>
                <w:color w:val="auto"/>
              </w:rPr>
            </w:pPr>
            <w:r>
              <w:rPr>
                <w:rFonts w:ascii="Arial" w:cs="Arial" w:eastAsia="Arial" w:hAnsi="Arial"/>
                <w:sz w:val="11"/>
                <w:szCs w:val="11"/>
                <w:color w:val="auto"/>
              </w:rPr>
              <w:t>5.6</w:t>
            </w:r>
          </w:p>
        </w:tc>
      </w:tr>
      <w:tr>
        <w:trPr>
          <w:trHeight w:val="162"/>
        </w:trPr>
        <w:tc>
          <w:tcPr>
            <w:tcW w:w="7700" w:type="dxa"/>
            <w:vAlign w:val="bottom"/>
            <w:shd w:val="clear" w:color="auto" w:fill="CCEEFF"/>
          </w:tcPr>
          <w:p>
            <w:pPr>
              <w:ind w:left="160"/>
              <w:spacing w:after="0"/>
              <w:rPr>
                <w:sz w:val="20"/>
                <w:szCs w:val="20"/>
                <w:color w:val="auto"/>
              </w:rPr>
            </w:pPr>
            <w:r>
              <w:rPr>
                <w:rFonts w:ascii="Arial" w:cs="Arial" w:eastAsia="Arial" w:hAnsi="Arial"/>
                <w:sz w:val="11"/>
                <w:szCs w:val="11"/>
                <w:color w:val="auto"/>
              </w:rPr>
              <w:t xml:space="preserve">Deferred jurisdiction adjustments in Other income (expense), net for taxes </w:t>
            </w:r>
            <w:r>
              <w:rPr>
                <w:rFonts w:ascii="Arial" w:cs="Arial" w:eastAsia="Arial" w:hAnsi="Arial"/>
                <w:sz w:val="14"/>
                <w:szCs w:val="14"/>
                <w:color w:val="auto"/>
                <w:vertAlign w:val="superscript"/>
              </w:rPr>
              <w:t>(8)</w:t>
            </w:r>
          </w:p>
        </w:tc>
        <w:tc>
          <w:tcPr>
            <w:tcW w:w="80" w:type="dxa"/>
            <w:vAlign w:val="bottom"/>
            <w:tcBorders>
              <w:bottom w:val="single" w:sz="8" w:color="auto"/>
            </w:tcBorders>
            <w:shd w:val="clear" w:color="auto" w:fill="CCEEFF"/>
          </w:tcPr>
          <w:p>
            <w:pPr>
              <w:spacing w:after="0"/>
              <w:rPr>
                <w:sz w:val="14"/>
                <w:szCs w:val="14"/>
                <w:color w:val="auto"/>
              </w:rPr>
            </w:pPr>
          </w:p>
        </w:tc>
        <w:tc>
          <w:tcPr>
            <w:tcW w:w="168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(4.7)</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8.4</w:t>
            </w:r>
          </w:p>
        </w:tc>
      </w:tr>
      <w:tr>
        <w:trPr>
          <w:trHeight w:val="145"/>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Total Adjustments</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16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34.7</w:t>
            </w: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w:t>
            </w:r>
          </w:p>
        </w:tc>
        <w:tc>
          <w:tcPr>
            <w:tcW w:w="136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118.4</w:t>
            </w:r>
          </w:p>
        </w:tc>
      </w:tr>
      <w:tr>
        <w:trPr>
          <w:trHeight w:val="157"/>
        </w:trPr>
        <w:tc>
          <w:tcPr>
            <w:tcW w:w="77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Adjusted Pre-Tax Income</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68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b w:val="1"/>
                <w:bCs w:val="1"/>
                <w:color w:val="auto"/>
              </w:rPr>
              <w:t>39.7</w:t>
            </w:r>
          </w:p>
        </w:tc>
        <w:tc>
          <w:tcPr>
            <w:tcW w:w="8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136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b w:val="1"/>
                <w:bCs w:val="1"/>
                <w:color w:val="auto"/>
              </w:rPr>
              <w:t>224.1</w:t>
            </w:r>
          </w:p>
        </w:tc>
      </w:tr>
      <w:tr>
        <w:trPr>
          <w:trHeight w:val="129"/>
        </w:trPr>
        <w:tc>
          <w:tcPr>
            <w:tcW w:w="7700" w:type="dxa"/>
            <w:vAlign w:val="bottom"/>
          </w:tcPr>
          <w:p>
            <w:pPr>
              <w:ind w:left="20"/>
              <w:spacing w:after="0" w:line="120" w:lineRule="exact"/>
              <w:rPr>
                <w:sz w:val="20"/>
                <w:szCs w:val="20"/>
                <w:color w:val="auto"/>
              </w:rPr>
            </w:pPr>
            <w:r>
              <w:rPr>
                <w:rFonts w:ascii="Arial" w:cs="Arial" w:eastAsia="Arial" w:hAnsi="Arial"/>
                <w:sz w:val="11"/>
                <w:szCs w:val="11"/>
                <w:color w:val="auto"/>
              </w:rPr>
              <w:t>Adjusted Taxes on Income</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680" w:type="dxa"/>
            <w:vAlign w:val="bottom"/>
          </w:tcPr>
          <w:p>
            <w:pPr>
              <w:jc w:val="right"/>
              <w:ind w:right="66"/>
              <w:spacing w:after="0"/>
              <w:rPr>
                <w:sz w:val="20"/>
                <w:szCs w:val="20"/>
                <w:color w:val="auto"/>
              </w:rPr>
            </w:pPr>
            <w:r>
              <w:rPr>
                <w:rFonts w:ascii="Arial" w:cs="Arial" w:eastAsia="Arial" w:hAnsi="Arial"/>
                <w:sz w:val="11"/>
                <w:szCs w:val="11"/>
                <w:color w:val="auto"/>
              </w:rPr>
              <w:t>(5.6)</w:t>
            </w:r>
          </w:p>
        </w:tc>
        <w:tc>
          <w:tcPr>
            <w:tcW w:w="80" w:type="dxa"/>
            <w:vAlign w:val="bottom"/>
          </w:tcPr>
          <w:p>
            <w:pPr>
              <w:spacing w:after="0"/>
              <w:rPr>
                <w:sz w:val="11"/>
                <w:szCs w:val="11"/>
                <w:color w:val="auto"/>
              </w:rPr>
            </w:pPr>
          </w:p>
        </w:tc>
        <w:tc>
          <w:tcPr>
            <w:tcW w:w="380" w:type="dxa"/>
            <w:vAlign w:val="bottom"/>
          </w:tcPr>
          <w:p>
            <w:pPr>
              <w:ind w:left="20"/>
              <w:spacing w:after="0"/>
              <w:rPr>
                <w:sz w:val="20"/>
                <w:szCs w:val="20"/>
                <w:color w:val="auto"/>
              </w:rPr>
            </w:pPr>
            <w:r>
              <w:rPr>
                <w:rFonts w:ascii="Arial" w:cs="Arial" w:eastAsia="Arial" w:hAnsi="Arial"/>
                <w:sz w:val="11"/>
                <w:szCs w:val="11"/>
                <w:color w:val="auto"/>
              </w:rPr>
              <w:t>$</w:t>
            </w:r>
          </w:p>
        </w:tc>
        <w:tc>
          <w:tcPr>
            <w:tcW w:w="1360" w:type="dxa"/>
            <w:vAlign w:val="bottom"/>
          </w:tcPr>
          <w:p>
            <w:pPr>
              <w:jc w:val="right"/>
              <w:ind w:right="46"/>
              <w:spacing w:after="0"/>
              <w:rPr>
                <w:sz w:val="20"/>
                <w:szCs w:val="20"/>
                <w:color w:val="auto"/>
              </w:rPr>
            </w:pPr>
            <w:r>
              <w:rPr>
                <w:rFonts w:ascii="Arial" w:cs="Arial" w:eastAsia="Arial" w:hAnsi="Arial"/>
                <w:sz w:val="11"/>
                <w:szCs w:val="11"/>
                <w:color w:val="auto"/>
              </w:rPr>
              <w:t>(51.5)</w:t>
            </w:r>
          </w:p>
        </w:tc>
      </w:tr>
      <w:tr>
        <w:trPr>
          <w:trHeight w:val="22"/>
        </w:trPr>
        <w:tc>
          <w:tcPr>
            <w:tcW w:w="77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69"/>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Adjusted Net Income</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68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b w:val="1"/>
                <w:bCs w:val="1"/>
                <w:color w:val="auto"/>
              </w:rPr>
              <w:t>34.1</w:t>
            </w:r>
          </w:p>
        </w:tc>
        <w:tc>
          <w:tcPr>
            <w:tcW w:w="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136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b w:val="1"/>
                <w:bCs w:val="1"/>
                <w:color w:val="auto"/>
              </w:rPr>
              <w:t>172.6</w:t>
            </w:r>
          </w:p>
        </w:tc>
      </w:tr>
      <w:tr>
        <w:trPr>
          <w:trHeight w:val="154"/>
        </w:trPr>
        <w:tc>
          <w:tcPr>
            <w:tcW w:w="7700" w:type="dxa"/>
            <w:vAlign w:val="bottom"/>
          </w:tcPr>
          <w:p>
            <w:pPr>
              <w:ind w:left="20"/>
              <w:spacing w:after="0"/>
              <w:rPr>
                <w:sz w:val="20"/>
                <w:szCs w:val="20"/>
                <w:color w:val="auto"/>
              </w:rPr>
            </w:pPr>
            <w:r>
              <w:rPr>
                <w:rFonts w:ascii="Arial" w:cs="Arial" w:eastAsia="Arial" w:hAnsi="Arial"/>
                <w:sz w:val="11"/>
                <w:szCs w:val="11"/>
                <w:b w:val="1"/>
                <w:bCs w:val="1"/>
                <w:i w:val="1"/>
                <w:iCs w:val="1"/>
                <w:color w:val="auto"/>
              </w:rPr>
              <w:t>Adjusted Net Income per Diluted share</w:t>
            </w:r>
          </w:p>
        </w:tc>
        <w:tc>
          <w:tcPr>
            <w:tcW w:w="80" w:type="dxa"/>
            <w:vAlign w:val="bottom"/>
          </w:tcPr>
          <w:p>
            <w:pPr>
              <w:jc w:val="right"/>
              <w:spacing w:after="0"/>
              <w:rPr>
                <w:sz w:val="20"/>
                <w:szCs w:val="20"/>
                <w:color w:val="auto"/>
              </w:rPr>
            </w:pPr>
            <w:r>
              <w:rPr>
                <w:rFonts w:ascii="Arial" w:cs="Arial" w:eastAsia="Arial" w:hAnsi="Arial"/>
                <w:sz w:val="11"/>
                <w:szCs w:val="11"/>
                <w:b w:val="1"/>
                <w:bCs w:val="1"/>
                <w:i w:val="1"/>
                <w:iCs w:val="1"/>
                <w:color w:val="auto"/>
                <w:w w:val="97"/>
              </w:rPr>
              <w:t>$</w:t>
            </w:r>
          </w:p>
        </w:tc>
        <w:tc>
          <w:tcPr>
            <w:tcW w:w="1680" w:type="dxa"/>
            <w:vAlign w:val="bottom"/>
          </w:tcPr>
          <w:p>
            <w:pPr>
              <w:jc w:val="right"/>
              <w:ind w:right="86"/>
              <w:spacing w:after="0"/>
              <w:rPr>
                <w:sz w:val="20"/>
                <w:szCs w:val="20"/>
                <w:color w:val="auto"/>
              </w:rPr>
            </w:pPr>
            <w:r>
              <w:rPr>
                <w:rFonts w:ascii="Arial" w:cs="Arial" w:eastAsia="Arial" w:hAnsi="Arial"/>
                <w:sz w:val="11"/>
                <w:szCs w:val="11"/>
                <w:b w:val="1"/>
                <w:bCs w:val="1"/>
                <w:i w:val="1"/>
                <w:iCs w:val="1"/>
                <w:color w:val="auto"/>
              </w:rPr>
              <w:t>0.59</w:t>
            </w:r>
          </w:p>
        </w:tc>
        <w:tc>
          <w:tcPr>
            <w:tcW w:w="80" w:type="dxa"/>
            <w:vAlign w:val="bottom"/>
          </w:tcPr>
          <w:p>
            <w:pPr>
              <w:spacing w:after="0"/>
              <w:rPr>
                <w:sz w:val="13"/>
                <w:szCs w:val="13"/>
                <w:color w:val="auto"/>
              </w:rPr>
            </w:pPr>
          </w:p>
        </w:tc>
        <w:tc>
          <w:tcPr>
            <w:tcW w:w="380" w:type="dxa"/>
            <w:vAlign w:val="bottom"/>
          </w:tcPr>
          <w:p>
            <w:pPr>
              <w:ind w:left="20"/>
              <w:spacing w:after="0"/>
              <w:rPr>
                <w:sz w:val="20"/>
                <w:szCs w:val="20"/>
                <w:color w:val="auto"/>
              </w:rPr>
            </w:pPr>
            <w:r>
              <w:rPr>
                <w:rFonts w:ascii="Arial" w:cs="Arial" w:eastAsia="Arial" w:hAnsi="Arial"/>
                <w:sz w:val="11"/>
                <w:szCs w:val="11"/>
                <w:b w:val="1"/>
                <w:bCs w:val="1"/>
                <w:i w:val="1"/>
                <w:iCs w:val="1"/>
                <w:color w:val="auto"/>
              </w:rPr>
              <w:t>$</w:t>
            </w:r>
          </w:p>
        </w:tc>
        <w:tc>
          <w:tcPr>
            <w:tcW w:w="1360" w:type="dxa"/>
            <w:vAlign w:val="bottom"/>
          </w:tcPr>
          <w:p>
            <w:pPr>
              <w:jc w:val="right"/>
              <w:ind w:right="86"/>
              <w:spacing w:after="0"/>
              <w:rPr>
                <w:sz w:val="20"/>
                <w:szCs w:val="20"/>
                <w:color w:val="auto"/>
              </w:rPr>
            </w:pPr>
            <w:r>
              <w:rPr>
                <w:rFonts w:ascii="Arial" w:cs="Arial" w:eastAsia="Arial" w:hAnsi="Arial"/>
                <w:sz w:val="11"/>
                <w:szCs w:val="11"/>
                <w:b w:val="1"/>
                <w:bCs w:val="1"/>
                <w:i w:val="1"/>
                <w:iCs w:val="1"/>
                <w:color w:val="auto"/>
              </w:rPr>
              <w:t>2.99</w:t>
            </w:r>
          </w:p>
        </w:tc>
      </w:tr>
      <w:tr>
        <w:trPr>
          <w:trHeight w:val="69"/>
        </w:trPr>
        <w:tc>
          <w:tcPr>
            <w:tcW w:w="77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6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r>
      <w:tr>
        <w:trPr>
          <w:trHeight w:val="156"/>
        </w:trPr>
        <w:tc>
          <w:tcPr>
            <w:tcW w:w="7700" w:type="dxa"/>
            <w:vAlign w:val="bottom"/>
          </w:tcPr>
          <w:p>
            <w:pPr>
              <w:ind w:left="20"/>
              <w:spacing w:after="0"/>
              <w:rPr>
                <w:sz w:val="20"/>
                <w:szCs w:val="20"/>
                <w:color w:val="auto"/>
              </w:rPr>
            </w:pPr>
            <w:r>
              <w:rPr>
                <w:rFonts w:ascii="Arial" w:cs="Arial" w:eastAsia="Arial" w:hAnsi="Arial"/>
                <w:sz w:val="11"/>
                <w:szCs w:val="11"/>
                <w:b w:val="1"/>
                <w:bCs w:val="1"/>
                <w:color w:val="auto"/>
              </w:rPr>
              <w:t>GAAP Net Income</w:t>
            </w:r>
          </w:p>
        </w:tc>
        <w:tc>
          <w:tcPr>
            <w:tcW w:w="8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1680" w:type="dxa"/>
            <w:vAlign w:val="bottom"/>
          </w:tcPr>
          <w:p>
            <w:pPr>
              <w:jc w:val="right"/>
              <w:ind w:right="86"/>
              <w:spacing w:after="0"/>
              <w:rPr>
                <w:sz w:val="20"/>
                <w:szCs w:val="20"/>
                <w:color w:val="auto"/>
              </w:rPr>
            </w:pPr>
            <w:r>
              <w:rPr>
                <w:rFonts w:ascii="Arial" w:cs="Arial" w:eastAsia="Arial" w:hAnsi="Arial"/>
                <w:sz w:val="11"/>
                <w:szCs w:val="11"/>
                <w:b w:val="1"/>
                <w:bCs w:val="1"/>
                <w:color w:val="auto"/>
              </w:rPr>
              <w:t>6.0</w:t>
            </w:r>
          </w:p>
        </w:tc>
        <w:tc>
          <w:tcPr>
            <w:tcW w:w="80" w:type="dxa"/>
            <w:vAlign w:val="bottom"/>
          </w:tcPr>
          <w:p>
            <w:pPr>
              <w:spacing w:after="0"/>
              <w:rPr>
                <w:sz w:val="13"/>
                <w:szCs w:val="13"/>
                <w:color w:val="auto"/>
              </w:rPr>
            </w:pPr>
          </w:p>
        </w:tc>
        <w:tc>
          <w:tcPr>
            <w:tcW w:w="380" w:type="dxa"/>
            <w:vAlign w:val="bottom"/>
          </w:tcPr>
          <w:p>
            <w:pPr>
              <w:ind w:left="20"/>
              <w:spacing w:after="0"/>
              <w:rPr>
                <w:sz w:val="20"/>
                <w:szCs w:val="20"/>
                <w:color w:val="auto"/>
              </w:rPr>
            </w:pPr>
            <w:r>
              <w:rPr>
                <w:rFonts w:ascii="Arial" w:cs="Arial" w:eastAsia="Arial" w:hAnsi="Arial"/>
                <w:sz w:val="11"/>
                <w:szCs w:val="11"/>
                <w:b w:val="1"/>
                <w:bCs w:val="1"/>
                <w:color w:val="auto"/>
              </w:rPr>
              <w:t>$</w:t>
            </w:r>
          </w:p>
        </w:tc>
        <w:tc>
          <w:tcPr>
            <w:tcW w:w="1360" w:type="dxa"/>
            <w:vAlign w:val="bottom"/>
          </w:tcPr>
          <w:p>
            <w:pPr>
              <w:jc w:val="right"/>
              <w:ind w:right="86"/>
              <w:spacing w:after="0"/>
              <w:rPr>
                <w:sz w:val="20"/>
                <w:szCs w:val="20"/>
                <w:color w:val="auto"/>
              </w:rPr>
            </w:pPr>
            <w:r>
              <w:rPr>
                <w:rFonts w:ascii="Arial" w:cs="Arial" w:eastAsia="Arial" w:hAnsi="Arial"/>
                <w:sz w:val="11"/>
                <w:szCs w:val="11"/>
                <w:b w:val="1"/>
                <w:bCs w:val="1"/>
                <w:color w:val="auto"/>
              </w:rPr>
              <w:t>70.4</w:t>
            </w:r>
          </w:p>
        </w:tc>
      </w:tr>
      <w:tr>
        <w:trPr>
          <w:trHeight w:val="168"/>
        </w:trPr>
        <w:tc>
          <w:tcPr>
            <w:tcW w:w="7700" w:type="dxa"/>
            <w:vAlign w:val="bottom"/>
            <w:shd w:val="clear" w:color="auto" w:fill="CCEEFF"/>
          </w:tcPr>
          <w:p>
            <w:pPr>
              <w:ind w:left="20"/>
              <w:spacing w:after="0"/>
              <w:rPr>
                <w:sz w:val="20"/>
                <w:szCs w:val="20"/>
                <w:color w:val="auto"/>
              </w:rPr>
            </w:pPr>
            <w:r>
              <w:rPr>
                <w:rFonts w:ascii="Arial" w:cs="Arial" w:eastAsia="Arial" w:hAnsi="Arial"/>
                <w:sz w:val="11"/>
                <w:szCs w:val="11"/>
                <w:b w:val="1"/>
                <w:bCs w:val="1"/>
                <w:i w:val="1"/>
                <w:iCs w:val="1"/>
                <w:color w:val="auto"/>
              </w:rPr>
              <w:t>GAAP Net Income per Diluted share</w:t>
            </w: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b w:val="1"/>
                <w:bCs w:val="1"/>
                <w:i w:val="1"/>
                <w:iCs w:val="1"/>
                <w:color w:val="auto"/>
                <w:w w:val="97"/>
              </w:rPr>
              <w:t>$</w:t>
            </w:r>
          </w:p>
        </w:tc>
        <w:tc>
          <w:tcPr>
            <w:tcW w:w="1680" w:type="dxa"/>
            <w:vAlign w:val="bottom"/>
            <w:shd w:val="clear" w:color="auto" w:fill="CCEEFF"/>
          </w:tcPr>
          <w:p>
            <w:pPr>
              <w:jc w:val="right"/>
              <w:ind w:right="86"/>
              <w:spacing w:after="0"/>
              <w:rPr>
                <w:sz w:val="20"/>
                <w:szCs w:val="20"/>
                <w:color w:val="auto"/>
              </w:rPr>
            </w:pPr>
            <w:r>
              <w:rPr>
                <w:rFonts w:ascii="Arial" w:cs="Arial" w:eastAsia="Arial" w:hAnsi="Arial"/>
                <w:sz w:val="11"/>
                <w:szCs w:val="11"/>
                <w:b w:val="1"/>
                <w:bCs w:val="1"/>
                <w:i w:val="1"/>
                <w:iCs w:val="1"/>
                <w:color w:val="auto"/>
              </w:rPr>
              <w:t>0.10</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1"/>
                <w:szCs w:val="11"/>
                <w:b w:val="1"/>
                <w:bCs w:val="1"/>
                <w:i w:val="1"/>
                <w:iCs w:val="1"/>
                <w:color w:val="auto"/>
              </w:rPr>
              <w:t>$</w:t>
            </w:r>
          </w:p>
        </w:tc>
        <w:tc>
          <w:tcPr>
            <w:tcW w:w="1360" w:type="dxa"/>
            <w:vAlign w:val="bottom"/>
            <w:shd w:val="clear" w:color="auto" w:fill="CCEEFF"/>
          </w:tcPr>
          <w:p>
            <w:pPr>
              <w:jc w:val="right"/>
              <w:ind w:right="86"/>
              <w:spacing w:after="0"/>
              <w:rPr>
                <w:sz w:val="20"/>
                <w:szCs w:val="20"/>
                <w:color w:val="auto"/>
              </w:rPr>
            </w:pPr>
            <w:r>
              <w:rPr>
                <w:rFonts w:ascii="Arial" w:cs="Arial" w:eastAsia="Arial" w:hAnsi="Arial"/>
                <w:sz w:val="11"/>
                <w:szCs w:val="11"/>
                <w:b w:val="1"/>
                <w:bCs w:val="1"/>
                <w:i w:val="1"/>
                <w:iCs w:val="1"/>
                <w:color w:val="auto"/>
              </w:rPr>
              <w:t>1.22</w:t>
            </w:r>
          </w:p>
        </w:tc>
      </w:tr>
      <w:tr>
        <w:trPr>
          <w:trHeight w:val="108"/>
        </w:trPr>
        <w:tc>
          <w:tcPr>
            <w:tcW w:w="7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60" w:type="dxa"/>
            <w:vAlign w:val="bottom"/>
          </w:tcPr>
          <w:p>
            <w:pPr>
              <w:spacing w:after="0"/>
              <w:rPr>
                <w:sz w:val="9"/>
                <w:szCs w:val="9"/>
                <w:color w:val="auto"/>
              </w:rPr>
            </w:pPr>
          </w:p>
        </w:tc>
      </w:tr>
      <w:tr>
        <w:trPr>
          <w:trHeight w:val="162"/>
        </w:trPr>
        <w:tc>
          <w:tcPr>
            <w:tcW w:w="77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GAAP and Adjusted Diluted weighted-average shares outstanding (in thousands)</w:t>
            </w:r>
          </w:p>
        </w:tc>
        <w:tc>
          <w:tcPr>
            <w:tcW w:w="80" w:type="dxa"/>
            <w:vAlign w:val="bottom"/>
            <w:shd w:val="clear" w:color="auto" w:fill="CCEEFF"/>
          </w:tcPr>
          <w:p>
            <w:pPr>
              <w:spacing w:after="0"/>
              <w:rPr>
                <w:sz w:val="14"/>
                <w:szCs w:val="14"/>
                <w:color w:val="auto"/>
              </w:rPr>
            </w:pPr>
          </w:p>
        </w:tc>
        <w:tc>
          <w:tcPr>
            <w:tcW w:w="1680" w:type="dxa"/>
            <w:vAlign w:val="bottom"/>
            <w:shd w:val="clear" w:color="auto" w:fill="CCEEFF"/>
          </w:tcPr>
          <w:p>
            <w:pPr>
              <w:jc w:val="right"/>
              <w:ind w:right="86"/>
              <w:spacing w:after="0"/>
              <w:rPr>
                <w:sz w:val="20"/>
                <w:szCs w:val="20"/>
                <w:color w:val="auto"/>
              </w:rPr>
            </w:pPr>
            <w:r>
              <w:rPr>
                <w:rFonts w:ascii="Arial" w:cs="Arial" w:eastAsia="Arial" w:hAnsi="Arial"/>
                <w:sz w:val="11"/>
                <w:szCs w:val="11"/>
                <w:b w:val="1"/>
                <w:bCs w:val="1"/>
                <w:color w:val="auto"/>
              </w:rPr>
              <w:t>57,473</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86"/>
              <w:spacing w:after="0"/>
              <w:rPr>
                <w:sz w:val="20"/>
                <w:szCs w:val="20"/>
                <w:color w:val="auto"/>
              </w:rPr>
            </w:pPr>
            <w:r>
              <w:rPr>
                <w:rFonts w:ascii="Arial" w:cs="Arial" w:eastAsia="Arial" w:hAnsi="Arial"/>
                <w:sz w:val="11"/>
                <w:szCs w:val="11"/>
                <w:b w:val="1"/>
                <w:bCs w:val="1"/>
                <w:color w:val="auto"/>
              </w:rPr>
              <w:t>57,758</w:t>
            </w:r>
          </w:p>
        </w:tc>
      </w:tr>
    </w:tbl>
    <w:p>
      <w:pPr>
        <w:spacing w:after="0" w:line="159" w:lineRule="exact"/>
        <w:rPr>
          <w:sz w:val="20"/>
          <w:szCs w:val="20"/>
          <w:color w:val="auto"/>
        </w:rPr>
      </w:pPr>
    </w:p>
    <w:p>
      <w:pPr>
        <w:ind w:left="320" w:right="20" w:hanging="258"/>
        <w:spacing w:after="0" w:line="229" w:lineRule="auto"/>
        <w:tabs>
          <w:tab w:leader="none" w:pos="318" w:val="left"/>
        </w:tabs>
        <w:numPr>
          <w:ilvl w:val="0"/>
          <w:numId w:val="10"/>
        </w:numPr>
        <w:rPr>
          <w:rFonts w:ascii="Arial" w:cs="Arial" w:eastAsia="Arial" w:hAnsi="Arial"/>
          <w:sz w:val="10"/>
          <w:szCs w:val="10"/>
          <w:color w:val="auto"/>
        </w:rPr>
      </w:pPr>
      <w:r>
        <w:rPr>
          <w:rFonts w:ascii="Arial" w:cs="Arial" w:eastAsia="Arial" w:hAnsi="Arial"/>
          <w:sz w:val="10"/>
          <w:szCs w:val="10"/>
          <w:color w:val="auto"/>
        </w:rPr>
        <w:t>Prior to the Separation on April 1, 2022, the Company’s historical combined financial statements were prepared on a standalone basis. These results did not purport to reflect what the Company’s results of operations, comprehensive income, financial position, equity or cash flows would have been had the Company operated as a standalone public company. As such, the Company is not presenting comparable prior period results for the Non-GAAP metrics in the table above.</w:t>
      </w:r>
    </w:p>
    <w:p>
      <w:pPr>
        <w:spacing w:after="0" w:line="5" w:lineRule="exact"/>
        <w:rPr>
          <w:rFonts w:ascii="Arial" w:cs="Arial" w:eastAsia="Arial" w:hAnsi="Arial"/>
          <w:sz w:val="10"/>
          <w:szCs w:val="10"/>
          <w:color w:val="auto"/>
        </w:rPr>
      </w:pPr>
    </w:p>
    <w:p>
      <w:pPr>
        <w:ind w:left="320" w:hanging="258"/>
        <w:spacing w:after="0"/>
        <w:tabs>
          <w:tab w:leader="none" w:pos="320" w:val="left"/>
        </w:tabs>
        <w:numPr>
          <w:ilvl w:val="0"/>
          <w:numId w:val="10"/>
        </w:numPr>
        <w:rPr>
          <w:rFonts w:ascii="Arial" w:cs="Arial" w:eastAsia="Arial" w:hAnsi="Arial"/>
          <w:sz w:val="10"/>
          <w:szCs w:val="10"/>
          <w:color w:val="auto"/>
        </w:rPr>
      </w:pPr>
      <w:r>
        <w:rPr>
          <w:rFonts w:ascii="Arial" w:cs="Arial" w:eastAsia="Arial" w:hAnsi="Arial"/>
          <w:sz w:val="10"/>
          <w:szCs w:val="10"/>
          <w:color w:val="auto"/>
        </w:rPr>
        <w:t>Amortization of intangible assets is recorded in Cost of products sold.</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8</w:t>
      </w:r>
    </w:p>
    <w:p>
      <w:pPr>
        <w:sectPr>
          <w:pgSz w:w="11900" w:h="16838" w:orient="portrait"/>
          <w:cols w:equalWidth="0" w:num="1">
            <w:col w:w="11300"/>
          </w:cols>
          <w:pgMar w:left="300" w:top="767" w:right="299" w:bottom="1440" w:gutter="0" w:footer="0" w:header="0"/>
        </w:sectPr>
      </w:pPr>
    </w:p>
    <w:bookmarkStart w:id="10" w:name="page11"/>
    <w:bookmarkEnd w:id="10"/>
    <w:p>
      <w:pPr>
        <w:ind w:left="320" w:right="240" w:hanging="258"/>
        <w:spacing w:after="0" w:line="229" w:lineRule="auto"/>
        <w:tabs>
          <w:tab w:leader="none" w:pos="318" w:val="left"/>
        </w:tabs>
        <w:numPr>
          <w:ilvl w:val="0"/>
          <w:numId w:val="11"/>
        </w:numPr>
        <w:rPr>
          <w:rFonts w:ascii="Arial" w:cs="Arial" w:eastAsia="Arial" w:hAnsi="Arial"/>
          <w:sz w:val="10"/>
          <w:szCs w:val="10"/>
          <w:color w:val="auto"/>
        </w:rPr>
      </w:pPr>
      <w:r>
        <w:rPr>
          <w:rFonts w:ascii="Arial" w:cs="Arial" w:eastAsia="Arial" w:hAnsi="Arial"/>
          <w:sz w:val="10"/>
          <w:szCs w:val="10"/>
          <w:color w:val="auto"/>
        </w:rPr>
        <w:t>One-time stand up costs incurred primarily include costs to stand up the Company. For the three months ended September 30, 2023, approximately $31.6 million and $0.2 are recorded in Other operating expenses and Selling and administrative expense, respectively. For the twelve months ended September 30, 2023, approximately $92.7 million and $1.0 million are recorded in Other operating expenses and Selling and administrative expense, respectively.</w:t>
      </w:r>
    </w:p>
    <w:p>
      <w:pPr>
        <w:spacing w:after="0" w:line="14" w:lineRule="exact"/>
        <w:rPr>
          <w:rFonts w:ascii="Arial" w:cs="Arial" w:eastAsia="Arial" w:hAnsi="Arial"/>
          <w:sz w:val="10"/>
          <w:szCs w:val="10"/>
          <w:color w:val="auto"/>
        </w:rPr>
      </w:pPr>
    </w:p>
    <w:p>
      <w:pPr>
        <w:ind w:left="320" w:right="400" w:hanging="258"/>
        <w:spacing w:after="0" w:line="220" w:lineRule="auto"/>
        <w:tabs>
          <w:tab w:leader="none" w:pos="318" w:val="left"/>
        </w:tabs>
        <w:numPr>
          <w:ilvl w:val="0"/>
          <w:numId w:val="11"/>
        </w:numPr>
        <w:rPr>
          <w:rFonts w:ascii="Arial" w:cs="Arial" w:eastAsia="Arial" w:hAnsi="Arial"/>
          <w:sz w:val="10"/>
          <w:szCs w:val="10"/>
          <w:color w:val="auto"/>
        </w:rPr>
      </w:pPr>
      <w:r>
        <w:rPr>
          <w:rFonts w:ascii="Arial" w:cs="Arial" w:eastAsia="Arial" w:hAnsi="Arial"/>
          <w:sz w:val="10"/>
          <w:szCs w:val="10"/>
          <w:color w:val="auto"/>
        </w:rPr>
        <w:t>Represents costs required to develop processes and systems to comply with regulations such as the EU MDR and GDPR which represent a significant, unusual change to the existing regulatory framework. We consider these costs to be duplicative of previously incurred costs and/or one-off costs, which are limited to a specific period of time. These costs are recorded in Research and development expense.</w:t>
      </w:r>
    </w:p>
    <w:p>
      <w:pPr>
        <w:spacing w:after="0" w:line="14" w:lineRule="exact"/>
        <w:rPr>
          <w:rFonts w:ascii="Arial" w:cs="Arial" w:eastAsia="Arial" w:hAnsi="Arial"/>
          <w:sz w:val="10"/>
          <w:szCs w:val="10"/>
          <w:color w:val="auto"/>
        </w:rPr>
      </w:pPr>
    </w:p>
    <w:p>
      <w:pPr>
        <w:ind w:left="320" w:right="40" w:hanging="258"/>
        <w:spacing w:after="0" w:line="215" w:lineRule="auto"/>
        <w:tabs>
          <w:tab w:leader="none" w:pos="318" w:val="left"/>
        </w:tabs>
        <w:numPr>
          <w:ilvl w:val="0"/>
          <w:numId w:val="11"/>
        </w:numPr>
        <w:rPr>
          <w:rFonts w:ascii="Arial" w:cs="Arial" w:eastAsia="Arial" w:hAnsi="Arial"/>
          <w:sz w:val="10"/>
          <w:szCs w:val="10"/>
          <w:color w:val="auto"/>
        </w:rPr>
      </w:pPr>
      <w:r>
        <w:rPr>
          <w:rFonts w:ascii="Arial" w:cs="Arial" w:eastAsia="Arial" w:hAnsi="Arial"/>
          <w:sz w:val="10"/>
          <w:szCs w:val="10"/>
          <w:color w:val="auto"/>
        </w:rPr>
        <w:t>Represents stock-based compensation expense recognized during the period associated with the incremental value of converted legacy BD share-based awards and one-time sign-on equity awards granted to certain members of the embecta leadership team in connection with the Separation from BD. For the three months ended September 30, 2023, $1.0 million is recorded in Selling and administrative expense and $0.1 million is recorded in Research and development expense. For the twelve months ended, September 30, 2023, $5.4 million is recorded in Selling and administrative expense, $0.2 million is recorded in Research and development expense, and $0.1 million is recorded in Cost of products sold.</w:t>
      </w:r>
    </w:p>
    <w:p>
      <w:pPr>
        <w:spacing w:after="0" w:line="14" w:lineRule="exact"/>
        <w:rPr>
          <w:rFonts w:ascii="Arial" w:cs="Arial" w:eastAsia="Arial" w:hAnsi="Arial"/>
          <w:sz w:val="10"/>
          <w:szCs w:val="10"/>
          <w:color w:val="auto"/>
        </w:rPr>
      </w:pPr>
    </w:p>
    <w:p>
      <w:pPr>
        <w:ind w:left="320" w:hanging="258"/>
        <w:spacing w:after="0"/>
        <w:tabs>
          <w:tab w:leader="none" w:pos="320" w:val="left"/>
        </w:tabs>
        <w:numPr>
          <w:ilvl w:val="0"/>
          <w:numId w:val="11"/>
        </w:numPr>
        <w:rPr>
          <w:rFonts w:ascii="Arial" w:cs="Arial" w:eastAsia="Arial" w:hAnsi="Arial"/>
          <w:sz w:val="10"/>
          <w:szCs w:val="10"/>
          <w:color w:val="auto"/>
        </w:rPr>
      </w:pPr>
      <w:r>
        <w:rPr>
          <w:rFonts w:ascii="Arial" w:cs="Arial" w:eastAsia="Arial" w:hAnsi="Arial"/>
          <w:sz w:val="10"/>
          <w:szCs w:val="10"/>
          <w:color w:val="auto"/>
        </w:rPr>
        <w:t>Relates to impairment charges incurred. The impairment charges are recorded in Impairment Expense.</w:t>
      </w:r>
    </w:p>
    <w:p>
      <w:pPr>
        <w:spacing w:after="0" w:line="11" w:lineRule="exact"/>
        <w:rPr>
          <w:rFonts w:ascii="Arial" w:cs="Arial" w:eastAsia="Arial" w:hAnsi="Arial"/>
          <w:sz w:val="10"/>
          <w:szCs w:val="10"/>
          <w:color w:val="auto"/>
        </w:rPr>
      </w:pPr>
    </w:p>
    <w:p>
      <w:pPr>
        <w:ind w:left="320" w:hanging="258"/>
        <w:spacing w:after="0"/>
        <w:tabs>
          <w:tab w:leader="none" w:pos="320" w:val="left"/>
        </w:tabs>
        <w:numPr>
          <w:ilvl w:val="0"/>
          <w:numId w:val="11"/>
        </w:numPr>
        <w:rPr>
          <w:rFonts w:ascii="Arial" w:cs="Arial" w:eastAsia="Arial" w:hAnsi="Arial"/>
          <w:sz w:val="10"/>
          <w:szCs w:val="10"/>
          <w:color w:val="auto"/>
        </w:rPr>
      </w:pPr>
      <w:r>
        <w:rPr>
          <w:rFonts w:ascii="Arial" w:cs="Arial" w:eastAsia="Arial" w:hAnsi="Arial"/>
          <w:sz w:val="10"/>
          <w:szCs w:val="10"/>
          <w:color w:val="auto"/>
        </w:rPr>
        <w:t>Represents business optimization and severance related costs recorded in Other operating expenses.</w:t>
      </w:r>
    </w:p>
    <w:p>
      <w:pPr>
        <w:spacing w:after="0" w:line="20" w:lineRule="exact"/>
        <w:rPr>
          <w:rFonts w:ascii="Arial" w:cs="Arial" w:eastAsia="Arial" w:hAnsi="Arial"/>
          <w:sz w:val="10"/>
          <w:szCs w:val="10"/>
          <w:color w:val="auto"/>
        </w:rPr>
      </w:pPr>
    </w:p>
    <w:p>
      <w:pPr>
        <w:ind w:left="320" w:hanging="258"/>
        <w:spacing w:after="0"/>
        <w:tabs>
          <w:tab w:leader="none" w:pos="320" w:val="left"/>
        </w:tabs>
        <w:numPr>
          <w:ilvl w:val="0"/>
          <w:numId w:val="11"/>
        </w:numPr>
        <w:rPr>
          <w:rFonts w:ascii="Arial" w:cs="Arial" w:eastAsia="Arial" w:hAnsi="Arial"/>
          <w:sz w:val="10"/>
          <w:szCs w:val="10"/>
          <w:color w:val="auto"/>
        </w:rPr>
      </w:pPr>
      <w:r>
        <w:rPr>
          <w:rFonts w:ascii="Arial" w:cs="Arial" w:eastAsia="Arial" w:hAnsi="Arial"/>
          <w:sz w:val="10"/>
          <w:szCs w:val="10"/>
          <w:color w:val="auto"/>
        </w:rPr>
        <w:t>Represents amounts due to BD for tax liabilities incurred in deferred jurisdictions where BD is considered the primary obligor.</w:t>
      </w:r>
    </w:p>
    <w:p>
      <w:pPr>
        <w:spacing w:after="0" w:line="92" w:lineRule="exact"/>
        <w:rPr>
          <w:sz w:val="20"/>
          <w:szCs w:val="20"/>
          <w:color w:val="auto"/>
        </w:rPr>
      </w:pPr>
    </w:p>
    <w:p>
      <w:pPr>
        <w:jc w:val="both"/>
        <w:ind w:right="20"/>
        <w:spacing w:after="0" w:line="264" w:lineRule="auto"/>
        <w:rPr>
          <w:sz w:val="20"/>
          <w:szCs w:val="20"/>
          <w:color w:val="auto"/>
        </w:rPr>
      </w:pPr>
      <w:r>
        <w:rPr>
          <w:rFonts w:ascii="Arial" w:cs="Arial" w:eastAsia="Arial" w:hAnsi="Arial"/>
          <w:sz w:val="11"/>
          <w:szCs w:val="11"/>
          <w:color w:val="auto"/>
        </w:rPr>
        <w:t>Each reporting period, we face currency exposure that arises from translating the results of our worldwide operations to the U.S. dollar at exchange rates that fluctuate from the beginning of such period. A stronger U.S. dollar, compared to the prior-year period, resulted in an unfavorable foreign currency translation impact to our revenues as compared to the prior-year period. We evaluate our results of operations on both a reported and a Constant Currency basis, which excludes the impact of fluctuations in foreign currency exchange rates by comparing results between periods as if exchange rates had remained constant period-over-period. As exchange rates are an important factor in understanding period-to-period comparisons, we believe the presentation of results on a Constant Currency basis in addition to reported results helps improve investors’ ability to understand our operating results and evaluate our performance in comparison to prior periods. We calculate Constant Currency percentages by converting our current-period local currency financial results using the prior-period foreign currency exchange rates and comparing these adjusted amounts to our current-period results. These results should be considered in addition to, not as a substitute for, results reported in accordance with GAAP. Results on a Constant Currency basis, as we present them, may not be comparable to similarly titled measures used by other companies and are not measures of performance presented in accordance with GAAP.</w:t>
      </w:r>
    </w:p>
    <w:p>
      <w:pPr>
        <w:spacing w:after="0" w:line="52" w:lineRule="exact"/>
        <w:rPr>
          <w:sz w:val="20"/>
          <w:szCs w:val="20"/>
          <w:color w:val="auto"/>
        </w:rPr>
      </w:pPr>
    </w:p>
    <w:p>
      <w:pPr>
        <w:spacing w:after="0"/>
        <w:rPr>
          <w:sz w:val="20"/>
          <w:szCs w:val="20"/>
          <w:color w:val="auto"/>
        </w:rPr>
      </w:pPr>
      <w:r>
        <w:rPr>
          <w:rFonts w:ascii="Arial" w:cs="Arial" w:eastAsia="Arial" w:hAnsi="Arial"/>
          <w:sz w:val="11"/>
          <w:szCs w:val="11"/>
          <w:color w:val="auto"/>
        </w:rPr>
        <w:t>For the three- and twelve-month periods ended September 30, 2023, the reconciliation of revenue growth to Constant Currency was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45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740" w:type="dxa"/>
            <w:vAlign w:val="bottom"/>
            <w:tcBorders>
              <w:bottom w:val="single" w:sz="8" w:color="auto"/>
            </w:tcBorders>
            <w:gridSpan w:val="5"/>
          </w:tcPr>
          <w:p>
            <w:pPr>
              <w:jc w:val="center"/>
              <w:ind w:left="786"/>
              <w:spacing w:after="0"/>
              <w:rPr>
                <w:sz w:val="20"/>
                <w:szCs w:val="20"/>
                <w:color w:val="auto"/>
              </w:rPr>
            </w:pPr>
            <w:r>
              <w:rPr>
                <w:rFonts w:ascii="Arial" w:cs="Arial" w:eastAsia="Arial" w:hAnsi="Arial"/>
                <w:sz w:val="11"/>
                <w:szCs w:val="11"/>
                <w:b w:val="1"/>
                <w:bCs w:val="1"/>
                <w:color w:val="auto"/>
                <w:w w:val="97"/>
              </w:rPr>
              <w:t>Three months ended September 30,</w:t>
            </w:r>
          </w:p>
        </w:tc>
        <w:tc>
          <w:tcPr>
            <w:tcW w:w="10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4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00" w:type="dxa"/>
            <w:vAlign w:val="bottom"/>
            <w:gridSpan w:val="3"/>
            <w:vMerge w:val="restart"/>
          </w:tcPr>
          <w:p>
            <w:pPr>
              <w:jc w:val="center"/>
              <w:ind w:right="400"/>
              <w:spacing w:after="0"/>
              <w:rPr>
                <w:sz w:val="20"/>
                <w:szCs w:val="20"/>
                <w:color w:val="auto"/>
              </w:rPr>
            </w:pPr>
            <w:r>
              <w:rPr>
                <w:rFonts w:ascii="Arial" w:cs="Arial" w:eastAsia="Arial" w:hAnsi="Arial"/>
                <w:sz w:val="11"/>
                <w:szCs w:val="11"/>
                <w:b w:val="1"/>
                <w:bCs w:val="1"/>
                <w:color w:val="auto"/>
                <w:w w:val="98"/>
              </w:rPr>
              <w:t>Total</w:t>
            </w:r>
          </w:p>
        </w:tc>
        <w:tc>
          <w:tcPr>
            <w:tcW w:w="1120" w:type="dxa"/>
            <w:vAlign w:val="bottom"/>
            <w:gridSpan w:val="2"/>
            <w:vMerge w:val="restart"/>
          </w:tcPr>
          <w:p>
            <w:pPr>
              <w:jc w:val="center"/>
              <w:ind w:right="400"/>
              <w:spacing w:after="0"/>
              <w:rPr>
                <w:sz w:val="20"/>
                <w:szCs w:val="20"/>
                <w:color w:val="auto"/>
              </w:rPr>
            </w:pPr>
            <w:r>
              <w:rPr>
                <w:rFonts w:ascii="Arial" w:cs="Arial" w:eastAsia="Arial" w:hAnsi="Arial"/>
                <w:sz w:val="11"/>
                <w:szCs w:val="11"/>
                <w:b w:val="1"/>
                <w:bCs w:val="1"/>
                <w:color w:val="auto"/>
                <w:w w:val="97"/>
              </w:rPr>
              <w:t>Estimated FX</w:t>
            </w:r>
          </w:p>
        </w:tc>
        <w:tc>
          <w:tcPr>
            <w:tcW w:w="1320" w:type="dxa"/>
            <w:vAlign w:val="bottom"/>
          </w:tcPr>
          <w:p>
            <w:pPr>
              <w:jc w:val="center"/>
              <w:spacing w:after="0" w:line="113" w:lineRule="exact"/>
              <w:rPr>
                <w:sz w:val="20"/>
                <w:szCs w:val="20"/>
                <w:color w:val="auto"/>
              </w:rPr>
            </w:pPr>
            <w:r>
              <w:rPr>
                <w:rFonts w:ascii="Arial" w:cs="Arial" w:eastAsia="Arial" w:hAnsi="Arial"/>
                <w:sz w:val="11"/>
                <w:szCs w:val="11"/>
                <w:b w:val="1"/>
                <w:bCs w:val="1"/>
                <w:color w:val="auto"/>
                <w:w w:val="96"/>
              </w:rPr>
              <w:t>Constant</w:t>
            </w:r>
          </w:p>
        </w:tc>
        <w:tc>
          <w:tcPr>
            <w:tcW w:w="0" w:type="dxa"/>
            <w:vAlign w:val="bottom"/>
          </w:tcPr>
          <w:p>
            <w:pPr>
              <w:spacing w:after="0"/>
              <w:rPr>
                <w:sz w:val="1"/>
                <w:szCs w:val="1"/>
                <w:color w:val="auto"/>
              </w:rPr>
            </w:pPr>
          </w:p>
        </w:tc>
      </w:tr>
      <w:tr>
        <w:trPr>
          <w:trHeight w:val="117"/>
        </w:trPr>
        <w:tc>
          <w:tcPr>
            <w:tcW w:w="4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00" w:type="dxa"/>
            <w:vAlign w:val="bottom"/>
            <w:gridSpan w:val="3"/>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20" w:type="dxa"/>
            <w:vAlign w:val="bottom"/>
          </w:tcPr>
          <w:p>
            <w:pPr>
              <w:jc w:val="center"/>
              <w:spacing w:after="0" w:line="117" w:lineRule="exact"/>
              <w:rPr>
                <w:sz w:val="20"/>
                <w:szCs w:val="20"/>
                <w:color w:val="auto"/>
              </w:rPr>
            </w:pPr>
            <w:r>
              <w:rPr>
                <w:rFonts w:ascii="Arial" w:cs="Arial" w:eastAsia="Arial" w:hAnsi="Arial"/>
                <w:sz w:val="11"/>
                <w:szCs w:val="11"/>
                <w:b w:val="1"/>
                <w:bCs w:val="1"/>
                <w:color w:val="auto"/>
                <w:w w:val="99"/>
              </w:rPr>
              <w:t>Currency</w:t>
            </w:r>
          </w:p>
        </w:tc>
        <w:tc>
          <w:tcPr>
            <w:tcW w:w="0" w:type="dxa"/>
            <w:vAlign w:val="bottom"/>
          </w:tcPr>
          <w:p>
            <w:pPr>
              <w:spacing w:after="0"/>
              <w:rPr>
                <w:sz w:val="1"/>
                <w:szCs w:val="1"/>
                <w:color w:val="auto"/>
              </w:rPr>
            </w:pPr>
          </w:p>
        </w:tc>
      </w:tr>
      <w:tr>
        <w:trPr>
          <w:trHeight w:val="161"/>
        </w:trPr>
        <w:tc>
          <w:tcPr>
            <w:tcW w:w="4520" w:type="dxa"/>
            <w:vAlign w:val="bottom"/>
          </w:tcPr>
          <w:p>
            <w:pPr>
              <w:spacing w:after="0"/>
              <w:rPr>
                <w:sz w:val="20"/>
                <w:szCs w:val="20"/>
                <w:color w:val="auto"/>
              </w:rPr>
            </w:pPr>
            <w:r>
              <w:rPr>
                <w:rFonts w:ascii="Arial" w:cs="Arial" w:eastAsia="Arial" w:hAnsi="Arial"/>
                <w:sz w:val="11"/>
                <w:szCs w:val="11"/>
                <w:b w:val="1"/>
                <w:bCs w:val="1"/>
                <w:i w:val="1"/>
                <w:iCs w:val="1"/>
                <w:color w:val="auto"/>
              </w:rPr>
              <w:t>Dollars in millions</w:t>
            </w:r>
          </w:p>
        </w:tc>
        <w:tc>
          <w:tcPr>
            <w:tcW w:w="300" w:type="dxa"/>
            <w:vAlign w:val="bottom"/>
          </w:tcPr>
          <w:p>
            <w:pPr>
              <w:spacing w:after="0"/>
              <w:rPr>
                <w:sz w:val="14"/>
                <w:szCs w:val="14"/>
                <w:color w:val="auto"/>
              </w:rPr>
            </w:pPr>
          </w:p>
        </w:tc>
        <w:tc>
          <w:tcPr>
            <w:tcW w:w="940" w:type="dxa"/>
            <w:vAlign w:val="bottom"/>
          </w:tcPr>
          <w:p>
            <w:pPr>
              <w:jc w:val="right"/>
              <w:ind w:right="446"/>
              <w:spacing w:after="0"/>
              <w:rPr>
                <w:sz w:val="20"/>
                <w:szCs w:val="20"/>
                <w:color w:val="auto"/>
              </w:rPr>
            </w:pPr>
            <w:r>
              <w:rPr>
                <w:rFonts w:ascii="Arial" w:cs="Arial" w:eastAsia="Arial" w:hAnsi="Arial"/>
                <w:sz w:val="11"/>
                <w:szCs w:val="11"/>
                <w:b w:val="1"/>
                <w:bCs w:val="1"/>
                <w:color w:val="auto"/>
              </w:rPr>
              <w:t>2023</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ind w:right="426"/>
              <w:spacing w:after="0"/>
              <w:rPr>
                <w:sz w:val="20"/>
                <w:szCs w:val="20"/>
                <w:color w:val="auto"/>
              </w:rPr>
            </w:pPr>
            <w:r>
              <w:rPr>
                <w:rFonts w:ascii="Arial" w:cs="Arial" w:eastAsia="Arial" w:hAnsi="Arial"/>
                <w:sz w:val="11"/>
                <w:szCs w:val="11"/>
                <w:b w:val="1"/>
                <w:bCs w:val="1"/>
                <w:color w:val="auto"/>
              </w:rPr>
              <w:t>2022</w:t>
            </w:r>
          </w:p>
        </w:tc>
        <w:tc>
          <w:tcPr>
            <w:tcW w:w="100" w:type="dxa"/>
            <w:vAlign w:val="bottom"/>
          </w:tcPr>
          <w:p>
            <w:pPr>
              <w:spacing w:after="0"/>
              <w:rPr>
                <w:sz w:val="14"/>
                <w:szCs w:val="14"/>
                <w:color w:val="auto"/>
              </w:rPr>
            </w:pPr>
          </w:p>
        </w:tc>
        <w:tc>
          <w:tcPr>
            <w:tcW w:w="1700" w:type="dxa"/>
            <w:vAlign w:val="bottom"/>
            <w:gridSpan w:val="3"/>
          </w:tcPr>
          <w:p>
            <w:pPr>
              <w:jc w:val="center"/>
              <w:ind w:right="380"/>
              <w:spacing w:after="0"/>
              <w:rPr>
                <w:sz w:val="20"/>
                <w:szCs w:val="20"/>
                <w:color w:val="auto"/>
              </w:rPr>
            </w:pPr>
            <w:r>
              <w:rPr>
                <w:rFonts w:ascii="Arial" w:cs="Arial" w:eastAsia="Arial" w:hAnsi="Arial"/>
                <w:sz w:val="11"/>
                <w:szCs w:val="11"/>
                <w:b w:val="1"/>
                <w:bCs w:val="1"/>
                <w:color w:val="auto"/>
                <w:w w:val="99"/>
              </w:rPr>
              <w:t>Change</w:t>
            </w:r>
          </w:p>
        </w:tc>
        <w:tc>
          <w:tcPr>
            <w:tcW w:w="112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rPr>
              <w:t>Impact</w:t>
            </w:r>
          </w:p>
        </w:tc>
        <w:tc>
          <w:tcPr>
            <w:tcW w:w="1320" w:type="dxa"/>
            <w:vAlign w:val="bottom"/>
          </w:tcPr>
          <w:p>
            <w:pPr>
              <w:jc w:val="center"/>
              <w:spacing w:after="0"/>
              <w:rPr>
                <w:sz w:val="20"/>
                <w:szCs w:val="20"/>
                <w:color w:val="auto"/>
              </w:rPr>
            </w:pPr>
            <w:r>
              <w:rPr>
                <w:rFonts w:ascii="Arial" w:cs="Arial" w:eastAsia="Arial" w:hAnsi="Arial"/>
                <w:sz w:val="11"/>
                <w:szCs w:val="11"/>
                <w:b w:val="1"/>
                <w:bCs w:val="1"/>
                <w:color w:val="auto"/>
                <w:w w:val="99"/>
              </w:rPr>
              <w:t>Change</w:t>
            </w:r>
          </w:p>
        </w:tc>
        <w:tc>
          <w:tcPr>
            <w:tcW w:w="0" w:type="dxa"/>
            <w:vAlign w:val="bottom"/>
          </w:tcPr>
          <w:p>
            <w:pPr>
              <w:spacing w:after="0"/>
              <w:rPr>
                <w:sz w:val="1"/>
                <w:szCs w:val="1"/>
                <w:color w:val="auto"/>
              </w:rPr>
            </w:pPr>
          </w:p>
        </w:tc>
      </w:tr>
      <w:tr>
        <w:trPr>
          <w:trHeight w:val="165"/>
        </w:trPr>
        <w:tc>
          <w:tcPr>
            <w:tcW w:w="4520" w:type="dxa"/>
            <w:vAlign w:val="bottom"/>
            <w:tcBorders>
              <w:top w:val="single" w:sz="8" w:color="CCEEFF"/>
              <w:bottom w:val="single" w:sz="8" w:color="CCEEFF"/>
            </w:tcBorders>
            <w:shd w:val="clear" w:color="auto" w:fill="CCEEFF"/>
          </w:tcPr>
          <w:p>
            <w:pPr>
              <w:spacing w:after="0" w:line="123" w:lineRule="exact"/>
              <w:rPr>
                <w:sz w:val="20"/>
                <w:szCs w:val="20"/>
                <w:color w:val="auto"/>
              </w:rPr>
            </w:pPr>
            <w:r>
              <w:rPr>
                <w:rFonts w:ascii="Arial" w:cs="Arial" w:eastAsia="Arial" w:hAnsi="Arial"/>
                <w:sz w:val="11"/>
                <w:szCs w:val="11"/>
                <w:color w:val="auto"/>
              </w:rPr>
              <w:t>Total Revenues</w:t>
            </w:r>
          </w:p>
        </w:tc>
        <w:tc>
          <w:tcPr>
            <w:tcW w:w="300" w:type="dxa"/>
            <w:vAlign w:val="bottom"/>
            <w:tcBorders>
              <w:top w:val="single" w:sz="8" w:color="auto"/>
              <w:bottom w:val="single" w:sz="8" w:color="CCEEFF"/>
            </w:tcBorders>
            <w:shd w:val="clear" w:color="auto" w:fill="CCEEFF"/>
          </w:tcPr>
          <w:p>
            <w:pPr>
              <w:jc w:val="right"/>
              <w:ind w:right="166"/>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281.9</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CCEEFF"/>
            </w:tcBorders>
            <w:shd w:val="clear" w:color="auto" w:fill="CCEEFF"/>
          </w:tcPr>
          <w:p>
            <w:pPr>
              <w:jc w:val="right"/>
              <w:ind w:right="146"/>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274.6</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2.7 %</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CCEEFF"/>
            </w:tcBorders>
            <w:shd w:val="clear" w:color="auto" w:fill="CCEEFF"/>
          </w:tcPr>
          <w:p>
            <w:pPr>
              <w:spacing w:after="0"/>
              <w:rPr>
                <w:sz w:val="13"/>
                <w:szCs w:val="13"/>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0.6 %</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2.1 %</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5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5"/>
          </w:tcPr>
          <w:p>
            <w:pPr>
              <w:jc w:val="center"/>
              <w:ind w:left="786"/>
              <w:spacing w:after="0"/>
              <w:rPr>
                <w:sz w:val="20"/>
                <w:szCs w:val="20"/>
                <w:color w:val="auto"/>
              </w:rPr>
            </w:pPr>
            <w:r>
              <w:rPr>
                <w:rFonts w:ascii="Arial" w:cs="Arial" w:eastAsia="Arial" w:hAnsi="Arial"/>
                <w:sz w:val="11"/>
                <w:szCs w:val="11"/>
                <w:b w:val="1"/>
                <w:bCs w:val="1"/>
                <w:color w:val="auto"/>
                <w:w w:val="98"/>
              </w:rPr>
              <w:t>Twelve months ended September 30,</w:t>
            </w: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4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00" w:type="dxa"/>
            <w:vAlign w:val="bottom"/>
            <w:gridSpan w:val="3"/>
            <w:vMerge w:val="restart"/>
          </w:tcPr>
          <w:p>
            <w:pPr>
              <w:jc w:val="center"/>
              <w:ind w:right="400"/>
              <w:spacing w:after="0"/>
              <w:rPr>
                <w:sz w:val="20"/>
                <w:szCs w:val="20"/>
                <w:color w:val="auto"/>
              </w:rPr>
            </w:pPr>
            <w:r>
              <w:rPr>
                <w:rFonts w:ascii="Arial" w:cs="Arial" w:eastAsia="Arial" w:hAnsi="Arial"/>
                <w:sz w:val="11"/>
                <w:szCs w:val="11"/>
                <w:b w:val="1"/>
                <w:bCs w:val="1"/>
                <w:color w:val="auto"/>
                <w:w w:val="98"/>
              </w:rPr>
              <w:t>Total</w:t>
            </w:r>
          </w:p>
        </w:tc>
        <w:tc>
          <w:tcPr>
            <w:tcW w:w="1120" w:type="dxa"/>
            <w:vAlign w:val="bottom"/>
            <w:gridSpan w:val="2"/>
            <w:vMerge w:val="restart"/>
          </w:tcPr>
          <w:p>
            <w:pPr>
              <w:jc w:val="center"/>
              <w:ind w:right="400"/>
              <w:spacing w:after="0"/>
              <w:rPr>
                <w:sz w:val="20"/>
                <w:szCs w:val="20"/>
                <w:color w:val="auto"/>
              </w:rPr>
            </w:pPr>
            <w:r>
              <w:rPr>
                <w:rFonts w:ascii="Arial" w:cs="Arial" w:eastAsia="Arial" w:hAnsi="Arial"/>
                <w:sz w:val="11"/>
                <w:szCs w:val="11"/>
                <w:b w:val="1"/>
                <w:bCs w:val="1"/>
                <w:color w:val="auto"/>
                <w:w w:val="97"/>
              </w:rPr>
              <w:t>Estimated FX</w:t>
            </w:r>
          </w:p>
        </w:tc>
        <w:tc>
          <w:tcPr>
            <w:tcW w:w="1320" w:type="dxa"/>
            <w:vAlign w:val="bottom"/>
          </w:tcPr>
          <w:p>
            <w:pPr>
              <w:jc w:val="center"/>
              <w:spacing w:after="0" w:line="113" w:lineRule="exact"/>
              <w:rPr>
                <w:sz w:val="20"/>
                <w:szCs w:val="20"/>
                <w:color w:val="auto"/>
              </w:rPr>
            </w:pPr>
            <w:r>
              <w:rPr>
                <w:rFonts w:ascii="Arial" w:cs="Arial" w:eastAsia="Arial" w:hAnsi="Arial"/>
                <w:sz w:val="11"/>
                <w:szCs w:val="11"/>
                <w:b w:val="1"/>
                <w:bCs w:val="1"/>
                <w:color w:val="auto"/>
                <w:w w:val="96"/>
              </w:rPr>
              <w:t>Constant</w:t>
            </w:r>
          </w:p>
        </w:tc>
        <w:tc>
          <w:tcPr>
            <w:tcW w:w="0" w:type="dxa"/>
            <w:vAlign w:val="bottom"/>
          </w:tcPr>
          <w:p>
            <w:pPr>
              <w:spacing w:after="0"/>
              <w:rPr>
                <w:sz w:val="1"/>
                <w:szCs w:val="1"/>
                <w:color w:val="auto"/>
              </w:rPr>
            </w:pPr>
          </w:p>
        </w:tc>
      </w:tr>
      <w:tr>
        <w:trPr>
          <w:trHeight w:val="117"/>
        </w:trPr>
        <w:tc>
          <w:tcPr>
            <w:tcW w:w="4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00" w:type="dxa"/>
            <w:vAlign w:val="bottom"/>
            <w:gridSpan w:val="3"/>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20" w:type="dxa"/>
            <w:vAlign w:val="bottom"/>
          </w:tcPr>
          <w:p>
            <w:pPr>
              <w:jc w:val="center"/>
              <w:spacing w:after="0" w:line="117" w:lineRule="exact"/>
              <w:rPr>
                <w:sz w:val="20"/>
                <w:szCs w:val="20"/>
                <w:color w:val="auto"/>
              </w:rPr>
            </w:pPr>
            <w:r>
              <w:rPr>
                <w:rFonts w:ascii="Arial" w:cs="Arial" w:eastAsia="Arial" w:hAnsi="Arial"/>
                <w:sz w:val="11"/>
                <w:szCs w:val="11"/>
                <w:b w:val="1"/>
                <w:bCs w:val="1"/>
                <w:color w:val="auto"/>
                <w:w w:val="99"/>
              </w:rPr>
              <w:t>Currency</w:t>
            </w:r>
          </w:p>
        </w:tc>
        <w:tc>
          <w:tcPr>
            <w:tcW w:w="0" w:type="dxa"/>
            <w:vAlign w:val="bottom"/>
          </w:tcPr>
          <w:p>
            <w:pPr>
              <w:spacing w:after="0"/>
              <w:rPr>
                <w:sz w:val="1"/>
                <w:szCs w:val="1"/>
                <w:color w:val="auto"/>
              </w:rPr>
            </w:pPr>
          </w:p>
        </w:tc>
      </w:tr>
      <w:tr>
        <w:trPr>
          <w:trHeight w:val="161"/>
        </w:trPr>
        <w:tc>
          <w:tcPr>
            <w:tcW w:w="4520" w:type="dxa"/>
            <w:vAlign w:val="bottom"/>
          </w:tcPr>
          <w:p>
            <w:pPr>
              <w:spacing w:after="0"/>
              <w:rPr>
                <w:sz w:val="20"/>
                <w:szCs w:val="20"/>
                <w:color w:val="auto"/>
              </w:rPr>
            </w:pPr>
            <w:r>
              <w:rPr>
                <w:rFonts w:ascii="Arial" w:cs="Arial" w:eastAsia="Arial" w:hAnsi="Arial"/>
                <w:sz w:val="11"/>
                <w:szCs w:val="11"/>
                <w:b w:val="1"/>
                <w:bCs w:val="1"/>
                <w:i w:val="1"/>
                <w:iCs w:val="1"/>
                <w:color w:val="auto"/>
              </w:rPr>
              <w:t>Dollars in millions</w:t>
            </w:r>
          </w:p>
        </w:tc>
        <w:tc>
          <w:tcPr>
            <w:tcW w:w="300" w:type="dxa"/>
            <w:vAlign w:val="bottom"/>
          </w:tcPr>
          <w:p>
            <w:pPr>
              <w:spacing w:after="0"/>
              <w:rPr>
                <w:sz w:val="14"/>
                <w:szCs w:val="14"/>
                <w:color w:val="auto"/>
              </w:rPr>
            </w:pPr>
          </w:p>
        </w:tc>
        <w:tc>
          <w:tcPr>
            <w:tcW w:w="940" w:type="dxa"/>
            <w:vAlign w:val="bottom"/>
          </w:tcPr>
          <w:p>
            <w:pPr>
              <w:jc w:val="right"/>
              <w:ind w:right="446"/>
              <w:spacing w:after="0"/>
              <w:rPr>
                <w:sz w:val="20"/>
                <w:szCs w:val="20"/>
                <w:color w:val="auto"/>
              </w:rPr>
            </w:pPr>
            <w:r>
              <w:rPr>
                <w:rFonts w:ascii="Arial" w:cs="Arial" w:eastAsia="Arial" w:hAnsi="Arial"/>
                <w:sz w:val="11"/>
                <w:szCs w:val="11"/>
                <w:b w:val="1"/>
                <w:bCs w:val="1"/>
                <w:color w:val="auto"/>
              </w:rPr>
              <w:t>2023</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ind w:right="426"/>
              <w:spacing w:after="0"/>
              <w:rPr>
                <w:sz w:val="20"/>
                <w:szCs w:val="20"/>
                <w:color w:val="auto"/>
              </w:rPr>
            </w:pPr>
            <w:r>
              <w:rPr>
                <w:rFonts w:ascii="Arial" w:cs="Arial" w:eastAsia="Arial" w:hAnsi="Arial"/>
                <w:sz w:val="11"/>
                <w:szCs w:val="11"/>
                <w:b w:val="1"/>
                <w:bCs w:val="1"/>
                <w:color w:val="auto"/>
              </w:rPr>
              <w:t>2022</w:t>
            </w:r>
          </w:p>
        </w:tc>
        <w:tc>
          <w:tcPr>
            <w:tcW w:w="100" w:type="dxa"/>
            <w:vAlign w:val="bottom"/>
          </w:tcPr>
          <w:p>
            <w:pPr>
              <w:spacing w:after="0"/>
              <w:rPr>
                <w:sz w:val="14"/>
                <w:szCs w:val="14"/>
                <w:color w:val="auto"/>
              </w:rPr>
            </w:pPr>
          </w:p>
        </w:tc>
        <w:tc>
          <w:tcPr>
            <w:tcW w:w="1700" w:type="dxa"/>
            <w:vAlign w:val="bottom"/>
            <w:gridSpan w:val="3"/>
          </w:tcPr>
          <w:p>
            <w:pPr>
              <w:jc w:val="center"/>
              <w:ind w:right="380"/>
              <w:spacing w:after="0"/>
              <w:rPr>
                <w:sz w:val="20"/>
                <w:szCs w:val="20"/>
                <w:color w:val="auto"/>
              </w:rPr>
            </w:pPr>
            <w:r>
              <w:rPr>
                <w:rFonts w:ascii="Arial" w:cs="Arial" w:eastAsia="Arial" w:hAnsi="Arial"/>
                <w:sz w:val="11"/>
                <w:szCs w:val="11"/>
                <w:b w:val="1"/>
                <w:bCs w:val="1"/>
                <w:color w:val="auto"/>
                <w:w w:val="99"/>
              </w:rPr>
              <w:t>Change</w:t>
            </w:r>
          </w:p>
        </w:tc>
        <w:tc>
          <w:tcPr>
            <w:tcW w:w="112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rPr>
              <w:t>Impact</w:t>
            </w:r>
          </w:p>
        </w:tc>
        <w:tc>
          <w:tcPr>
            <w:tcW w:w="1320" w:type="dxa"/>
            <w:vAlign w:val="bottom"/>
          </w:tcPr>
          <w:p>
            <w:pPr>
              <w:jc w:val="center"/>
              <w:spacing w:after="0"/>
              <w:rPr>
                <w:sz w:val="20"/>
                <w:szCs w:val="20"/>
                <w:color w:val="auto"/>
              </w:rPr>
            </w:pPr>
            <w:r>
              <w:rPr>
                <w:rFonts w:ascii="Arial" w:cs="Arial" w:eastAsia="Arial" w:hAnsi="Arial"/>
                <w:sz w:val="11"/>
                <w:szCs w:val="11"/>
                <w:b w:val="1"/>
                <w:bCs w:val="1"/>
                <w:color w:val="auto"/>
                <w:w w:val="99"/>
              </w:rPr>
              <w:t>Change</w:t>
            </w:r>
          </w:p>
        </w:tc>
        <w:tc>
          <w:tcPr>
            <w:tcW w:w="0" w:type="dxa"/>
            <w:vAlign w:val="bottom"/>
          </w:tcPr>
          <w:p>
            <w:pPr>
              <w:spacing w:after="0"/>
              <w:rPr>
                <w:sz w:val="1"/>
                <w:szCs w:val="1"/>
                <w:color w:val="auto"/>
              </w:rPr>
            </w:pPr>
          </w:p>
        </w:tc>
      </w:tr>
      <w:tr>
        <w:trPr>
          <w:trHeight w:val="133"/>
        </w:trPr>
        <w:tc>
          <w:tcPr>
            <w:tcW w:w="4520" w:type="dxa"/>
            <w:vAlign w:val="bottom"/>
            <w:tcBorders>
              <w:top w:val="single" w:sz="8" w:color="CCEEFF"/>
              <w:bottom w:val="single" w:sz="8" w:color="CCEEFF"/>
            </w:tcBorders>
            <w:shd w:val="clear" w:color="auto" w:fill="CCEEFF"/>
          </w:tcPr>
          <w:p>
            <w:pPr>
              <w:spacing w:after="0" w:line="123" w:lineRule="exact"/>
              <w:rPr>
                <w:sz w:val="20"/>
                <w:szCs w:val="20"/>
                <w:color w:val="auto"/>
              </w:rPr>
            </w:pPr>
            <w:r>
              <w:rPr>
                <w:rFonts w:ascii="Arial" w:cs="Arial" w:eastAsia="Arial" w:hAnsi="Arial"/>
                <w:sz w:val="11"/>
                <w:szCs w:val="11"/>
                <w:color w:val="auto"/>
              </w:rPr>
              <w:t>Total Revenues</w:t>
            </w:r>
          </w:p>
        </w:tc>
        <w:tc>
          <w:tcPr>
            <w:tcW w:w="300" w:type="dxa"/>
            <w:vAlign w:val="bottom"/>
            <w:tcBorders>
              <w:top w:val="single" w:sz="8" w:color="auto"/>
              <w:bottom w:val="single" w:sz="8" w:color="CCEEFF"/>
            </w:tcBorders>
            <w:shd w:val="clear" w:color="auto" w:fill="CCEEFF"/>
          </w:tcPr>
          <w:p>
            <w:pPr>
              <w:jc w:val="right"/>
              <w:ind w:right="166"/>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1,120.8</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280" w:type="dxa"/>
            <w:vAlign w:val="bottom"/>
            <w:tcBorders>
              <w:top w:val="single" w:sz="8" w:color="auto"/>
              <w:bottom w:val="single" w:sz="8" w:color="CCEEFF"/>
            </w:tcBorders>
            <w:shd w:val="clear" w:color="auto" w:fill="CCEEFF"/>
          </w:tcPr>
          <w:p>
            <w:pPr>
              <w:jc w:val="right"/>
              <w:ind w:right="146"/>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1,129.5</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(0.8)%</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300" w:type="dxa"/>
            <w:vAlign w:val="bottom"/>
            <w:tcBorders>
              <w:top w:val="single" w:sz="8" w:color="auto"/>
              <w:bottom w:val="single" w:sz="8" w:color="CCEEFF"/>
            </w:tcBorders>
            <w:shd w:val="clear" w:color="auto" w:fill="CCEEFF"/>
          </w:tcPr>
          <w:p>
            <w:pPr>
              <w:spacing w:after="0"/>
              <w:rPr>
                <w:sz w:val="11"/>
                <w:szCs w:val="11"/>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(2.4)%</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1.6 %</w:t>
            </w:r>
          </w:p>
        </w:tc>
        <w:tc>
          <w:tcPr>
            <w:tcW w:w="0" w:type="dxa"/>
            <w:vAlign w:val="bottom"/>
          </w:tcPr>
          <w:p>
            <w:pPr>
              <w:spacing w:after="0"/>
              <w:rPr>
                <w:sz w:val="1"/>
                <w:szCs w:val="1"/>
                <w:color w:val="auto"/>
              </w:rPr>
            </w:pPr>
          </w:p>
        </w:tc>
      </w:tr>
      <w:tr>
        <w:trPr>
          <w:trHeight w:val="36"/>
        </w:trPr>
        <w:tc>
          <w:tcPr>
            <w:tcW w:w="4520" w:type="dxa"/>
            <w:vAlign w:val="bottom"/>
            <w:shd w:val="clear" w:color="auto" w:fill="CCEEFF"/>
          </w:tcPr>
          <w:p>
            <w:pPr>
              <w:spacing w:after="0"/>
              <w:rPr>
                <w:sz w:val="3"/>
                <w:szCs w:val="3"/>
                <w:color w:val="auto"/>
              </w:rPr>
            </w:pPr>
          </w:p>
        </w:tc>
        <w:tc>
          <w:tcPr>
            <w:tcW w:w="300" w:type="dxa"/>
            <w:vAlign w:val="bottom"/>
            <w:shd w:val="clear" w:color="auto" w:fill="000000"/>
          </w:tcPr>
          <w:p>
            <w:pPr>
              <w:spacing w:after="0"/>
              <w:rPr>
                <w:sz w:val="3"/>
                <w:szCs w:val="3"/>
                <w:color w:val="auto"/>
              </w:rPr>
            </w:pPr>
          </w:p>
        </w:tc>
        <w:tc>
          <w:tcPr>
            <w:tcW w:w="940" w:type="dxa"/>
            <w:vAlign w:val="bottom"/>
            <w:shd w:val="clear" w:color="auto" w:fill="000000"/>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80" w:type="dxa"/>
            <w:vAlign w:val="bottom"/>
            <w:shd w:val="clear" w:color="auto" w:fill="000000"/>
          </w:tcPr>
          <w:p>
            <w:pPr>
              <w:spacing w:after="0"/>
              <w:rPr>
                <w:sz w:val="3"/>
                <w:szCs w:val="3"/>
                <w:color w:val="auto"/>
              </w:rPr>
            </w:pPr>
          </w:p>
        </w:tc>
        <w:tc>
          <w:tcPr>
            <w:tcW w:w="940" w:type="dxa"/>
            <w:vAlign w:val="bottom"/>
            <w:shd w:val="clear" w:color="auto" w:fill="000000"/>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300" w:type="dxa"/>
            <w:vAlign w:val="bottom"/>
            <w:shd w:val="clear" w:color="auto" w:fill="000000"/>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00" w:type="dxa"/>
            <w:vAlign w:val="bottom"/>
            <w:shd w:val="clear" w:color="auto" w:fill="000000"/>
          </w:tcPr>
          <w:p>
            <w:pPr>
              <w:spacing w:after="0"/>
              <w:rPr>
                <w:sz w:val="3"/>
                <w:szCs w:val="3"/>
                <w:color w:val="auto"/>
              </w:rPr>
            </w:pPr>
          </w:p>
        </w:tc>
        <w:tc>
          <w:tcPr>
            <w:tcW w:w="1020" w:type="dxa"/>
            <w:vAlign w:val="bottom"/>
            <w:shd w:val="clear" w:color="auto" w:fill="000000"/>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320" w:type="dxa"/>
            <w:vAlign w:val="bottom"/>
            <w:shd w:val="clear" w:color="auto" w:fill="000000"/>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About embecta</w:t>
      </w:r>
    </w:p>
    <w:p>
      <w:pPr>
        <w:spacing w:after="0" w:line="153" w:lineRule="exact"/>
        <w:rPr>
          <w:sz w:val="20"/>
          <w:szCs w:val="20"/>
          <w:color w:val="auto"/>
        </w:rPr>
      </w:pPr>
    </w:p>
    <w:p>
      <w:pPr>
        <w:jc w:val="both"/>
        <w:ind w:right="20"/>
        <w:spacing w:after="0" w:line="301" w:lineRule="auto"/>
        <w:rPr>
          <w:sz w:val="20"/>
          <w:szCs w:val="20"/>
          <w:color w:val="auto"/>
        </w:rPr>
      </w:pPr>
      <w:r>
        <w:rPr>
          <w:rFonts w:ascii="Arial" w:cs="Arial" w:eastAsia="Arial" w:hAnsi="Arial"/>
          <w:sz w:val="11"/>
          <w:szCs w:val="11"/>
          <w:color w:val="auto"/>
        </w:rPr>
        <w:t xml:space="preserve">embecta is a global diabetes care company that is leveraging its nearly 100-year legacy in insulin delivery to empower people with diabetes to live their best life through innovative solutions, partnerships and the passion of approximately 2,000 employees around the globe. For more information, visit </w:t>
      </w:r>
      <w:r>
        <w:rPr>
          <w:rFonts w:ascii="Arial" w:cs="Arial" w:eastAsia="Arial" w:hAnsi="Arial"/>
          <w:sz w:val="11"/>
          <w:szCs w:val="11"/>
          <w:color w:val="0000FF"/>
        </w:rPr>
        <w:t>embecta.com</w:t>
      </w:r>
      <w:r>
        <w:rPr>
          <w:rFonts w:ascii="Arial" w:cs="Arial" w:eastAsia="Arial" w:hAnsi="Arial"/>
          <w:sz w:val="11"/>
          <w:szCs w:val="11"/>
          <w:color w:val="auto"/>
        </w:rPr>
        <w:t xml:space="preserve"> or follow our social channels on </w:t>
      </w:r>
      <w:r>
        <w:rPr>
          <w:rFonts w:ascii="Arial" w:cs="Arial" w:eastAsia="Arial" w:hAnsi="Arial"/>
          <w:sz w:val="11"/>
          <w:szCs w:val="11"/>
          <w:color w:val="0000FF"/>
        </w:rPr>
        <w:t>LinkedIn</w:t>
      </w:r>
      <w:r>
        <w:rPr>
          <w:rFonts w:ascii="Arial" w:cs="Arial" w:eastAsia="Arial" w:hAnsi="Arial"/>
          <w:sz w:val="11"/>
          <w:szCs w:val="11"/>
          <w:color w:val="auto"/>
        </w:rPr>
        <w:t xml:space="preserve">, </w:t>
      </w:r>
      <w:r>
        <w:rPr>
          <w:rFonts w:ascii="Arial" w:cs="Arial" w:eastAsia="Arial" w:hAnsi="Arial"/>
          <w:sz w:val="11"/>
          <w:szCs w:val="11"/>
          <w:color w:val="0000FF"/>
        </w:rPr>
        <w:t>Facebook</w:t>
      </w:r>
      <w:r>
        <w:rPr>
          <w:rFonts w:ascii="Arial" w:cs="Arial" w:eastAsia="Arial" w:hAnsi="Arial"/>
          <w:sz w:val="11"/>
          <w:szCs w:val="11"/>
          <w:color w:val="auto"/>
        </w:rPr>
        <w:t xml:space="preserve">, </w:t>
      </w:r>
      <w:r>
        <w:rPr>
          <w:rFonts w:ascii="Arial" w:cs="Arial" w:eastAsia="Arial" w:hAnsi="Arial"/>
          <w:sz w:val="11"/>
          <w:szCs w:val="11"/>
          <w:color w:val="0000FF"/>
        </w:rPr>
        <w:t>Instagram</w:t>
      </w:r>
      <w:r>
        <w:rPr>
          <w:rFonts w:ascii="Arial" w:cs="Arial" w:eastAsia="Arial" w:hAnsi="Arial"/>
          <w:sz w:val="11"/>
          <w:szCs w:val="11"/>
          <w:color w:val="auto"/>
        </w:rPr>
        <w:t xml:space="preserve"> and </w:t>
      </w:r>
      <w:r>
        <w:rPr>
          <w:rFonts w:ascii="Arial" w:cs="Arial" w:eastAsia="Arial" w:hAnsi="Arial"/>
          <w:sz w:val="11"/>
          <w:szCs w:val="11"/>
          <w:color w:val="0000FF"/>
        </w:rPr>
        <w:t>Twitter</w:t>
      </w:r>
      <w:r>
        <w:rPr>
          <w:rFonts w:ascii="Arial" w:cs="Arial" w:eastAsia="Arial" w:hAnsi="Arial"/>
          <w:sz w:val="11"/>
          <w:szCs w:val="11"/>
          <w:color w:val="auto"/>
        </w:rPr>
        <w:t>.</w:t>
      </w:r>
    </w:p>
    <w:p>
      <w:pPr>
        <w:spacing w:after="0" w:line="60"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Safe Harbor Statement Regarding Forward-Looking Statements</w:t>
      </w:r>
    </w:p>
    <w:p>
      <w:pPr>
        <w:spacing w:after="0" w:line="42" w:lineRule="exact"/>
        <w:rPr>
          <w:sz w:val="20"/>
          <w:szCs w:val="20"/>
          <w:color w:val="auto"/>
        </w:rPr>
      </w:pPr>
    </w:p>
    <w:p>
      <w:pPr>
        <w:jc w:val="both"/>
        <w:spacing w:after="0" w:line="256" w:lineRule="auto"/>
        <w:rPr>
          <w:sz w:val="20"/>
          <w:szCs w:val="20"/>
          <w:color w:val="auto"/>
        </w:rPr>
      </w:pPr>
      <w:r>
        <w:rPr>
          <w:rFonts w:ascii="Arial" w:cs="Arial" w:eastAsia="Arial" w:hAnsi="Arial"/>
          <w:sz w:val="11"/>
          <w:szCs w:val="11"/>
          <w:color w:val="auto"/>
        </w:rPr>
        <w:t>This press release contains express or implied "forward-looking statements" as that term is defined in the Private Securities Litigation Reform Act of 1995 and other securities laws. These forward-looking statements concern our current expectations regarding our future results from operations, performance, financial condition, goals, strategies, plans and achievements. These forward-looking statements are subject to various known and unknown risks, uncertainties and other factors, and you should not rely upon them except as statements of our present intentions and of our present expectations, which may or may not occur. When we use words such as "believes," "expects," "anticipates," "estimates," "plans," "intends", “pursue”, “will” or similar</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9</w:t>
      </w:r>
    </w:p>
    <w:p>
      <w:pPr>
        <w:sectPr>
          <w:pgSz w:w="11900" w:h="16838" w:orient="portrait"/>
          <w:cols w:equalWidth="0" w:num="1">
            <w:col w:w="11300"/>
          </w:cols>
          <w:pgMar w:left="300" w:top="767" w:right="299" w:bottom="1440" w:gutter="0" w:footer="0" w:header="0"/>
        </w:sectPr>
      </w:pPr>
    </w:p>
    <w:bookmarkStart w:id="11" w:name="page12"/>
    <w:bookmarkEnd w:id="11"/>
    <w:p>
      <w:pPr>
        <w:jc w:val="both"/>
        <w:spacing w:after="0" w:line="244" w:lineRule="auto"/>
        <w:rPr>
          <w:sz w:val="20"/>
          <w:szCs w:val="20"/>
          <w:color w:val="auto"/>
        </w:rPr>
      </w:pPr>
      <w:r>
        <w:rPr>
          <w:rFonts w:ascii="Arial" w:cs="Arial" w:eastAsia="Arial" w:hAnsi="Arial"/>
          <w:sz w:val="11"/>
          <w:szCs w:val="11"/>
          <w:color w:val="auto"/>
        </w:rPr>
        <w:t>expressions, we are making forward-looking statements. For example, embecta is using forward-looking statements when it discusses its fiscal 2024 financial guidance and its expectations with respect to strengthening its base business, separating and standing up embecta as an independent company, investing in growth, and its ability to obtain sustainable success, including executing its separation plans, and continuing to invest in the development of its type 2 closed loop insulin delivery system. Although we believe that our forward-looking statements are based on reasonable assumptions, our expected results may not be achieved, and actual results may differ materially from our expectations. In addition, important factors that could cause actual results to differ from expectations include, among others: (i) competitive factors that could adversely affect embecta’s operations; (ii) any inability to extend or replace the services provided by BD under the Transition Services Agreement, the Logistics Services Agreement and other transaction documents; (iii) any failure by BD to perform its obligations under the various separation agreements entered into in connection with the separation and distribution; (iv) any events that adversely affect the sale or profitability of embecta’s products or the revenues delivered from sales to its customers; (v) increases in operating costs, including fluctuations in the cost and availability of raw materials or components used in its products, the ability to maintain favorable supplier arrangements and relationships, and the potential adverse effects of any disruption in the availability of such items; (vi) changes in reimbursement practices of governments or private payers or other cost containment measures; (vii) the adverse financial impact resulting from unfavorable changes in foreign currency exchange rates, as well as regional, national and foreign economic factors, including inflation, deflation, and fluctuations in interest rates; (viii) the impact of changes in U.S. federal laws and policy that could affect fiscal and tax policies, healthcare and international trade, including import and export regulation and international trade agreements; (ix) any new pandemic, such as the COVID-19 pandemic, or any geopolitical instability, including disruptions in its operations and supply chains; (x) new or changing laws and regulations, or changes in enforcement practices, including laws relating to healthcare, environmental protection, trade, monetary and fiscal policies, taxation and licensing and regulatory requirements for products; (xi) the expected benefits of the separation from BD; (xii) risks associated with embecta’s indebtedness; (xiii) the risk that ongoing dis-synergy costs, costs of restructuring and other costs incurred in connection with the separation from BD will exceed our estimates of these costs; (xiv) the risk that it will be more difficult than expected to effect embecta’s full separation from BD; (xv) risks associated with not completing strategic collaborative partnerships and acquisitions for innovative technologies, complementary product lines, and new markets; and (xvi) the other risks described in our periodic reports filed with the Securities and Exchange Commission, including under the caption “Risk Factors” in our most recent Annual Report on Form 10-K, as further updated by our Quarterly Reports on Form 10-Q we have filed or will file hereafter. Except as required by law, we undertake no obligation to update any forward-looking statements appearing in this release.</w:t>
      </w:r>
    </w:p>
    <w:p>
      <w:pPr>
        <w:spacing w:after="0" w:line="142"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CONTACTS</w:t>
      </w:r>
    </w:p>
    <w:p>
      <w:pPr>
        <w:spacing w:after="0" w:line="12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Investors:</w:t>
      </w:r>
    </w:p>
    <w:p>
      <w:pPr>
        <w:spacing w:after="0" w:line="14" w:lineRule="exact"/>
        <w:rPr>
          <w:sz w:val="20"/>
          <w:szCs w:val="20"/>
          <w:color w:val="auto"/>
        </w:rPr>
      </w:pPr>
    </w:p>
    <w:p>
      <w:pPr>
        <w:spacing w:after="0"/>
        <w:rPr>
          <w:sz w:val="20"/>
          <w:szCs w:val="20"/>
          <w:color w:val="auto"/>
        </w:rPr>
      </w:pPr>
      <w:r>
        <w:rPr>
          <w:rFonts w:ascii="Arial" w:cs="Arial" w:eastAsia="Arial" w:hAnsi="Arial"/>
          <w:sz w:val="11"/>
          <w:szCs w:val="11"/>
          <w:color w:val="auto"/>
        </w:rPr>
        <w:t>Pravesh Khandelwal</w:t>
      </w: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VP, Head of Investor Relations</w:t>
      </w:r>
    </w:p>
    <w:p>
      <w:pPr>
        <w:spacing w:after="0"/>
        <w:rPr>
          <w:sz w:val="20"/>
          <w:szCs w:val="20"/>
          <w:color w:val="auto"/>
        </w:rPr>
      </w:pPr>
      <w:r>
        <w:rPr>
          <w:rFonts w:ascii="Arial" w:cs="Arial" w:eastAsia="Arial" w:hAnsi="Arial"/>
          <w:sz w:val="11"/>
          <w:szCs w:val="11"/>
          <w:color w:val="auto"/>
        </w:rPr>
        <w:t>551-264-6547</w:t>
      </w:r>
    </w:p>
    <w:p>
      <w:pPr>
        <w:spacing w:after="0"/>
        <w:rPr>
          <w:sz w:val="20"/>
          <w:szCs w:val="20"/>
          <w:color w:val="auto"/>
        </w:rPr>
      </w:pPr>
      <w:r>
        <w:rPr>
          <w:rFonts w:ascii="Arial" w:cs="Arial" w:eastAsia="Arial" w:hAnsi="Arial"/>
          <w:sz w:val="11"/>
          <w:szCs w:val="11"/>
          <w:color w:val="auto"/>
        </w:rPr>
        <w:t>Contact IR</w:t>
      </w:r>
    </w:p>
    <w:p>
      <w:pPr>
        <w:spacing w:after="0" w:line="9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Media:</w:t>
      </w:r>
    </w:p>
    <w:p>
      <w:pPr>
        <w:spacing w:after="0" w:line="13" w:lineRule="exact"/>
        <w:rPr>
          <w:sz w:val="20"/>
          <w:szCs w:val="20"/>
          <w:color w:val="auto"/>
        </w:rPr>
      </w:pPr>
    </w:p>
    <w:p>
      <w:pPr>
        <w:spacing w:after="0"/>
        <w:rPr>
          <w:sz w:val="20"/>
          <w:szCs w:val="20"/>
          <w:color w:val="auto"/>
        </w:rPr>
      </w:pPr>
      <w:r>
        <w:rPr>
          <w:rFonts w:ascii="Arial" w:cs="Arial" w:eastAsia="Arial" w:hAnsi="Arial"/>
          <w:sz w:val="11"/>
          <w:szCs w:val="11"/>
          <w:color w:val="auto"/>
        </w:rPr>
        <w:t>Christian Glazar</w:t>
      </w:r>
    </w:p>
    <w:p>
      <w:pPr>
        <w:spacing w:after="0"/>
        <w:rPr>
          <w:sz w:val="20"/>
          <w:szCs w:val="20"/>
          <w:color w:val="auto"/>
        </w:rPr>
      </w:pPr>
      <w:r>
        <w:rPr>
          <w:rFonts w:ascii="Arial" w:cs="Arial" w:eastAsia="Arial" w:hAnsi="Arial"/>
          <w:sz w:val="11"/>
          <w:szCs w:val="11"/>
          <w:color w:val="auto"/>
        </w:rPr>
        <w:t>Sr. Director, Corporate Communications</w:t>
      </w: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908-821-6922</w:t>
      </w:r>
    </w:p>
    <w:p>
      <w:pPr>
        <w:spacing w:after="0"/>
        <w:rPr>
          <w:sz w:val="20"/>
          <w:szCs w:val="20"/>
          <w:color w:val="auto"/>
        </w:rPr>
      </w:pPr>
      <w:r>
        <w:rPr>
          <w:rFonts w:ascii="Arial" w:cs="Arial" w:eastAsia="Arial" w:hAnsi="Arial"/>
          <w:sz w:val="11"/>
          <w:szCs w:val="11"/>
          <w:color w:val="auto"/>
        </w:rPr>
        <w:t>Contact Media Relations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10</w:t>
      </w:r>
    </w:p>
    <w:p>
      <w:pPr>
        <w:sectPr>
          <w:pgSz w:w="11900" w:h="16838" w:orient="portrait"/>
          <w:cols w:equalWidth="0" w:num="1">
            <w:col w:w="11300"/>
          </w:cols>
          <w:pgMar w:left="300" w:top="730" w:right="299" w:bottom="1440" w:gutter="0" w:footer="0" w:header="0"/>
        </w:sectPr>
      </w:pPr>
    </w:p>
    <w:bookmarkStart w:id="12" w:name="page13"/>
    <w:bookmarkEnd w:id="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lowerLetter"/>
      <w:start w:val="4"/>
    </w:lvl>
  </w:abstractNum>
  <w:abstractNum w:abstractNumId="2">
    <w:nsid w:val="41B71EFB"/>
    <w:multiLevelType w:val="hybridMultilevel"/>
    <w:lvl w:ilvl="0">
      <w:lvlJc w:val="left"/>
      <w:lvlText w:val="•"/>
      <w:numFmt w:val="bullet"/>
      <w:start w:val="1"/>
    </w:lvl>
    <w:lvl w:ilvl="1">
      <w:lvlJc w:val="left"/>
      <w:lvlText w:val="◦"/>
      <w:numFmt w:val="bullet"/>
      <w:start w:val="1"/>
    </w:lvl>
  </w:abstractNum>
  <w:abstractNum w:abstractNumId="3">
    <w:nsid w:val="79E2A9E3"/>
    <w:multiLevelType w:val="hybridMultilevel"/>
    <w:lvl w:ilvl="0">
      <w:lvlJc w:val="left"/>
      <w:lvlText w:val="•"/>
      <w:numFmt w:val="bullet"/>
      <w:start w:val="1"/>
    </w:lvl>
    <w:lvl w:ilvl="1">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lvl w:ilvl="1">
      <w:lvlJc w:val="left"/>
      <w:lvlText w:val="◦"/>
      <w:numFmt w:val="bullet"/>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decimal"/>
      <w:start w:val="7"/>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2023-11-21T05:23:05Z</dcterms:created>
  <dcterms:modified xsi:type="dcterms:W3CDTF">2023-11-21T05:23:05Z</dcterms:modified>
</cp:coreProperties>
</file>