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tbl>
      <w:tblPr>
        <w:tblLayout w:type="fixed"/>
        <w:tblInd w:w="120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4360" w:type="dxa"/>
            <w:vAlign w:val="bottom"/>
          </w:tcPr>
          <w:p>
            <w:pPr>
              <w:jc w:val="center"/>
              <w:ind w:right="2421"/>
              <w:spacing w:after="0"/>
              <w:rPr>
                <w:sz w:val="20"/>
                <w:szCs w:val="20"/>
                <w:color w:val="auto"/>
              </w:rPr>
            </w:pPr>
            <w:r>
              <w:rPr>
                <w:rFonts w:ascii="Times New Roman" w:cs="Times New Roman" w:eastAsia="Times New Roman" w:hAnsi="Times New Roman"/>
                <w:sz w:val="18"/>
                <w:szCs w:val="18"/>
                <w:b w:val="1"/>
                <w:bCs w:val="1"/>
                <w:color w:val="auto"/>
              </w:rPr>
              <w:t>Delaware</w:t>
            </w:r>
          </w:p>
        </w:tc>
      </w:tr>
      <w:tr>
        <w:trPr>
          <w:trHeight w:val="151"/>
        </w:trPr>
        <w:tc>
          <w:tcPr>
            <w:tcW w:w="3440" w:type="dxa"/>
            <w:vAlign w:val="bottom"/>
          </w:tcPr>
          <w:p>
            <w:pPr>
              <w:spacing w:after="0"/>
              <w:rPr>
                <w:sz w:val="13"/>
                <w:szCs w:val="13"/>
                <w:color w:val="auto"/>
              </w:rPr>
            </w:pPr>
          </w:p>
        </w:tc>
        <w:tc>
          <w:tcPr>
            <w:tcW w:w="4360" w:type="dxa"/>
            <w:vAlign w:val="bottom"/>
          </w:tcPr>
          <w:p>
            <w:pPr>
              <w:jc w:val="center"/>
              <w:ind w:right="2421"/>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r>
      <w:tr>
        <w:trPr>
          <w:trHeight w:val="164"/>
        </w:trPr>
        <w:tc>
          <w:tcPr>
            <w:tcW w:w="3440" w:type="dxa"/>
            <w:vAlign w:val="bottom"/>
          </w:tcPr>
          <w:p>
            <w:pPr>
              <w:spacing w:after="0"/>
              <w:rPr>
                <w:sz w:val="14"/>
                <w:szCs w:val="14"/>
                <w:color w:val="auto"/>
              </w:rPr>
            </w:pPr>
          </w:p>
        </w:tc>
        <w:tc>
          <w:tcPr>
            <w:tcW w:w="4360" w:type="dxa"/>
            <w:vAlign w:val="bottom"/>
          </w:tcPr>
          <w:p>
            <w:pPr>
              <w:jc w:val="center"/>
              <w:ind w:right="2421"/>
              <w:spacing w:after="0"/>
              <w:rPr>
                <w:sz w:val="20"/>
                <w:szCs w:val="20"/>
                <w:color w:val="auto"/>
              </w:rPr>
            </w:pPr>
            <w:r>
              <w:rPr>
                <w:rFonts w:ascii="Times New Roman" w:cs="Times New Roman" w:eastAsia="Times New Roman" w:hAnsi="Times New Roman"/>
                <w:sz w:val="14"/>
                <w:szCs w:val="14"/>
                <w:b w:val="1"/>
                <w:bCs w:val="1"/>
                <w:color w:val="auto"/>
              </w:rPr>
              <w:t>of Incorporation)</w:t>
            </w:r>
          </w:p>
        </w:tc>
      </w:tr>
      <w:tr>
        <w:trPr>
          <w:trHeight w:val="214"/>
        </w:trPr>
        <w:tc>
          <w:tcPr>
            <w:tcW w:w="344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001-41186</w:t>
            </w:r>
          </w:p>
        </w:tc>
        <w:tc>
          <w:tcPr>
            <w:tcW w:w="4360" w:type="dxa"/>
            <w:vAlign w:val="bottom"/>
          </w:tcPr>
          <w:p>
            <w:pPr>
              <w:jc w:val="center"/>
              <w:ind w:left="316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48"/>
        </w:trPr>
        <w:tc>
          <w:tcPr>
            <w:tcW w:w="3440" w:type="dxa"/>
            <w:vAlign w:val="bottom"/>
          </w:tcPr>
          <w:p>
            <w:pPr>
              <w:ind w:left="12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360" w:type="dxa"/>
            <w:vAlign w:val="bottom"/>
          </w:tcPr>
          <w:p>
            <w:pPr>
              <w:jc w:val="center"/>
              <w:ind w:left="31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4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360" w:type="dxa"/>
            <w:vAlign w:val="bottom"/>
          </w:tcPr>
          <w:p>
            <w:pPr>
              <w:jc w:val="center"/>
              <w:ind w:left="31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917"/>
        </w:trPr>
        <w:tc>
          <w:tcPr>
            <w:tcW w:w="3440" w:type="dxa"/>
            <w:vAlign w:val="bottom"/>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300 Kimball Drive, Parsippany, New Jersey</w:t>
            </w:r>
          </w:p>
        </w:tc>
        <w:tc>
          <w:tcPr>
            <w:tcW w:w="43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190"/>
        </w:trPr>
        <w:tc>
          <w:tcPr>
            <w:tcW w:w="34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360" w:type="dxa"/>
            <w:vAlign w:val="bottom"/>
          </w:tcPr>
          <w:p>
            <w:pPr>
              <w:jc w:val="center"/>
              <w:ind w:left="32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847-6880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2"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542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5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100" w:type="dxa"/>
            <w:vAlign w:val="bottom"/>
          </w:tcPr>
          <w:p>
            <w:pPr>
              <w:spacing w:after="0"/>
              <w:rPr>
                <w:sz w:val="16"/>
                <w:szCs w:val="16"/>
                <w:color w:val="auto"/>
              </w:rPr>
            </w:pPr>
          </w:p>
        </w:tc>
        <w:tc>
          <w:tcPr>
            <w:tcW w:w="40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 (Nasdaq Global</w:t>
            </w: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Select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September 30, 2022, Embecta Corp. (the “Company”) announced that the Company’s first annual meeting of stockholders (the “2023 Annual Meeting”) will be held on Thursday, February 9, 2023.</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Deadlines for submission of nominations and stockholder proposals are set out below. In accordance with the Company’s Amended and Restated Bylaws (the “Bylaws”), stockholder proposals and nominations should be sent to the Company at Embecta Corp., 300 Kimball Drive, Parsippany, New Jersey 07054, Attention: Corporate Secretary.</w:t>
      </w:r>
    </w:p>
    <w:p>
      <w:pPr>
        <w:spacing w:after="0" w:line="174" w:lineRule="exact"/>
        <w:rPr>
          <w:sz w:val="20"/>
          <w:szCs w:val="20"/>
          <w:color w:val="auto"/>
        </w:rPr>
      </w:pPr>
    </w:p>
    <w:p>
      <w:pPr>
        <w:ind w:left="660" w:right="6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Deadline for Rule 14a-8 Stockholder Proposals. </w:t>
      </w:r>
      <w:r>
        <w:rPr>
          <w:rFonts w:ascii="Times New Roman" w:cs="Times New Roman" w:eastAsia="Times New Roman" w:hAnsi="Times New Roman"/>
          <w:sz w:val="18"/>
          <w:szCs w:val="18"/>
          <w:color w:val="auto"/>
        </w:rPr>
        <w:t>Consistent with the Securities and Exchange Commission’s proxy rules, we have set October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as the deadline for receipt of proposals to be included in the Company’s proxy materials for the 2023 Annual Meeting.</w:t>
      </w:r>
    </w:p>
    <w:p>
      <w:pPr>
        <w:spacing w:after="0" w:line="158" w:lineRule="exact"/>
        <w:rPr>
          <w:rFonts w:ascii="Times New Roman" w:cs="Times New Roman" w:eastAsia="Times New Roman" w:hAnsi="Times New Roman"/>
          <w:sz w:val="18"/>
          <w:szCs w:val="18"/>
          <w:color w:val="auto"/>
        </w:rPr>
      </w:pPr>
    </w:p>
    <w:p>
      <w:pPr>
        <w:ind w:left="660" w:right="14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Proxy Access. </w:t>
      </w:r>
      <w:r>
        <w:rPr>
          <w:rFonts w:ascii="Times New Roman" w:cs="Times New Roman" w:eastAsia="Times New Roman" w:hAnsi="Times New Roman"/>
          <w:sz w:val="18"/>
          <w:szCs w:val="18"/>
          <w:color w:val="auto"/>
        </w:rPr>
        <w:t>We have set October 7, 2022 as the deadline for receipt of requests to include stockholder-nominated directors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materials for the 2023 Annual Meeting pursuant to the “proxy access” provision in the Company’s Bylaws.</w:t>
      </w:r>
    </w:p>
    <w:p>
      <w:pPr>
        <w:spacing w:after="0" w:line="158" w:lineRule="exact"/>
        <w:rPr>
          <w:rFonts w:ascii="Times New Roman" w:cs="Times New Roman" w:eastAsia="Times New Roman" w:hAnsi="Times New Roman"/>
          <w:sz w:val="18"/>
          <w:szCs w:val="18"/>
          <w:color w:val="auto"/>
        </w:rPr>
      </w:pPr>
    </w:p>
    <w:p>
      <w:pPr>
        <w:ind w:left="660" w:right="100" w:hanging="328"/>
        <w:spacing w:after="0" w:line="26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Deadline for Other Stockholder Proposals. </w:t>
      </w:r>
      <w:r>
        <w:rPr>
          <w:rFonts w:ascii="Times New Roman" w:cs="Times New Roman" w:eastAsia="Times New Roman" w:hAnsi="Times New Roman"/>
          <w:sz w:val="18"/>
          <w:szCs w:val="18"/>
          <w:color w:val="auto"/>
        </w:rPr>
        <w:t>We have set November 11, 2022 as the deadline for receipt of notice for stockholder proposals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be presented at, but not included in the proxy materials for, the 2023 Annual Meeting, including director nominations for election to the Board (other than “proxy access” director nominations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76" w:right="4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30, 2022</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0"/>
          <w:szCs w:val="20"/>
          <w:b w:val="1"/>
          <w:bCs w:val="1"/>
          <w:color w:val="auto"/>
        </w:rPr>
        <w:t>EMBECTA CORP.</w:t>
      </w:r>
    </w:p>
    <w:p>
      <w:pPr>
        <w:spacing w:after="0" w:line="198" w:lineRule="exact"/>
        <w:rPr>
          <w:sz w:val="20"/>
          <w:szCs w:val="20"/>
          <w:color w:val="auto"/>
        </w:rPr>
      </w:pPr>
    </w:p>
    <w:p>
      <w:pPr>
        <w:ind w:left="5880"/>
        <w:spacing w:after="0"/>
        <w:tabs>
          <w:tab w:leader="none" w:pos="6300" w:val="left"/>
        </w:tabs>
        <w:rPr>
          <w:sz w:val="20"/>
          <w:szCs w:val="20"/>
          <w:color w:val="auto"/>
        </w:rPr>
      </w:pPr>
      <w:r>
        <w:rPr>
          <w:rFonts w:ascii="Times New Roman" w:cs="Times New Roman" w:eastAsia="Times New Roman" w:hAnsi="Times New Roman"/>
          <w:sz w:val="18"/>
          <w:szCs w:val="18"/>
          <w:color w:val="auto"/>
        </w:rPr>
        <w:t>By:</w:t>
        <w:tab/>
        <w:t>/s/ Jeff Mann</w:t>
      </w:r>
    </w:p>
    <w:p>
      <w:pPr>
        <w:spacing w:after="0" w:line="36" w:lineRule="exact"/>
        <w:rPr>
          <w:sz w:val="20"/>
          <w:szCs w:val="20"/>
          <w:color w:val="auto"/>
        </w:rPr>
      </w:pPr>
    </w:p>
    <w:p>
      <w:pPr>
        <w:ind w:left="5660"/>
        <w:spacing w:after="0"/>
        <w:tabs>
          <w:tab w:leader="none" w:pos="6300" w:val="left"/>
        </w:tabs>
        <w:rPr>
          <w:sz w:val="20"/>
          <w:szCs w:val="20"/>
          <w:color w:val="auto"/>
        </w:rPr>
      </w:pPr>
      <w:r>
        <w:rPr>
          <w:rFonts w:ascii="Times New Roman" w:cs="Times New Roman" w:eastAsia="Times New Roman" w:hAnsi="Times New Roman"/>
          <w:sz w:val="18"/>
          <w:szCs w:val="18"/>
          <w:color w:val="auto"/>
        </w:rPr>
        <w:t>Name:</w:t>
        <w:tab/>
        <w:t>Jeff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-119380</wp:posOffset>
            </wp:positionV>
            <wp:extent cx="3180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1" w:lineRule="exact"/>
        <w:rPr>
          <w:sz w:val="20"/>
          <w:szCs w:val="20"/>
          <w:color w:val="auto"/>
        </w:rPr>
      </w:pPr>
    </w:p>
    <w:p>
      <w:pPr>
        <w:ind w:left="576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tab/>
        <w:t>Senior Vice President, General Counsel, Head of Corporate</w:t>
      </w:r>
    </w:p>
    <w:p>
      <w:pPr>
        <w:spacing w:after="0" w:line="2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Development,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2022-09-30T15:20:10Z</dcterms:created>
  <dcterms:modified xsi:type="dcterms:W3CDTF">2022-09-30T15:20:10Z</dcterms:modified>
</cp:coreProperties>
</file>