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0.jpeg" ContentType="image/jpeg"/>
  <Override PartName="/word/media/image19.jpeg" ContentType="image/jpeg"/>
  <Override PartName="/word/media/image1.png" ContentType="image/png"/>
  <Override PartName="/word/media/image8.jpeg" ContentType="image/jpeg"/>
  <Override PartName="/word/media/image5.jpeg" ContentType="image/jpeg"/>
  <Override PartName="/word/media/image6.jpeg" ContentType="image/jpeg"/>
  <Override PartName="/word/media/image2.png" ContentType="image/png"/>
  <Override PartName="/word/media/image7.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6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6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lineRule="auto" w:line="276" w:before="16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13, 2022</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60" w:after="283"/>
        <w:jc w:val="center"/>
        <w:rPr>
          <w:rFonts w:ascii="Times New Roman;sans-serif" w:hAnsi="Times New Roman;sans-serif"/>
          <w:b/>
          <w:color w:val="000000"/>
          <w:sz w:val="48"/>
        </w:rPr>
      </w:pPr>
      <w:r>
        <w:rPr>
          <w:rFonts w:ascii="Times New Roman;sans-serif" w:hAnsi="Times New Roman;sans-serif"/>
          <w:b/>
          <w:color w:val="000000"/>
          <w:sz w:val="48"/>
        </w:rPr>
        <w:t>EMBECTA CORP.</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extBody"/>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extBody"/>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w:t>
      </w:r>
    </w:p>
    <w:p>
      <w:pPr>
        <w:pStyle w:val="TextBody"/>
        <w:spacing w:before="0" w:after="0"/>
        <w:rPr/>
      </w:pPr>
      <w:r>
        <w:rPr/>
      </w:r>
    </w:p>
    <w:tbl>
      <w:tblPr>
        <w:tblW w:w="2890" w:type="dxa"/>
        <w:jc w:val="center"/>
        <w:tblInd w:w="0" w:type="dxa"/>
        <w:tblCellMar>
          <w:top w:w="28" w:type="dxa"/>
          <w:left w:w="28" w:type="dxa"/>
          <w:bottom w:w="28" w:type="dxa"/>
          <w:right w:w="28" w:type="dxa"/>
        </w:tblCellMar>
      </w:tblPr>
      <w:tblGrid>
        <w:gridCol w:w="390"/>
        <w:gridCol w:w="342"/>
        <w:gridCol w:w="347"/>
        <w:gridCol w:w="109"/>
        <w:gridCol w:w="109"/>
        <w:gridCol w:w="109"/>
        <w:gridCol w:w="433"/>
        <w:gridCol w:w="433"/>
        <w:gridCol w:w="618"/>
      </w:tblGrid>
      <w:tr>
        <w:trPr/>
        <w:tc>
          <w:tcPr>
            <w:tcW w:w="39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001-41186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87-1583942</w:t>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before="0" w:after="0"/>
        <w:rPr/>
      </w:pPr>
      <w:r>
        <w:rPr/>
      </w:r>
    </w:p>
    <w:tbl>
      <w:tblPr>
        <w:tblW w:w="5126" w:type="dxa"/>
        <w:jc w:val="center"/>
        <w:tblInd w:w="0" w:type="dxa"/>
        <w:tblCellMar>
          <w:top w:w="28" w:type="dxa"/>
          <w:left w:w="28" w:type="dxa"/>
          <w:bottom w:w="28" w:type="dxa"/>
          <w:right w:w="28" w:type="dxa"/>
        </w:tblCellMar>
      </w:tblPr>
      <w:tblGrid>
        <w:gridCol w:w="1401"/>
        <w:gridCol w:w="1232"/>
        <w:gridCol w:w="1237"/>
        <w:gridCol w:w="109"/>
        <w:gridCol w:w="109"/>
        <w:gridCol w:w="109"/>
        <w:gridCol w:w="272"/>
        <w:gridCol w:w="272"/>
        <w:gridCol w:w="385"/>
      </w:tblGrid>
      <w:tr>
        <w:trPr/>
        <w:tc>
          <w:tcPr>
            <w:tcW w:w="1401"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300 Kimball Drive, Parsippany, New Jersey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07054</w:t>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(201) 847-6880</w:t>
      </w:r>
    </w:p>
    <w:p>
      <w:pPr>
        <w:pStyle w:val="TextBody"/>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76" w:before="0" w:after="16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CellMar>
          <w:top w:w="28" w:type="dxa"/>
          <w:left w:w="28" w:type="dxa"/>
          <w:bottom w:w="28" w:type="dxa"/>
          <w:right w:w="28" w:type="dxa"/>
        </w:tblCellMar>
      </w:tblPr>
      <w:tblGrid>
        <w:gridCol w:w="124"/>
        <w:gridCol w:w="109"/>
        <w:gridCol w:w="109"/>
        <w:gridCol w:w="2167"/>
        <w:gridCol w:w="2167"/>
        <w:gridCol w:w="30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74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CellMar>
          <w:top w:w="28" w:type="dxa"/>
          <w:left w:w="28" w:type="dxa"/>
          <w:bottom w:w="28" w:type="dxa"/>
          <w:right w:w="28" w:type="dxa"/>
        </w:tblCellMar>
      </w:tblPr>
      <w:tblGrid>
        <w:gridCol w:w="124"/>
        <w:gridCol w:w="109"/>
        <w:gridCol w:w="109"/>
        <w:gridCol w:w="2175"/>
        <w:gridCol w:w="2175"/>
        <w:gridCol w:w="3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74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CellMar>
          <w:top w:w="28" w:type="dxa"/>
          <w:left w:w="28" w:type="dxa"/>
          <w:bottom w:w="28" w:type="dxa"/>
          <w:right w:w="28" w:type="dxa"/>
        </w:tblCellMar>
      </w:tblPr>
      <w:tblGrid>
        <w:gridCol w:w="124"/>
        <w:gridCol w:w="109"/>
        <w:gridCol w:w="109"/>
        <w:gridCol w:w="2689"/>
        <w:gridCol w:w="2689"/>
        <w:gridCol w:w="38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CellMar>
          <w:top w:w="28" w:type="dxa"/>
          <w:left w:w="28" w:type="dxa"/>
          <w:bottom w:w="28" w:type="dxa"/>
          <w:right w:w="28" w:type="dxa"/>
        </w:tblCellMar>
      </w:tblPr>
      <w:tblGrid>
        <w:gridCol w:w="124"/>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286"/>
        <w:gridCol w:w="1119"/>
        <w:gridCol w:w="1129"/>
        <w:gridCol w:w="109"/>
        <w:gridCol w:w="109"/>
        <w:gridCol w:w="109"/>
        <w:gridCol w:w="262"/>
        <w:gridCol w:w="262"/>
        <w:gridCol w:w="264"/>
        <w:gridCol w:w="109"/>
        <w:gridCol w:w="109"/>
        <w:gridCol w:w="109"/>
        <w:gridCol w:w="1529"/>
        <w:gridCol w:w="1529"/>
        <w:gridCol w:w="2171"/>
      </w:tblGrid>
      <w:tr>
        <w:trPr/>
        <w:tc>
          <w:tcPr>
            <w:tcW w:w="128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r>
      <w:tr>
        <w:trPr/>
        <w:tc>
          <w:tcPr>
            <w:tcW w:w="353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9" w:type="dxa"/>
            <w:gridSpan w:val="3"/>
            <w:tcBorders/>
            <w:shd w:fill="auto" w:val="clear"/>
            <w:tcMar>
              <w:top w:w="0" w:type="dxa"/>
              <w:left w:w="0" w:type="dxa"/>
              <w:bottom w:w="0" w:type="dxa"/>
              <w:right w:w="0" w:type="dxa"/>
            </w:tcMar>
            <w:vAlign w:val="center"/>
          </w:tcPr>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EMBC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 LLC (Nasdaq Global Select Market)</w:t>
            </w:r>
          </w:p>
        </w:tc>
      </w:tr>
    </w:tbl>
    <w:p>
      <w:pPr>
        <w:pStyle w:val="TextBody"/>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spacing w:lineRule="auto" w:line="276" w:before="1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Item 2.02.Results of Operations and Financial Condition.</w:t>
      </w:r>
    </w:p>
    <w:p>
      <w:pPr>
        <w:pStyle w:val="TextBody"/>
        <w:spacing w:lineRule="auto" w:line="276"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May 13, 2022, Embecta Corp. (the “Company” or "embecta") issued a press release (the “Earnings Release”) regarding its results for the quarter ended March 31, 2022. The Earnings Release is included as Exhibit 99.1 to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240" w:after="283"/>
        <w:ind w:left="0" w:right="0" w:hanging="360"/>
        <w:rPr>
          <w:rFonts w:ascii="Times New Roman;sans-serif" w:hAnsi="Times New Roman;sans-serif"/>
          <w:b/>
          <w:color w:val="000000"/>
          <w:sz w:val="20"/>
        </w:rPr>
      </w:pPr>
      <w:r>
        <w:rPr>
          <w:rFonts w:ascii="Times New Roman;sans-serif" w:hAnsi="Times New Roman;sans-serif"/>
          <w:b/>
          <w:color w:val="000000"/>
          <w:sz w:val="20"/>
        </w:rPr>
        <w:t>Item 7.01.Regulation FD Disclosure.</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conference call announced in the Earnings Release on May 13, 2022, the Company made available the Company Information Presentation furnished with this Current Report on Form 8-K as Exhibit 99.2 (the “Investor Presentation”) and available on the Company's website, www.embecta.com, relating to, among other things, its financial results for the quarter ended March 31, 2022. The Company expects to use the Investor Presentation, in whole or in part, and possibly with immaterial modifications, in connection with presentations to investors, analysts and others during the fiscal year ending September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pPr>
      <w:r>
        <w:rPr>
          <w:rFonts w:ascii="Times New Roman;sans-serif" w:hAnsi="Times New Roman;sans-serif"/>
          <w:b/>
          <w:color w:val="000000"/>
          <w:sz w:val="20"/>
        </w:rPr>
        <w:t>Item 9.01.</w:t>
      </w:r>
      <w:r>
        <w:rPr>
          <w:rFonts w:ascii="Times New Roman;sans-serif" w:hAnsi="Times New Roman;sans-serif"/>
          <w:b/>
          <w:color w:val="000000"/>
          <w:sz w:val="20"/>
        </w:rPr>
        <w:t>Financial Statements and Exhibits.</w:t>
      </w:r>
    </w:p>
    <w:p>
      <w:pPr>
        <w:pStyle w:val="TextBody"/>
        <w:spacing w:lineRule="auto" w:line="276" w:before="0" w:after="0"/>
        <w:ind w:left="0" w:right="0" w:hanging="360"/>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Exhibits</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furnished as an exhibit to this report:</w:t>
      </w:r>
    </w:p>
    <w:p>
      <w:pPr>
        <w:pStyle w:val="TextBody"/>
        <w:spacing w:before="0" w:after="0"/>
        <w:rPr/>
      </w:pPr>
      <w:r>
        <w:rPr/>
      </w:r>
    </w:p>
    <w:tbl>
      <w:tblPr>
        <w:tblW w:w="7081" w:type="dxa"/>
        <w:jc w:val="center"/>
        <w:tblInd w:w="0" w:type="dxa"/>
        <w:tblCellMar>
          <w:top w:w="28" w:type="dxa"/>
          <w:left w:w="28" w:type="dxa"/>
          <w:bottom w:w="28" w:type="dxa"/>
          <w:right w:w="28" w:type="dxa"/>
        </w:tblCellMar>
      </w:tblPr>
      <w:tblGrid>
        <w:gridCol w:w="174"/>
        <w:gridCol w:w="153"/>
        <w:gridCol w:w="154"/>
        <w:gridCol w:w="1934"/>
        <w:gridCol w:w="1934"/>
        <w:gridCol w:w="2732"/>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934" w:type="dxa"/>
            <w:tcBorders/>
            <w:shd w:fill="auto" w:val="clear"/>
            <w:vAlign w:val="center"/>
          </w:tcPr>
          <w:p>
            <w:pPr>
              <w:pStyle w:val="TableContents"/>
              <w:spacing w:before="0" w:after="283"/>
              <w:rPr>
                <w:sz w:val="4"/>
                <w:szCs w:val="4"/>
              </w:rPr>
            </w:pPr>
            <w:r>
              <w:rPr>
                <w:sz w:val="4"/>
                <w:szCs w:val="4"/>
              </w:rPr>
            </w:r>
          </w:p>
        </w:tc>
        <w:tc>
          <w:tcPr>
            <w:tcW w:w="1934" w:type="dxa"/>
            <w:tcBorders/>
            <w:shd w:fill="auto" w:val="clear"/>
            <w:vAlign w:val="center"/>
          </w:tcPr>
          <w:p>
            <w:pPr>
              <w:pStyle w:val="TableContents"/>
              <w:spacing w:before="0" w:after="283"/>
              <w:rPr>
                <w:sz w:val="4"/>
                <w:szCs w:val="4"/>
              </w:rPr>
            </w:pPr>
            <w:r>
              <w:rPr>
                <w:sz w:val="4"/>
                <w:szCs w:val="4"/>
              </w:rPr>
            </w:r>
          </w:p>
        </w:tc>
        <w:tc>
          <w:tcPr>
            <w:tcW w:w="2732"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embc-20220331xexx991.htm">
              <w:r>
                <w:rPr>
                  <w:rStyle w:val="InternetLink"/>
                  <w:rFonts w:ascii="Times New Roman;sans-serif" w:hAnsi="Times New Roman;sans-serif"/>
                  <w:b w:val="false"/>
                  <w:color w:val="0000FF"/>
                  <w:sz w:val="20"/>
                  <w:u w:val="single"/>
                </w:rPr>
                <w:t>99.1</w:t>
              </w:r>
            </w:hyperlink>
          </w:p>
        </w:tc>
        <w:tc>
          <w:tcPr>
            <w:tcW w:w="660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May 13, 2022.</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q222investorpresentation.htm">
              <w:r>
                <w:rPr>
                  <w:rStyle w:val="InternetLink"/>
                  <w:rFonts w:ascii="Times New Roman;sans-serif" w:hAnsi="Times New Roman;sans-serif"/>
                  <w:b w:val="false"/>
                  <w:color w:val="0000FF"/>
                  <w:sz w:val="20"/>
                  <w:u w:val="single"/>
                </w:rPr>
                <w:t>99.2</w:t>
              </w:r>
            </w:hyperlink>
          </w:p>
        </w:tc>
        <w:tc>
          <w:tcPr>
            <w:tcW w:w="66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Information Presentation ("Investor Presentation")</w:t>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4929" w:type="dxa"/>
        <w:jc w:val="left"/>
        <w:tblInd w:w="0" w:type="dxa"/>
        <w:tblCellMar>
          <w:top w:w="28" w:type="dxa"/>
          <w:left w:w="28" w:type="dxa"/>
          <w:bottom w:w="28" w:type="dxa"/>
          <w:right w:w="28" w:type="dxa"/>
        </w:tblCellMar>
      </w:tblPr>
      <w:tblGrid>
        <w:gridCol w:w="667"/>
        <w:gridCol w:w="586"/>
        <w:gridCol w:w="592"/>
        <w:gridCol w:w="179"/>
        <w:gridCol w:w="179"/>
        <w:gridCol w:w="179"/>
        <w:gridCol w:w="179"/>
        <w:gridCol w:w="179"/>
        <w:gridCol w:w="179"/>
        <w:gridCol w:w="581"/>
        <w:gridCol w:w="581"/>
        <w:gridCol w:w="848"/>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4"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EMBECTA CORP.</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Jacob Elguicze</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Jacob Elguicze</w:t>
            </w:r>
          </w:p>
          <w:p>
            <w:pPr>
              <w:pStyle w:val="TableContents"/>
              <w:spacing w:lineRule="auto" w:line="276"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13, 2022</w:t>
            </w:r>
          </w:p>
        </w:tc>
        <w:tc>
          <w:tcPr>
            <w:tcW w:w="308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drawing>
          <wp:inline distT="0" distB="63500" distL="0" distR="0">
            <wp:extent cx="1428750" cy="647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28750" cy="647700"/>
                    </a:xfrm>
                    <a:prstGeom prst="rect">
                      <a:avLst/>
                    </a:prstGeom>
                  </pic:spPr>
                </pic:pic>
              </a:graphicData>
            </a:graphic>
          </wp:inline>
        </w:drawing>
      </w:r>
    </w:p>
    <w:p>
      <w:pPr>
        <w:pStyle w:val="TextBody"/>
        <w:spacing w:before="0" w:after="0"/>
        <w:rPr/>
      </w:pPr>
      <w:r>
        <w:rPr/>
      </w:r>
    </w:p>
    <w:p>
      <w:pPr>
        <w:pStyle w:val="TextBody"/>
        <w:spacing w:lineRule="auto" w:line="319" w:before="0" w:after="0"/>
        <w:rPr>
          <w:rFonts w:ascii="Arial;sans-serif" w:hAnsi="Arial;sans-serif"/>
          <w:b/>
          <w:color w:val="000000"/>
          <w:sz w:val="20"/>
        </w:rPr>
      </w:pPr>
      <w:r>
        <w:rPr>
          <w:rFonts w:ascii="Arial;sans-serif" w:hAnsi="Arial;sans-serif"/>
          <w:b/>
          <w:color w:val="000000"/>
          <w:sz w:val="20"/>
        </w:rPr>
        <w:t>FOR IMMEDIATE RELEASE</w:t>
      </w:r>
    </w:p>
    <w:p>
      <w:pPr>
        <w:pStyle w:val="TextBody"/>
        <w:spacing w:before="0" w:after="0"/>
        <w:rPr/>
      </w:pPr>
      <w:r>
        <w:rPr/>
      </w:r>
    </w:p>
    <w:p>
      <w:pPr>
        <w:pStyle w:val="TextBody"/>
        <w:spacing w:lineRule="auto" w:line="276" w:before="0" w:after="0"/>
        <w:jc w:val="center"/>
        <w:rPr>
          <w:rFonts w:ascii="Arial;sans-serif" w:hAnsi="Arial;sans-serif"/>
          <w:b/>
          <w:color w:val="000000"/>
          <w:sz w:val="24"/>
        </w:rPr>
      </w:pPr>
      <w:r>
        <w:rPr>
          <w:rFonts w:ascii="Arial;sans-serif" w:hAnsi="Arial;sans-serif"/>
          <w:b/>
          <w:color w:val="000000"/>
          <w:sz w:val="24"/>
        </w:rPr>
        <w:t>Embecta Corp. Reports Second Quarter and First Six Months of Fiscal Year 2022 Financial Results and Provides Financial Guidance for the Last Six Months of Fiscal Year 2022</w:t>
      </w:r>
    </w:p>
    <w:p>
      <w:pPr>
        <w:pStyle w:val="TextBody"/>
        <w:spacing w:before="0" w:after="0"/>
        <w:rPr/>
      </w:pPr>
      <w:r>
        <w:rPr/>
      </w:r>
    </w:p>
    <w:p>
      <w:pPr>
        <w:pStyle w:val="TextBody"/>
        <w:spacing w:lineRule="auto" w:line="288" w:before="0" w:after="0"/>
        <w:jc w:val="both"/>
        <w:rPr/>
      </w:pPr>
      <w:r>
        <w:rPr>
          <w:rFonts w:ascii="Arial;sans-serif" w:hAnsi="Arial;sans-serif"/>
          <w:b/>
          <w:color w:val="000000"/>
          <w:sz w:val="19"/>
        </w:rPr>
        <w:t>Parsippany, N.J.,</w:t>
      </w:r>
      <w:r>
        <w:rPr>
          <w:color w:val="000000"/>
        </w:rPr>
        <w:t xml:space="preserve"> </w:t>
      </w:r>
      <w:r>
        <w:rPr>
          <w:rFonts w:ascii="Arial;sans-serif" w:hAnsi="Arial;sans-serif"/>
          <w:b w:val="false"/>
          <w:color w:val="000000"/>
          <w:sz w:val="19"/>
        </w:rPr>
        <w:t>May 13, 2022 (GLOBE NEWSWIRE) – Embecta Corp. (“embecta”) (Nasdaq: EMBC), one of the largest pure-play diabetes care companies in the world following its April 1, 2022, spin off from Becton, Dickinson and Company ("BD"), today reported financial results for the three- and six-month periods which ended March 31, 2022, and provided financial guidance for the last six months of the fiscal year ending September 30, 2022.</w:t>
      </w:r>
    </w:p>
    <w:p>
      <w:pPr>
        <w:pStyle w:val="TextBody"/>
        <w:spacing w:lineRule="auto" w:line="288" w:before="120" w:after="120"/>
        <w:jc w:val="both"/>
        <w:rPr>
          <w:color w:val="000000"/>
        </w:rPr>
      </w:pPr>
      <w:r>
        <w:rPr>
          <w:color w:val="000000"/>
        </w:rPr>
        <w:t>“</w:t>
      </w:r>
      <w:r>
        <w:rPr>
          <w:rFonts w:ascii="Arial;sans-serif" w:hAnsi="Arial;sans-serif"/>
          <w:b w:val="false"/>
          <w:color w:val="000000"/>
          <w:sz w:val="19"/>
        </w:rPr>
        <w:t xml:space="preserve">Our global team successfully executed the spin off from BD while meeting our commitments and maintaining the high level of service that our customers and the millions of people with diabetes that use our products deserve and expect,” said Devdatt “Dev” Kurdikar, Chief Executive Officer of embecta. “Listing the independent company’s stock on Nasdaq on April 1 was an inspiring and unifying day for our team around the world. It also marked the mid-point of a fiscal year in which our team has faced unprecedented global supply chain disruptions, inflationary pressures, continuing COVID-19 impacts, and geopolitical uncertainties. With the launch of embecta behind us, we are now focused on navigating these challenges while building all the capabilities required as an independent company and pursuing our strategic priorities that will allow us to progress towards our vision of a life unlimited by diabetes.” </w:t>
      </w:r>
    </w:p>
    <w:p>
      <w:pPr>
        <w:pStyle w:val="TextBody"/>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second quarter and first half of fiscal year 2022 and 2021 results described below are based on carve-out accounting principles, derived from the unaudited interim condensed consolidated financial statements and accounting records of BD. These condensed combined financial statements reflect the historical results of operations, financial position and cash flows of BD’s Diabetes Care Business as they were historically managed in conformity with U.S. generally accepted accounting principles (“GAAP”). In addition, these condensed combined financial statements include general corporate expenses of BD and shared segment expenses for certain support functions that are provided on a centralized basis within BD and which were not historically allocated to the BD Diabetes Care Business. Nonetheless, these financial statements do not include all the actual expenses that would have been incurred had embecta been a standalone public company during the periods presented.</w:t>
      </w:r>
    </w:p>
    <w:p>
      <w:pPr>
        <w:pStyle w:val="TextBody"/>
        <w:spacing w:lineRule="auto" w:line="288" w:before="240" w:after="180"/>
        <w:jc w:val="both"/>
        <w:rPr/>
      </w:pPr>
      <w:r>
        <w:rPr>
          <w:rFonts w:ascii="Arial;sans-serif" w:hAnsi="Arial;sans-serif"/>
          <w:b/>
          <w:color w:val="000000"/>
          <w:sz w:val="19"/>
          <w:u w:val="single"/>
        </w:rPr>
        <w:t>Second Quarter Fiscal Year 2022 Financial Highlights</w:t>
      </w:r>
      <w:r>
        <w:rPr>
          <w:rFonts w:ascii="Arial;sans-serif" w:hAnsi="Arial;sans-serif"/>
          <w:b/>
          <w:color w:val="000000"/>
          <w:sz w:val="19"/>
        </w:rPr>
        <w: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Revenue of $274.5 million, down 3.4% on a reported basis; down 1.3% on a constant currency basis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U.S. revenues declined 5.8% on both a reported and constant currency basis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International revenues declined 0.8% on a reported basis, and increased 3.6% on a constant currency basis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Gross profit and margin of $191.2 million and 69.7%, compared to $196.3 million and 69.1% in the prior year period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Net income of $79.6 million, compared to $107.9 million in the prior year period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Adjusted EBITDA and margin of $116.8 million and 42.6%, compared to $141.6 million and 49.8% in the prior year period</w:t>
      </w:r>
    </w:p>
    <w:p>
      <w:pPr>
        <w:pStyle w:val="TextBody"/>
        <w:spacing w:lineRule="auto" w:line="288" w:before="240" w:after="180"/>
        <w:jc w:val="both"/>
        <w:rPr/>
      </w:pPr>
      <w:r>
        <w:rPr>
          <w:rFonts w:ascii="Arial;sans-serif" w:hAnsi="Arial;sans-serif"/>
          <w:b/>
          <w:color w:val="000000"/>
          <w:sz w:val="19"/>
          <w:u w:val="single"/>
        </w:rPr>
        <w:t>Six Months Ended March 31 Fiscal Year 2022 Financial Highlights</w:t>
      </w:r>
      <w:r>
        <w:rPr>
          <w:rFonts w:ascii="Arial;sans-serif" w:hAnsi="Arial;sans-serif"/>
          <w:b/>
          <w:color w:val="000000"/>
          <w:sz w:val="19"/>
        </w:rPr>
        <w: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 xml:space="preserve">Revenue of $563.8 million, down 1.0% on a reported basis; up 0.2% on a constant currency basis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U.S. revenues declined 2.4% and on both a reported and constant currency basis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International revenues increased 0.6% on a reported basis, and increased 3.1% on a constant currency basis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Gross profit and margin of $395.1 million and 70.1%, compared to $387.6 million and 68.1% in the prior year period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Net income of $178.4 million, compared to $213.2 million in the prior year period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Adjusted EBITDA and margin of $254.8 million and 45.2%, compared to $289.8 million and 50.9% in the prior year period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8430"/>
                <wp:effectExtent l="0" t="0" r="0" b="0"/>
                <wp:wrapNone/>
                <wp:docPr id="4" name="Frame3"/>
                <a:graphic xmlns:a="http://schemas.openxmlformats.org/drawingml/2006/main">
                  <a:graphicData uri="http://schemas.microsoft.com/office/word/2010/wordprocessingShape">
                    <wps:wsp>
                      <wps:cNvSpPr txBox="1"/>
                      <wps:spPr>
                        <a:xfrm>
                          <a:off x="0" y="0"/>
                          <a:ext cx="6480175" cy="138430"/>
                        </a:xfrm>
                        <a:prstGeom prst="rect"/>
                      </wps:spPr>
                      <wps:txbx>
                        <w:txbxContent>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w:t>
                      </w:r>
                    </w:p>
                  </w:txbxContent>
                </v:textbox>
              </v:rect>
            </w:pict>
          </mc:Fallback>
        </mc:AlternateContent>
      </w:r>
    </w:p>
    <w:p>
      <w:pPr>
        <w:pStyle w:val="TextBody"/>
        <w:spacing w:lineRule="auto" w:line="288" w:before="240" w:after="180"/>
        <w:rPr/>
      </w:pPr>
      <w:r>
        <w:rPr>
          <w:rFonts w:ascii="Arial;sans-serif" w:hAnsi="Arial;sans-serif"/>
          <w:b/>
          <w:color w:val="000000"/>
          <w:sz w:val="19"/>
          <w:u w:val="single"/>
        </w:rPr>
        <w:t>Strategic Highlights</w:t>
      </w:r>
      <w:r>
        <w:rPr>
          <w:rFonts w:ascii="Arial;sans-serif" w:hAnsi="Arial;sans-serif"/>
          <w:b/>
          <w:color w:val="000000"/>
          <w:sz w:val="19"/>
        </w:rPr>
        <w: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Completed the planned spin off from BD, giving embecta the strategic, operational, and financial independence to optimize its product portfolio and achieve more efficient resource and capital allocation to address the significant unmet need for chronic diabetes care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Executing on transition service agreements with BD while building up embecta’s internal organization, systems and processes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Advanced the development of a type 2 closed loop insulin delivery system utilizing embecta’s proprietary patch pump, which carries Breakthrough Device Designation from the U.S. Food &amp; Drug Administration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Took actions to mitigate global supply chain challenges and minimize customer and patient impact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Continued to manage through COVID-19 disruptions in certain markets that impacted operations</w:t>
      </w:r>
    </w:p>
    <w:p>
      <w:pPr>
        <w:pStyle w:val="TextBody"/>
        <w:spacing w:lineRule="auto" w:line="288" w:before="240" w:after="180"/>
        <w:rPr>
          <w:rFonts w:ascii="Arial;sans-serif" w:hAnsi="Arial;sans-serif"/>
          <w:b/>
          <w:color w:val="000000"/>
          <w:sz w:val="19"/>
          <w:u w:val="single"/>
        </w:rPr>
      </w:pPr>
      <w:r>
        <w:rPr>
          <w:rFonts w:ascii="Arial;sans-serif" w:hAnsi="Arial;sans-serif"/>
          <w:b/>
          <w:color w:val="000000"/>
          <w:sz w:val="19"/>
          <w:u w:val="single"/>
        </w:rPr>
        <w:t xml:space="preserve">Second Quarter Fiscal Year 2022 Results: </w:t>
      </w:r>
    </w:p>
    <w:p>
      <w:pPr>
        <w:pStyle w:val="TextBody"/>
        <w:spacing w:lineRule="auto" w:line="288" w:before="120" w:after="180"/>
        <w:rPr>
          <w:rFonts w:ascii="Arial;sans-serif" w:hAnsi="Arial;sans-serif"/>
          <w:b w:val="false"/>
          <w:color w:val="000000"/>
          <w:sz w:val="19"/>
        </w:rPr>
      </w:pPr>
      <w:r>
        <w:rPr>
          <w:rFonts w:ascii="Arial;sans-serif" w:hAnsi="Arial;sans-serif"/>
          <w:b w:val="false"/>
          <w:color w:val="000000"/>
          <w:sz w:val="19"/>
        </w:rPr>
        <w:t>Revenues by geographic region are as follows:</w:t>
      </w:r>
    </w:p>
    <w:tbl>
      <w:tblPr>
        <w:tblW w:w="8427" w:type="dxa"/>
        <w:jc w:val="center"/>
        <w:tblInd w:w="0" w:type="dxa"/>
        <w:tblCellMar>
          <w:top w:w="28" w:type="dxa"/>
          <w:left w:w="28" w:type="dxa"/>
          <w:bottom w:w="28" w:type="dxa"/>
          <w:right w:w="28" w:type="dxa"/>
        </w:tblCellMar>
      </w:tblPr>
      <w:tblGrid>
        <w:gridCol w:w="439"/>
        <w:gridCol w:w="386"/>
        <w:gridCol w:w="390"/>
        <w:gridCol w:w="270"/>
        <w:gridCol w:w="788"/>
        <w:gridCol w:w="139"/>
        <w:gridCol w:w="109"/>
        <w:gridCol w:w="109"/>
        <w:gridCol w:w="109"/>
        <w:gridCol w:w="211"/>
        <w:gridCol w:w="616"/>
        <w:gridCol w:w="109"/>
        <w:gridCol w:w="109"/>
        <w:gridCol w:w="109"/>
        <w:gridCol w:w="109"/>
        <w:gridCol w:w="211"/>
        <w:gridCol w:w="481"/>
        <w:gridCol w:w="109"/>
        <w:gridCol w:w="109"/>
        <w:gridCol w:w="109"/>
        <w:gridCol w:w="109"/>
        <w:gridCol w:w="263"/>
        <w:gridCol w:w="263"/>
        <w:gridCol w:w="659"/>
        <w:gridCol w:w="109"/>
        <w:gridCol w:w="109"/>
        <w:gridCol w:w="109"/>
        <w:gridCol w:w="364"/>
        <w:gridCol w:w="364"/>
        <w:gridCol w:w="1057"/>
      </w:tblGrid>
      <w:tr>
        <w:trPr/>
        <w:tc>
          <w:tcPr>
            <w:tcW w:w="43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2412"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i/>
                <w:color w:val="000000"/>
                <w:sz w:val="18"/>
              </w:rPr>
            </w:pPr>
            <w:r>
              <w:rPr>
                <w:rFonts w:ascii="Arial;sans-serif" w:hAnsi="Arial;sans-serif"/>
                <w:b/>
                <w:i/>
                <w:color w:val="000000"/>
                <w:sz w:val="18"/>
              </w:rPr>
              <w:t>Dollars in millions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Increase/(decrease)</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Constant Currency</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w:t>
            </w:r>
          </w:p>
        </w:tc>
      </w:tr>
      <w:tr>
        <w:trPr/>
        <w:tc>
          <w:tcPr>
            <w:tcW w:w="1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197"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6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57"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rPr/>
      </w:pPr>
      <w:r>
        <w:rPr/>
      </w:r>
    </w:p>
    <w:p>
      <w:pPr>
        <w:pStyle w:val="TextBody"/>
        <w:spacing w:lineRule="auto" w:line="288" w:before="60" w:after="60"/>
        <w:jc w:val="both"/>
        <w:rPr>
          <w:rFonts w:ascii="Arial;sans-serif" w:hAnsi="Arial;sans-serif"/>
          <w:b w:val="false"/>
          <w:color w:val="000000"/>
          <w:sz w:val="19"/>
        </w:rPr>
      </w:pPr>
      <w:r>
        <w:rPr>
          <w:rFonts w:ascii="Arial;sans-serif" w:hAnsi="Arial;sans-serif"/>
          <w:b w:val="false"/>
          <w:color w:val="000000"/>
          <w:sz w:val="19"/>
        </w:rPr>
        <w:t xml:space="preserve">Our revenues decreased by $9.7 million, or 3.4%, to $274.5 million for the second quarter of 2022 as compared to revenues of $284.2 million for the second quarter of 2021. Changes in our revenue are driven by the volume of goods that we sell, the prices we negotiate with customers and changes in foreign exchange rates. Of this decrease, $6.0 million was attributable to unfavorable effects from foreign currency translation primarily in countries with revenues denominated in Euros. Volume unfavorably impacted our revenues by approximately $3.7 million, for the three months ended March 31, 2022, as compared to the prior period. The decrease in volume was primarily driven by customers in the U.S. and Europe. </w:t>
      </w:r>
    </w:p>
    <w:p>
      <w:pPr>
        <w:pStyle w:val="TextBody"/>
        <w:spacing w:lineRule="auto" w:line="288" w:before="240" w:after="180"/>
        <w:jc w:val="both"/>
        <w:rPr>
          <w:rFonts w:ascii="Arial;sans-serif" w:hAnsi="Arial;sans-serif"/>
          <w:b/>
          <w:color w:val="000000"/>
          <w:sz w:val="19"/>
          <w:u w:val="single"/>
        </w:rPr>
      </w:pPr>
      <w:r>
        <w:rPr>
          <w:rFonts w:ascii="Arial;sans-serif" w:hAnsi="Arial;sans-serif"/>
          <w:b/>
          <w:color w:val="000000"/>
          <w:sz w:val="19"/>
          <w:u w:val="single"/>
        </w:rPr>
        <w:t xml:space="preserve">Six Months Fiscal Year 2022 Results: </w:t>
      </w:r>
    </w:p>
    <w:p>
      <w:pPr>
        <w:pStyle w:val="TextBody"/>
        <w:spacing w:lineRule="auto" w:line="288" w:before="120" w:after="180"/>
        <w:rPr>
          <w:rFonts w:ascii="Arial;sans-serif" w:hAnsi="Arial;sans-serif"/>
          <w:b w:val="false"/>
          <w:color w:val="000000"/>
          <w:sz w:val="19"/>
        </w:rPr>
      </w:pPr>
      <w:r>
        <w:rPr>
          <w:rFonts w:ascii="Arial;sans-serif" w:hAnsi="Arial;sans-serif"/>
          <w:b w:val="false"/>
          <w:color w:val="000000"/>
          <w:sz w:val="19"/>
        </w:rPr>
        <w:t>Revenues by geographic region are as follows:</w:t>
      </w:r>
    </w:p>
    <w:tbl>
      <w:tblPr>
        <w:tblW w:w="8427" w:type="dxa"/>
        <w:jc w:val="center"/>
        <w:tblInd w:w="0" w:type="dxa"/>
        <w:tblCellMar>
          <w:top w:w="28" w:type="dxa"/>
          <w:left w:w="28" w:type="dxa"/>
          <w:bottom w:w="28" w:type="dxa"/>
          <w:right w:w="28" w:type="dxa"/>
        </w:tblCellMar>
      </w:tblPr>
      <w:tblGrid>
        <w:gridCol w:w="439"/>
        <w:gridCol w:w="386"/>
        <w:gridCol w:w="390"/>
        <w:gridCol w:w="270"/>
        <w:gridCol w:w="788"/>
        <w:gridCol w:w="139"/>
        <w:gridCol w:w="109"/>
        <w:gridCol w:w="109"/>
        <w:gridCol w:w="109"/>
        <w:gridCol w:w="211"/>
        <w:gridCol w:w="616"/>
        <w:gridCol w:w="109"/>
        <w:gridCol w:w="109"/>
        <w:gridCol w:w="109"/>
        <w:gridCol w:w="109"/>
        <w:gridCol w:w="211"/>
        <w:gridCol w:w="481"/>
        <w:gridCol w:w="109"/>
        <w:gridCol w:w="109"/>
        <w:gridCol w:w="109"/>
        <w:gridCol w:w="109"/>
        <w:gridCol w:w="263"/>
        <w:gridCol w:w="263"/>
        <w:gridCol w:w="659"/>
        <w:gridCol w:w="109"/>
        <w:gridCol w:w="109"/>
        <w:gridCol w:w="109"/>
        <w:gridCol w:w="364"/>
        <w:gridCol w:w="364"/>
        <w:gridCol w:w="1057"/>
      </w:tblGrid>
      <w:tr>
        <w:trPr/>
        <w:tc>
          <w:tcPr>
            <w:tcW w:w="43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Six months ended March 31,</w:t>
            </w:r>
          </w:p>
        </w:tc>
      </w:tr>
      <w:tr>
        <w:trPr/>
        <w:tc>
          <w:tcPr>
            <w:tcW w:w="2412"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i/>
                <w:color w:val="000000"/>
                <w:sz w:val="18"/>
              </w:rPr>
            </w:pPr>
            <w:r>
              <w:rPr>
                <w:rFonts w:ascii="Arial;sans-serif" w:hAnsi="Arial;sans-serif"/>
                <w:b/>
                <w:i/>
                <w:color w:val="000000"/>
                <w:sz w:val="18"/>
              </w:rPr>
              <w:t>Dollars in millions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Increase/(decrease)</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Constant Currency</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w:t>
            </w:r>
          </w:p>
        </w:tc>
      </w:tr>
      <w:tr>
        <w:trPr/>
        <w:tc>
          <w:tcPr>
            <w:tcW w:w="1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12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197"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57"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563.8 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rPr/>
      </w:pPr>
      <w:r>
        <w:rPr/>
      </w:r>
    </w:p>
    <w:p>
      <w:pPr>
        <w:pStyle w:val="TextBody"/>
        <w:spacing w:lineRule="auto" w:line="288" w:before="60" w:after="60"/>
        <w:jc w:val="both"/>
        <w:rPr>
          <w:rFonts w:ascii="Arial;sans-serif" w:hAnsi="Arial;sans-serif"/>
          <w:b w:val="false"/>
          <w:color w:val="000000"/>
          <w:sz w:val="19"/>
        </w:rPr>
      </w:pPr>
      <w:r>
        <w:rPr>
          <w:rFonts w:ascii="Arial;sans-serif" w:hAnsi="Arial;sans-serif"/>
          <w:b w:val="false"/>
          <w:color w:val="000000"/>
          <w:sz w:val="19"/>
        </w:rPr>
        <w:t>Our revenues decreased by $5.7 million, or 1.0%, to $563.8 million in the first six months of 2022 as compared to revenues of $569.5 million in the first six months of 2021. Changes in our revenue are driven by the volume of goods that we sell, the prices we negotiate with customers and changes in foreign exchange rates. Of this decrease, $6.9 million was attributable to unfavorable effects from foreign currency translation primarily in countries with revenues denominated in Euros and to a lesser extent unfavorable price and a decrease in volume in the U.S. This was offset by an increase in volume in certain emerging markets, which consist of countries within Eastern Europe, the Middle East, Africa, Latin America, Central and Southeast Asia as well as Mainland China.</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88950"/>
                <wp:effectExtent l="0" t="0" r="0" b="0"/>
                <wp:wrapNone/>
                <wp:docPr id="5" name="Frame4"/>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2</w:t>
                      </w:r>
                    </w:p>
                  </w:txbxContent>
                </v:textbox>
              </v:rect>
            </w:pict>
          </mc:Fallback>
        </mc:AlternateContent>
      </w:r>
    </w:p>
    <w:p>
      <w:pPr>
        <w:pStyle w:val="TextBody"/>
        <w:spacing w:lineRule="auto" w:line="268" w:before="0" w:after="0"/>
        <w:rPr>
          <w:rFonts w:ascii="Arial;sans-serif" w:hAnsi="Arial;sans-serif"/>
          <w:b/>
          <w:color w:val="000000"/>
          <w:sz w:val="19"/>
          <w:u w:val="single"/>
        </w:rPr>
      </w:pPr>
      <w:r>
        <w:rPr>
          <w:rFonts w:ascii="Arial;sans-serif" w:hAnsi="Arial;sans-serif"/>
          <w:b/>
          <w:color w:val="000000"/>
          <w:sz w:val="19"/>
          <w:u w:val="single"/>
        </w:rPr>
        <w:t>Second-Half Fiscal Year Financial Guidance:</w:t>
      </w:r>
    </w:p>
    <w:p>
      <w:pPr>
        <w:pStyle w:val="TextBody"/>
        <w:spacing w:lineRule="auto" w:line="288" w:before="120" w:after="180"/>
        <w:rPr>
          <w:rFonts w:ascii="Arial;sans-serif" w:hAnsi="Arial;sans-serif"/>
          <w:b w:val="false"/>
          <w:color w:val="000000"/>
          <w:sz w:val="19"/>
        </w:rPr>
      </w:pPr>
      <w:r>
        <w:rPr>
          <w:rFonts w:ascii="Arial;sans-serif" w:hAnsi="Arial;sans-serif"/>
          <w:b w:val="false"/>
          <w:color w:val="000000"/>
          <w:sz w:val="19"/>
        </w:rPr>
        <w:t>For the last six months of fiscal year 2022, the Company expects: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 xml:space="preserve">Total revenue of approximately $555 million, representing a decrease of approximately 7.0%, as compared to total revenue of $596 million for the last six months of fiscal year 2021. Excluding the impact of fluctuations in foreign currency exchange rates, total revenue is expected to decrease approximately 3.5% during the last six months of fiscal year 2022, as compared to the last six months of fiscal year 2021.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Contract manufacturing revenue of approximately $15 million during the last six months of fiscal year 2022, as compared to none during the last six months of fiscal 2021.</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 xml:space="preserve">Non-GAAP gross margin for the last six months of fiscal year 2022 in the "low-60%s".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 xml:space="preserve">Non-GAAP gross margin includes the impact of contract manufacturing revenue which is expected to generate gross margin in the high-single digit percent area, as well as the impact of procurement of cannulas under a long-term supply agreement from BD.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 xml:space="preserve">Expense of approximately $35 million associated with transition services agreement activities with BD.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19"/>
        </w:rPr>
        <w:t>Adjusted EBITDA margin for the last six months of fiscal year 2022 in the "low-30%s".</w:t>
      </w:r>
    </w:p>
    <w:p>
      <w:pPr>
        <w:pStyle w:val="TextBody"/>
        <w:spacing w:lineRule="auto" w:line="288" w:before="240" w:after="60"/>
        <w:jc w:val="both"/>
        <w:rPr>
          <w:rFonts w:ascii="Arial;sans-serif" w:hAnsi="Arial;sans-serif"/>
          <w:b w:val="false"/>
          <w:i/>
          <w:color w:val="000000"/>
          <w:sz w:val="19"/>
        </w:rPr>
      </w:pPr>
      <w:r>
        <w:rPr>
          <w:rFonts w:ascii="Arial;sans-serif" w:hAnsi="Arial;sans-serif"/>
          <w:b w:val="false"/>
          <w:i/>
          <w:color w:val="000000"/>
          <w:sz w:val="19"/>
        </w:rPr>
        <w:t>We are unable to present a quantitative reconciliation of our expected adjusted gross margin, expected adjusted EBITDA and our expected adjusted EBITDA margin as we are unable to predict with reasonable certainty and without unreasonable effort the impact and timing of certain one-time items. The financial impact of these one-time items is uncertain and is dependent on various factors, including timing, and could be material to our Combined Statements of Income.</w:t>
      </w:r>
    </w:p>
    <w:p>
      <w:pPr>
        <w:pStyle w:val="TextBody"/>
        <w:spacing w:lineRule="auto" w:line="288" w:before="240" w:after="180"/>
        <w:jc w:val="both"/>
        <w:rPr>
          <w:rFonts w:ascii="Arial;sans-serif" w:hAnsi="Arial;sans-serif"/>
          <w:b/>
          <w:color w:val="000000"/>
          <w:sz w:val="19"/>
          <w:u w:val="single"/>
        </w:rPr>
      </w:pPr>
      <w:r>
        <w:rPr>
          <w:rFonts w:ascii="Arial;sans-serif" w:hAnsi="Arial;sans-serif"/>
          <w:b/>
          <w:color w:val="000000"/>
          <w:sz w:val="19"/>
          <w:u w:val="single"/>
        </w:rPr>
        <w:t>Second Quarter of Fiscal Year 2022 Earnings Conference Call:</w:t>
      </w:r>
    </w:p>
    <w:p>
      <w:pPr>
        <w:pStyle w:val="TextBody"/>
        <w:spacing w:lineRule="auto" w:line="288" w:before="120" w:after="180"/>
        <w:jc w:val="both"/>
        <w:rPr>
          <w:rFonts w:ascii="Arial;sans-serif" w:hAnsi="Arial;sans-serif"/>
          <w:b w:val="false"/>
          <w:color w:val="000000"/>
          <w:sz w:val="19"/>
        </w:rPr>
      </w:pPr>
      <w:r>
        <w:rPr>
          <w:rFonts w:ascii="Arial;sans-serif" w:hAnsi="Arial;sans-serif"/>
          <w:b w:val="false"/>
          <w:color w:val="000000"/>
          <w:sz w:val="19"/>
        </w:rPr>
        <w:t>Management will host a conference call at 8:00 a.m. Eastern Time (ET) on May 13, 2022 to discuss the results of the quarter, provide an update on its business, including financial guidance for fiscal year 2022, and host a question and answer session. Those who would like to participate may dial 800-374-1601 (U.S.) or 210-787-4744 (International) and provide access code 5596984. The call can also be accessed through a live webcast on the company's website at investors.embecta.com. An audio replay of the call will be available beginning at 11:00 a.m. ET on May 13, 2022, either on the embecta website or by telephone. The replay can be accessed by dialing 855-859-2056 (U.S.), or 404-537-3406 (International). The access code is 5596984. The webcast will be archived on the investor website for one year.</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88950"/>
                <wp:effectExtent l="0" t="0" r="0" b="0"/>
                <wp:wrapNone/>
                <wp:docPr id="6" name="Frame5"/>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3</w:t>
                      </w:r>
                    </w:p>
                  </w:txbxContent>
                </v:textbox>
              </v:rect>
            </w:pict>
          </mc:Fallback>
        </mc:AlternateConten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 xml:space="preserve">Condensed Combined Statements of Income </w: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 xml:space="preserve">Diabetes Care Business </w: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 xml:space="preserve">(Unaudited, $ in millions except share and per share amounts) </w:t>
      </w:r>
    </w:p>
    <w:p>
      <w:pPr>
        <w:pStyle w:val="TextBody"/>
        <w:spacing w:before="0" w:after="0"/>
        <w:jc w:val="center"/>
        <w:rPr/>
      </w:pPr>
      <w:r>
        <w:rPr/>
      </w:r>
    </w:p>
    <w:tbl>
      <w:tblPr>
        <w:tblW w:w="9564" w:type="dxa"/>
        <w:jc w:val="center"/>
        <w:tblInd w:w="0" w:type="dxa"/>
        <w:tblCellMar>
          <w:top w:w="28" w:type="dxa"/>
          <w:left w:w="28" w:type="dxa"/>
          <w:bottom w:w="28" w:type="dxa"/>
          <w:right w:w="28" w:type="dxa"/>
        </w:tblCellMar>
      </w:tblPr>
      <w:tblGrid>
        <w:gridCol w:w="1593"/>
        <w:gridCol w:w="1400"/>
        <w:gridCol w:w="1401"/>
        <w:gridCol w:w="233"/>
        <w:gridCol w:w="681"/>
        <w:gridCol w:w="122"/>
        <w:gridCol w:w="109"/>
        <w:gridCol w:w="109"/>
        <w:gridCol w:w="109"/>
        <w:gridCol w:w="233"/>
        <w:gridCol w:w="681"/>
        <w:gridCol w:w="122"/>
        <w:gridCol w:w="109"/>
        <w:gridCol w:w="109"/>
        <w:gridCol w:w="109"/>
        <w:gridCol w:w="233"/>
        <w:gridCol w:w="681"/>
        <w:gridCol w:w="122"/>
        <w:gridCol w:w="109"/>
        <w:gridCol w:w="109"/>
        <w:gridCol w:w="109"/>
        <w:gridCol w:w="232"/>
        <w:gridCol w:w="678"/>
        <w:gridCol w:w="171"/>
      </w:tblGrid>
      <w:tr>
        <w:trPr/>
        <w:tc>
          <w:tcPr>
            <w:tcW w:w="1593"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March 31,</w:t>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2021</w:t>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563.8 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569.5 </w:t>
            </w:r>
          </w:p>
        </w:tc>
        <w:tc>
          <w:tcPr>
            <w:tcW w:w="17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168.7 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181.9 </w:t>
            </w:r>
          </w:p>
        </w:tc>
        <w:tc>
          <w:tcPr>
            <w:tcW w:w="171"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109.0 </w:t>
            </w:r>
          </w:p>
        </w:tc>
        <w:tc>
          <w:tcPr>
            <w:tcW w:w="17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 expense</w:t>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71"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179.6 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137.1 </w:t>
            </w:r>
          </w:p>
        </w:tc>
        <w:tc>
          <w:tcPr>
            <w:tcW w:w="1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1"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7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128.5 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210.5 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253.6 </w:t>
            </w:r>
          </w:p>
        </w:tc>
        <w:tc>
          <w:tcPr>
            <w:tcW w:w="1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7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178.4 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Basic and Diluted Earnings per Share:</w:t>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Number of Basic and Diluted Shares Outstanding (1)</w:t>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57,797,841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57,797,841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57,797,841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57,797,841</w:t>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60"/>
        <w:ind w:left="0" w:right="0" w:hanging="450"/>
        <w:jc w:val="both"/>
        <w:rPr>
          <w:rFonts w:ascii="Arial;sans-serif" w:hAnsi="Arial;sans-serif"/>
          <w:b w:val="false"/>
          <w:color w:val="000000"/>
          <w:sz w:val="19"/>
        </w:rPr>
      </w:pPr>
      <w:r>
        <w:rPr>
          <w:rFonts w:ascii="Arial;sans-serif" w:hAnsi="Arial;sans-serif"/>
          <w:b w:val="false"/>
          <w:color w:val="000000"/>
          <w:sz w:val="19"/>
        </w:rPr>
        <w:t>(1) On April 1, 2022, the effective date of the spin-off, 57,797,841 shares of embecta's common stock, par value $0.01 per share, were distributed to BD shareholders of record as of March 22, 2022, the record date of the transaction. This share amount is utilized for the calculation of basic and diluted earnings per share for all periods presented prior to the spin-off. For the three and six months ended March 31, 2022 and 2021, these shares are treated as issued and outstanding for purposes of calculating historical earnings per share. For periods prior to the spin-off, it is assumed that there are no dilutive equity instruments as there were no equity awards of embecta outstanding prior to the spin-off.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88950"/>
                <wp:effectExtent l="0" t="0" r="0" b="0"/>
                <wp:wrapNone/>
                <wp:docPr id="7" name="Frame6"/>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4</w:t>
                      </w:r>
                    </w:p>
                  </w:txbxContent>
                </v:textbox>
              </v:rect>
            </w:pict>
          </mc:Fallback>
        </mc:AlternateConten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Condensed Combined Balance Sheets</w: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Diabetes Care Business</w: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 in millions)</w:t>
      </w:r>
    </w:p>
    <w:tbl>
      <w:tblPr>
        <w:tblW w:w="7345" w:type="dxa"/>
        <w:jc w:val="center"/>
        <w:tblInd w:w="0" w:type="dxa"/>
        <w:tblCellMar>
          <w:top w:w="28" w:type="dxa"/>
          <w:left w:w="28" w:type="dxa"/>
          <w:bottom w:w="28" w:type="dxa"/>
          <w:right w:w="28" w:type="dxa"/>
        </w:tblCellMar>
      </w:tblPr>
      <w:tblGrid>
        <w:gridCol w:w="1340"/>
        <w:gridCol w:w="1180"/>
        <w:gridCol w:w="1184"/>
        <w:gridCol w:w="303"/>
        <w:gridCol w:w="995"/>
        <w:gridCol w:w="156"/>
        <w:gridCol w:w="109"/>
        <w:gridCol w:w="109"/>
        <w:gridCol w:w="109"/>
        <w:gridCol w:w="399"/>
        <w:gridCol w:w="1168"/>
        <w:gridCol w:w="293"/>
      </w:tblGrid>
      <w:tr>
        <w:trPr/>
        <w:tc>
          <w:tcPr>
            <w:tcW w:w="134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March 31, 2022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September 30, 2021</w:t>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Arial;sans-serif" w:hAnsi="Arial;sans-serif"/>
                <w:b/>
                <w:color w:val="000000"/>
                <w:sz w:val="18"/>
              </w:rPr>
              <w:t>(Unaudited)</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ind w:left="0" w:right="0" w:hanging="200"/>
              <w:rPr>
                <w:sz w:val="4"/>
                <w:szCs w:val="4"/>
              </w:rPr>
            </w:pPr>
            <w:r>
              <w:rPr>
                <w:sz w:val="4"/>
                <w:szCs w:val="4"/>
              </w:rPr>
            </w:r>
          </w:p>
        </w:tc>
        <w:tc>
          <w:tcPr>
            <w:tcW w:w="2187" w:type="dxa"/>
            <w:gridSpan w:val="6"/>
            <w:tcBorders/>
            <w:shd w:fill="auto" w:val="clea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color w:val="000000"/>
                <w:sz w:val="18"/>
              </w:rPr>
            </w:pPr>
            <w:r>
              <w:rPr>
                <w:rFonts w:ascii="Arial;sans-serif" w:hAnsi="Arial;sans-serif"/>
                <w:b/>
                <w:color w:val="000000"/>
                <w:sz w:val="18"/>
              </w:rPr>
              <w:t>ASSETS</w:t>
            </w:r>
          </w:p>
        </w:tc>
        <w:tc>
          <w:tcPr>
            <w:tcW w:w="1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0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Trade receivables, net</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150.6 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Materials</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Work in process</w:t>
            </w:r>
          </w:p>
        </w:tc>
        <w:tc>
          <w:tcPr>
            <w:tcW w:w="129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Finished products</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291.8 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451.0 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Assets</w:t>
            </w:r>
          </w:p>
        </w:tc>
        <w:tc>
          <w:tcPr>
            <w:tcW w:w="129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788.0 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color w:val="000000"/>
                <w:sz w:val="18"/>
              </w:rPr>
            </w:pPr>
            <w:r>
              <w:rPr>
                <w:rFonts w:ascii="Arial;sans-serif" w:hAnsi="Arial;sans-serif"/>
                <w:b/>
                <w:color w:val="000000"/>
                <w:sz w:val="18"/>
              </w:rPr>
              <w:t>LIABILITIES AND PARENT’S EQUITY</w:t>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45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0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29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Salaries, wages and related items</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debt obligations</w:t>
            </w:r>
          </w:p>
        </w:tc>
        <w:tc>
          <w:tcPr>
            <w:tcW w:w="129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164.0 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Income Taxes and Other Liabilities</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29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Related Party Note Payable</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5)</w:t>
            </w:r>
          </w:p>
        </w:tc>
        <w:tc>
          <w:tcPr>
            <w:tcW w:w="129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color w:val="000000"/>
                <w:sz w:val="18"/>
              </w:rPr>
            </w:pPr>
            <w:r>
              <w:rPr>
                <w:rFonts w:ascii="Arial;sans-serif" w:hAnsi="Arial;sans-serif"/>
                <w:b/>
                <w:color w:val="000000"/>
                <w:sz w:val="18"/>
              </w:rPr>
              <w:t>Parent’s Equity</w:t>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parent investment</w:t>
            </w:r>
          </w:p>
        </w:tc>
        <w:tc>
          <w:tcPr>
            <w:tcW w:w="129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(681.1)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864.8 </w:t>
            </w:r>
          </w:p>
        </w:tc>
        <w:tc>
          <w:tcPr>
            <w:tcW w:w="29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(286.4)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(270.5)</w:t>
            </w:r>
          </w:p>
        </w:tc>
        <w:tc>
          <w:tcPr>
            <w:tcW w:w="29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Parent’s Equity</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594.3 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 and Parent’s Equity</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833.5 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788.0 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100"/>
        <w:rPr/>
      </w:pPr>
      <w:r>
        <w:rPr/>
      </w:r>
    </w:p>
    <w:p>
      <w:pPr>
        <w:pStyle w:val="TextBody"/>
        <w:spacing w:before="100" w:after="100"/>
        <w:rPr/>
      </w:pPr>
      <w:r>
        <w:rPr/>
      </w:r>
    </w:p>
    <w:p>
      <w:pPr>
        <w:pStyle w:val="TextBody"/>
        <w:spacing w:before="100" w:after="10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88950"/>
                <wp:effectExtent l="0" t="0" r="0" b="0"/>
                <wp:wrapNone/>
                <wp:docPr id="8" name="Frame7"/>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5</w:t>
                      </w:r>
                    </w:p>
                  </w:txbxContent>
                </v:textbox>
              </v:rect>
            </w:pict>
          </mc:Fallback>
        </mc:AlternateConten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 xml:space="preserve">Condensed Combined Statements of Cash Flows </w: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 xml:space="preserve">Diabetes Care Business </w:t>
      </w:r>
    </w:p>
    <w:p>
      <w:pPr>
        <w:pStyle w:val="TextBody"/>
        <w:spacing w:lineRule="auto" w:line="240" w:before="0" w:after="0"/>
        <w:jc w:val="center"/>
        <w:rPr>
          <w:rFonts w:ascii="Arial;sans-serif" w:hAnsi="Arial;sans-serif"/>
          <w:b/>
          <w:color w:val="000000"/>
          <w:sz w:val="19"/>
        </w:rPr>
      </w:pPr>
      <w:r>
        <w:rPr>
          <w:rFonts w:ascii="Arial;sans-serif" w:hAnsi="Arial;sans-serif"/>
          <w:b/>
          <w:color w:val="000000"/>
          <w:sz w:val="19"/>
        </w:rPr>
        <w:t>(Unaudited, $ in millions)</w:t>
      </w:r>
    </w:p>
    <w:p>
      <w:pPr>
        <w:pStyle w:val="TextBody"/>
        <w:spacing w:before="0" w:after="0"/>
        <w:jc w:val="center"/>
        <w:rPr/>
      </w:pPr>
      <w:r>
        <w:rPr/>
      </w:r>
    </w:p>
    <w:tbl>
      <w:tblPr>
        <w:tblW w:w="8707" w:type="dxa"/>
        <w:jc w:val="center"/>
        <w:tblInd w:w="0" w:type="dxa"/>
        <w:tblCellMar>
          <w:top w:w="28" w:type="dxa"/>
          <w:left w:w="28" w:type="dxa"/>
          <w:bottom w:w="28" w:type="dxa"/>
          <w:right w:w="28" w:type="dxa"/>
        </w:tblCellMar>
      </w:tblPr>
      <w:tblGrid>
        <w:gridCol w:w="2308"/>
        <w:gridCol w:w="2030"/>
        <w:gridCol w:w="2037"/>
        <w:gridCol w:w="214"/>
        <w:gridCol w:w="626"/>
        <w:gridCol w:w="109"/>
        <w:gridCol w:w="109"/>
        <w:gridCol w:w="109"/>
        <w:gridCol w:w="109"/>
        <w:gridCol w:w="211"/>
        <w:gridCol w:w="691"/>
        <w:gridCol w:w="154"/>
      </w:tblGrid>
      <w:tr>
        <w:trPr/>
        <w:tc>
          <w:tcPr>
            <w:tcW w:w="2308"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3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March 31,</w:t>
            </w:r>
          </w:p>
        </w:tc>
      </w:tr>
      <w:tr>
        <w:trPr/>
        <w:tc>
          <w:tcPr>
            <w:tcW w:w="63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37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ind w:left="0" w:right="0" w:hanging="200"/>
              <w:rPr>
                <w:sz w:val="4"/>
                <w:szCs w:val="4"/>
              </w:rPr>
            </w:pPr>
            <w:r>
              <w:rPr>
                <w:sz w:val="4"/>
                <w:szCs w:val="4"/>
              </w:rPr>
            </w:r>
          </w:p>
        </w:tc>
        <w:tc>
          <w:tcPr>
            <w:tcW w:w="1383" w:type="dxa"/>
            <w:gridSpan w:val="6"/>
            <w:tcBorders/>
            <w:shd w:fill="auto" w:val="clear"/>
          </w:tcPr>
          <w:p>
            <w:pPr>
              <w:pStyle w:val="TableContents"/>
              <w:spacing w:before="0" w:after="283"/>
              <w:rPr>
                <w:sz w:val="4"/>
                <w:szCs w:val="4"/>
              </w:rPr>
            </w:pPr>
            <w:r>
              <w:rPr>
                <w:sz w:val="4"/>
                <w:szCs w:val="4"/>
              </w:rPr>
            </w:r>
          </w:p>
        </w:tc>
      </w:tr>
      <w:tr>
        <w:trPr/>
        <w:tc>
          <w:tcPr>
            <w:tcW w:w="63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color w:val="000000"/>
                <w:sz w:val="18"/>
              </w:rPr>
            </w:pPr>
            <w:r>
              <w:rPr>
                <w:rFonts w:ascii="Arial;sans-serif" w:hAnsi="Arial;sans-serif"/>
                <w:b/>
                <w:color w:val="000000"/>
                <w:sz w:val="18"/>
              </w:rPr>
              <w:t>Operating Activities</w:t>
            </w:r>
          </w:p>
        </w:tc>
        <w:tc>
          <w:tcPr>
            <w:tcW w:w="9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4"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Adjustments to net income to derive net cash provided by operating activities:</w:t>
            </w:r>
          </w:p>
        </w:tc>
        <w:tc>
          <w:tcPr>
            <w:tcW w:w="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Impairment of property, plant and equipment</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Pension expense</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operating assets and liabilities:</w:t>
            </w:r>
          </w:p>
        </w:tc>
        <w:tc>
          <w:tcPr>
            <w:tcW w:w="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Trade receivables, net</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63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color w:val="000000"/>
                <w:sz w:val="18"/>
              </w:rPr>
            </w:pPr>
            <w:r>
              <w:rPr>
                <w:rFonts w:ascii="Arial;sans-serif" w:hAnsi="Arial;sans-serif"/>
                <w:b/>
                <w:color w:val="000000"/>
                <w:sz w:val="18"/>
              </w:rPr>
              <w:t>Investing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Acquisition of intangible assets</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Cash Used for Investing Activities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color w:val="000000"/>
                <w:sz w:val="18"/>
              </w:rPr>
            </w:pPr>
            <w:r>
              <w:rPr>
                <w:rFonts w:ascii="Arial;sans-serif" w:hAnsi="Arial;sans-serif"/>
                <w:b/>
                <w:color w:val="000000"/>
                <w:sz w:val="18"/>
              </w:rPr>
              <w:t>Financing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Proceeds from the issuance of long-term debt</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 of long-term debt issuance costs</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consideration paid to Parent in connection with the spin off</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(1,266.0)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 of revolving credit facility fees</w:t>
            </w:r>
          </w:p>
        </w:tc>
        <w:tc>
          <w:tcPr>
            <w:tcW w:w="8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transfers to Parent</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(222.9)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Cash Used for Financing Activities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Opening Cash and cash equivalents</w:t>
            </w:r>
          </w:p>
        </w:tc>
        <w:tc>
          <w:tcPr>
            <w:tcW w:w="8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Closing Cash and cash equivalents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88950"/>
                <wp:effectExtent l="0" t="0" r="0" b="0"/>
                <wp:wrapNone/>
                <wp:docPr id="9" name="Frame8"/>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6</w:t>
                      </w:r>
                    </w:p>
                  </w:txbxContent>
                </v:textbox>
              </v:rect>
            </w:pict>
          </mc:Fallback>
        </mc:AlternateContent>
      </w:r>
    </w:p>
    <w:p>
      <w:pPr>
        <w:pStyle w:val="TextBody"/>
        <w:spacing w:lineRule="auto" w:line="288" w:before="240" w:after="180"/>
        <w:rPr>
          <w:rFonts w:ascii="Arial;sans-serif" w:hAnsi="Arial;sans-serif"/>
          <w:b/>
          <w:color w:val="000000"/>
          <w:sz w:val="19"/>
          <w:u w:val="single"/>
        </w:rPr>
      </w:pPr>
      <w:r>
        <w:rPr>
          <w:rFonts w:ascii="Arial;sans-serif" w:hAnsi="Arial;sans-serif"/>
          <w:b/>
          <w:color w:val="000000"/>
          <w:sz w:val="19"/>
          <w:u w:val="single"/>
        </w:rPr>
        <w:t>Non-GAAP financial measures</w:t>
      </w:r>
    </w:p>
    <w:p>
      <w:pPr>
        <w:pStyle w:val="TextBody"/>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evaluating our operating performance, we supplement the reporting of our financial information determined under GAAP with certain non-GAAP financial measures including (i) earnings before interest, taxes, depreciation, and amortization (“EBITDA”), (ii) adjusted EBITDA, as further defined below, and (iii)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shareholders and other readers of our consolidated financial statements in making comparisons to our historical operating results and analyzing the underlying performance of our results of operations. Additionally, EBITDA and Adjusted EBITDA are important metrics for debt investors who utilize debt-to-EBITDA ratios. These non-GAAP financial measures are not intended to be, and should not be, considered separately from, or as an alternative to, the most directly comparable GAAP financial measures.</w:t>
      </w:r>
    </w:p>
    <w:p>
      <w:pPr>
        <w:pStyle w:val="TextBody"/>
        <w:spacing w:lineRule="auto" w:line="288" w:before="60" w:after="60"/>
        <w:jc w:val="both"/>
        <w:rPr>
          <w:rFonts w:ascii="Arial;sans-serif" w:hAnsi="Arial;sans-serif"/>
          <w:b w:val="false"/>
          <w:color w:val="000000"/>
          <w:sz w:val="19"/>
        </w:rPr>
      </w:pPr>
      <w:r>
        <w:rPr>
          <w:rFonts w:ascii="Arial;sans-serif" w:hAnsi="Arial;sans-serif"/>
          <w:b w:val="false"/>
          <w:color w:val="000000"/>
          <w:sz w:val="19"/>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incurred, (iii) separation costs associated with our spin-off from BD, and (iv) other significant items management deems irregular or non-operating in nature. We use adjusted EBITDA when evaluating operating performance because we believe the exclusion of such adjustments is necessary to help provide an accurate measure of on-going core operating results and to evaluate comparative results period over period.</w:t>
      </w:r>
    </w:p>
    <w:p>
      <w:pPr>
        <w:pStyle w:val="TextBody"/>
        <w:spacing w:lineRule="auto" w:line="268" w:before="60" w:after="60"/>
        <w:rPr>
          <w:rFonts w:ascii="Arial;sans-serif" w:hAnsi="Arial;sans-serif"/>
          <w:b w:val="false"/>
          <w:color w:val="000000"/>
          <w:sz w:val="19"/>
        </w:rPr>
      </w:pPr>
      <w:r>
        <w:rPr>
          <w:rFonts w:ascii="Arial;sans-serif" w:hAnsi="Arial;sans-serif"/>
          <w:b w:val="false"/>
          <w:color w:val="000000"/>
          <w:sz w:val="19"/>
        </w:rPr>
        <w:t xml:space="preserve">For the three and six month periods ended March 31, 2022, the reconciliation of net income to EBITDA and adjusted EBITDA was as follows: </w:t>
      </w:r>
    </w:p>
    <w:tbl>
      <w:tblPr>
        <w:tblW w:w="7904" w:type="dxa"/>
        <w:jc w:val="center"/>
        <w:tblInd w:w="0" w:type="dxa"/>
        <w:tblCellMar>
          <w:top w:w="28" w:type="dxa"/>
          <w:left w:w="28" w:type="dxa"/>
          <w:bottom w:w="28" w:type="dxa"/>
          <w:right w:w="28" w:type="dxa"/>
        </w:tblCellMar>
      </w:tblPr>
      <w:tblGrid>
        <w:gridCol w:w="1136"/>
        <w:gridCol w:w="995"/>
        <w:gridCol w:w="100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36"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March 31,</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i/>
                <w:color w:val="000000"/>
                <w:sz w:val="18"/>
              </w:rPr>
            </w:pPr>
            <w:r>
              <w:rPr>
                <w:rFonts w:ascii="Arial;sans-serif" w:hAnsi="Arial;sans-serif"/>
                <w:b/>
                <w:i/>
                <w:color w:val="000000"/>
                <w:sz w:val="18"/>
              </w:rPr>
              <w:t>Dollars in millions</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2021</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color w:val="000000"/>
              </w:rPr>
            </w:pPr>
            <w:r>
              <w:rPr>
                <w:color w:val="000000"/>
              </w:rPr>
              <w:t>—</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40.4</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19.0</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0.5</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273.1</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6.7</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Separation costs (1)</w:t>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color w:val="000000"/>
              </w:rPr>
            </w:pPr>
            <w:r>
              <w:rPr>
                <w:color w:val="000000"/>
              </w:rPr>
              <w:t>—</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Impairment losses (2)</w:t>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10.0</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254.8 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289.8 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60"/>
        <w:ind w:left="0" w:right="0" w:hanging="424"/>
        <w:jc w:val="both"/>
        <w:rPr>
          <w:rFonts w:ascii="Arial;sans-serif" w:hAnsi="Arial;sans-serif"/>
          <w:b w:val="false"/>
          <w:color w:val="000000"/>
          <w:sz w:val="19"/>
        </w:rPr>
      </w:pPr>
      <w:r>
        <w:rPr>
          <w:rFonts w:ascii="Arial;sans-serif" w:hAnsi="Arial;sans-serif"/>
          <w:b w:val="false"/>
          <w:color w:val="000000"/>
          <w:sz w:val="19"/>
        </w:rPr>
        <w:t>(1)Relates to spin-off costs incurred during the three and six month periods ended March 31, 2022.</w:t>
      </w:r>
    </w:p>
    <w:p>
      <w:pPr>
        <w:pStyle w:val="TextBody"/>
        <w:spacing w:lineRule="auto" w:line="288" w:before="60" w:after="180"/>
        <w:ind w:left="0" w:right="0" w:hanging="424"/>
        <w:jc w:val="both"/>
        <w:rPr>
          <w:rFonts w:ascii="Arial;sans-serif" w:hAnsi="Arial;sans-serif"/>
          <w:b w:val="false"/>
          <w:color w:val="000000"/>
          <w:sz w:val="19"/>
        </w:rPr>
      </w:pPr>
      <w:r>
        <w:rPr>
          <w:rFonts w:ascii="Arial;sans-serif" w:hAnsi="Arial;sans-serif"/>
          <w:b w:val="false"/>
          <w:color w:val="000000"/>
          <w:sz w:val="19"/>
        </w:rPr>
        <w:t>(2)Relates to impairment charges incurred during fiscal year 2021.</w:t>
      </w:r>
    </w:p>
    <w:p>
      <w:pPr>
        <w:pStyle w:val="TextBody"/>
        <w:spacing w:lineRule="auto" w:line="288" w:before="60" w:after="60"/>
        <w:jc w:val="both"/>
        <w:rPr>
          <w:rFonts w:ascii="Arial;sans-serif" w:hAnsi="Arial;sans-serif"/>
          <w:b w:val="false"/>
          <w:color w:val="000000"/>
          <w:sz w:val="19"/>
        </w:rPr>
      </w:pPr>
      <w:r>
        <w:rPr>
          <w:rFonts w:ascii="Arial;sans-serif" w:hAnsi="Arial;sans-serif"/>
          <w:b w:val="false"/>
          <w:color w:val="000000"/>
          <w:sz w:val="19"/>
        </w:rPr>
        <w:t xml:space="preserve">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quarter.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88950"/>
                <wp:effectExtent l="0" t="0" r="0" b="0"/>
                <wp:wrapNone/>
                <wp:docPr id="10" name="Frame9"/>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7</w:t>
                      </w:r>
                    </w:p>
                  </w:txbxContent>
                </v:textbox>
              </v:rect>
            </w:pict>
          </mc:Fallback>
        </mc:AlternateContent>
      </w:r>
    </w:p>
    <w:p>
      <w:pPr>
        <w:pStyle w:val="TextBody"/>
        <w:spacing w:lineRule="auto" w:line="288" w:before="60" w:after="60"/>
        <w:jc w:val="both"/>
        <w:rPr>
          <w:rFonts w:ascii="Arial;sans-serif" w:hAnsi="Arial;sans-serif"/>
          <w:b w:val="false"/>
          <w:color w:val="000000"/>
          <w:sz w:val="19"/>
        </w:rPr>
      </w:pPr>
      <w:r>
        <w:rPr>
          <w:rFonts w:ascii="Arial;sans-serif" w:hAnsi="Arial;sans-serif"/>
          <w:b w:val="false"/>
          <w:color w:val="000000"/>
          <w:sz w:val="19"/>
        </w:rPr>
        <w:t>may not be comparable to similarly titled measures used by other companies and are not measures of performance presented in accordance with GAAP.</w:t>
      </w:r>
    </w:p>
    <w:p>
      <w:pPr>
        <w:pStyle w:val="TextBody"/>
        <w:spacing w:lineRule="auto" w:line="288" w:before="60" w:after="60"/>
        <w:jc w:val="both"/>
        <w:rPr>
          <w:rFonts w:ascii="Arial;sans-serif" w:hAnsi="Arial;sans-serif"/>
          <w:b w:val="false"/>
          <w:color w:val="000000"/>
          <w:sz w:val="19"/>
        </w:rPr>
      </w:pPr>
      <w:r>
        <w:rPr>
          <w:rFonts w:ascii="Arial;sans-serif" w:hAnsi="Arial;sans-serif"/>
          <w:b w:val="false"/>
          <w:color w:val="000000"/>
          <w:sz w:val="19"/>
        </w:rPr>
        <w:t xml:space="preserve">For the three and six month periods ended March 31, 2022, the reconciliation of revenue growth to Constant Currency was as follows: </w:t>
      </w:r>
    </w:p>
    <w:tbl>
      <w:tblPr>
        <w:tblW w:w="8047" w:type="dxa"/>
        <w:jc w:val="center"/>
        <w:tblInd w:w="0" w:type="dxa"/>
        <w:tblCellMar>
          <w:top w:w="28" w:type="dxa"/>
          <w:left w:w="28" w:type="dxa"/>
          <w:bottom w:w="28" w:type="dxa"/>
          <w:right w:w="28" w:type="dxa"/>
        </w:tblCellMar>
      </w:tblPr>
      <w:tblGrid>
        <w:gridCol w:w="592"/>
        <w:gridCol w:w="519"/>
        <w:gridCol w:w="523"/>
        <w:gridCol w:w="211"/>
        <w:gridCol w:w="616"/>
        <w:gridCol w:w="109"/>
        <w:gridCol w:w="109"/>
        <w:gridCol w:w="109"/>
        <w:gridCol w:w="109"/>
        <w:gridCol w:w="211"/>
        <w:gridCol w:w="616"/>
        <w:gridCol w:w="109"/>
        <w:gridCol w:w="109"/>
        <w:gridCol w:w="109"/>
        <w:gridCol w:w="109"/>
        <w:gridCol w:w="239"/>
        <w:gridCol w:w="241"/>
        <w:gridCol w:w="459"/>
        <w:gridCol w:w="109"/>
        <w:gridCol w:w="109"/>
        <w:gridCol w:w="109"/>
        <w:gridCol w:w="277"/>
        <w:gridCol w:w="277"/>
        <w:gridCol w:w="691"/>
        <w:gridCol w:w="109"/>
        <w:gridCol w:w="109"/>
        <w:gridCol w:w="109"/>
        <w:gridCol w:w="239"/>
        <w:gridCol w:w="241"/>
        <w:gridCol w:w="569"/>
      </w:tblGrid>
      <w:tr>
        <w:trPr/>
        <w:tc>
          <w:tcPr>
            <w:tcW w:w="592"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i/>
                <w:color w:val="000000"/>
                <w:sz w:val="18"/>
              </w:rPr>
            </w:pPr>
            <w:r>
              <w:rPr>
                <w:rFonts w:ascii="Arial;sans-serif" w:hAnsi="Arial;sans-serif"/>
                <w:b/>
                <w:i/>
                <w:color w:val="000000"/>
                <w:sz w:val="18"/>
              </w:rPr>
              <w:t>Dollars 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Total</w:t>
            </w:r>
          </w:p>
          <w:p>
            <w:pPr>
              <w:pStyle w:val="TableContents"/>
              <w:spacing w:lineRule="auto" w:line="276" w:before="0" w:after="0"/>
              <w:jc w:val="center"/>
              <w:rPr/>
            </w:pPr>
            <w:r>
              <w:rPr>
                <w:rFonts w:ascii="Arial;sans-serif" w:hAnsi="Arial;sans-serif"/>
                <w:b/>
                <w:color w:val="000000"/>
                <w:sz w:val="18"/>
              </w:rPr>
              <w:t>Change</w:t>
            </w:r>
            <w:r>
              <w:rPr>
                <w:color w:val="000000"/>
              </w:rPr>
              <w:t xml:space="preserv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Estimated FX</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Impact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Constant</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Currency</w:t>
            </w:r>
          </w:p>
          <w:p>
            <w:pPr>
              <w:pStyle w:val="TableContents"/>
              <w:spacing w:lineRule="auto" w:line="276" w:before="0" w:after="0"/>
              <w:ind w:left="0" w:right="0" w:hanging="200"/>
              <w:jc w:val="center"/>
              <w:rPr/>
            </w:pPr>
            <w:r>
              <w:rPr>
                <w:rFonts w:ascii="Arial;sans-serif" w:hAnsi="Arial;sans-serif"/>
                <w:b/>
                <w:color w:val="000000"/>
                <w:sz w:val="18"/>
              </w:rPr>
              <w:t>Change</w:t>
            </w:r>
            <w:r>
              <w:rPr>
                <w:color w:val="000000"/>
              </w:rPr>
              <w:t xml:space="preserve"> </w:t>
            </w:r>
          </w:p>
        </w:tc>
      </w:tr>
      <w:tr>
        <w:trPr/>
        <w:tc>
          <w:tcPr>
            <w:tcW w:w="163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7973" w:type="dxa"/>
        <w:jc w:val="center"/>
        <w:tblInd w:w="0" w:type="dxa"/>
        <w:tblCellMar>
          <w:top w:w="28" w:type="dxa"/>
          <w:left w:w="28" w:type="dxa"/>
          <w:bottom w:w="28" w:type="dxa"/>
          <w:right w:w="28" w:type="dxa"/>
        </w:tblCellMar>
      </w:tblPr>
      <w:tblGrid>
        <w:gridCol w:w="592"/>
        <w:gridCol w:w="519"/>
        <w:gridCol w:w="523"/>
        <w:gridCol w:w="211"/>
        <w:gridCol w:w="616"/>
        <w:gridCol w:w="109"/>
        <w:gridCol w:w="109"/>
        <w:gridCol w:w="109"/>
        <w:gridCol w:w="109"/>
        <w:gridCol w:w="211"/>
        <w:gridCol w:w="616"/>
        <w:gridCol w:w="109"/>
        <w:gridCol w:w="109"/>
        <w:gridCol w:w="109"/>
        <w:gridCol w:w="109"/>
        <w:gridCol w:w="239"/>
        <w:gridCol w:w="241"/>
        <w:gridCol w:w="459"/>
        <w:gridCol w:w="109"/>
        <w:gridCol w:w="109"/>
        <w:gridCol w:w="109"/>
        <w:gridCol w:w="277"/>
        <w:gridCol w:w="277"/>
        <w:gridCol w:w="691"/>
        <w:gridCol w:w="109"/>
        <w:gridCol w:w="109"/>
        <w:gridCol w:w="109"/>
        <w:gridCol w:w="203"/>
        <w:gridCol w:w="203"/>
        <w:gridCol w:w="569"/>
      </w:tblGrid>
      <w:tr>
        <w:trPr/>
        <w:tc>
          <w:tcPr>
            <w:tcW w:w="592"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Six months ended March 31,</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i/>
                <w:color w:val="000000"/>
                <w:sz w:val="18"/>
              </w:rPr>
            </w:pPr>
            <w:r>
              <w:rPr>
                <w:rFonts w:ascii="Arial;sans-serif" w:hAnsi="Arial;sans-serif"/>
                <w:b/>
                <w:i/>
                <w:color w:val="000000"/>
                <w:sz w:val="18"/>
              </w:rPr>
              <w:t>Dollars 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Total</w:t>
            </w:r>
          </w:p>
          <w:p>
            <w:pPr>
              <w:pStyle w:val="TableContents"/>
              <w:spacing w:lineRule="auto" w:line="276" w:before="0" w:after="0"/>
              <w:jc w:val="center"/>
              <w:rPr/>
            </w:pPr>
            <w:r>
              <w:rPr>
                <w:rFonts w:ascii="Arial;sans-serif" w:hAnsi="Arial;sans-serif"/>
                <w:b/>
                <w:color w:val="000000"/>
                <w:sz w:val="18"/>
              </w:rPr>
              <w:t>Change</w:t>
            </w:r>
            <w:r>
              <w:rPr>
                <w:color w:val="000000"/>
              </w:rPr>
              <w:t xml:space="preserv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Estimated FX</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Impact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Constant</w:t>
            </w:r>
          </w:p>
          <w:p>
            <w:pPr>
              <w:pStyle w:val="TableContents"/>
              <w:spacing w:lineRule="auto" w:line="276" w:before="0" w:after="0"/>
              <w:jc w:val="center"/>
              <w:rPr>
                <w:rFonts w:ascii="Arial;sans-serif" w:hAnsi="Arial;sans-serif"/>
                <w:b/>
                <w:color w:val="000000"/>
                <w:sz w:val="18"/>
              </w:rPr>
            </w:pPr>
            <w:r>
              <w:rPr>
                <w:rFonts w:ascii="Arial;sans-serif" w:hAnsi="Arial;sans-serif"/>
                <w:b/>
                <w:color w:val="000000"/>
                <w:sz w:val="18"/>
              </w:rPr>
              <w:t>Currency</w:t>
            </w:r>
          </w:p>
          <w:p>
            <w:pPr>
              <w:pStyle w:val="TableContents"/>
              <w:spacing w:lineRule="auto" w:line="276" w:before="0" w:after="0"/>
              <w:ind w:left="0" w:right="0" w:hanging="200"/>
              <w:jc w:val="center"/>
              <w:rPr/>
            </w:pPr>
            <w:r>
              <w:rPr>
                <w:rFonts w:ascii="Arial;sans-serif" w:hAnsi="Arial;sans-serif"/>
                <w:b/>
                <w:color w:val="000000"/>
                <w:sz w:val="18"/>
              </w:rPr>
              <w:t>Change</w:t>
            </w:r>
            <w:r>
              <w:rPr>
                <w:color w:val="000000"/>
              </w:rPr>
              <w:t xml:space="preserve"> </w:t>
            </w:r>
          </w:p>
        </w:tc>
      </w:tr>
      <w:tr>
        <w:trPr/>
        <w:tc>
          <w:tcPr>
            <w:tcW w:w="163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600" w:after="60"/>
        <w:rPr/>
      </w:pPr>
      <w:r>
        <w:rPr>
          <w:rFonts w:ascii="Arial;sans-serif" w:hAnsi="Arial;sans-serif"/>
          <w:b/>
          <w:color w:val="000000"/>
          <w:sz w:val="19"/>
        </w:rPr>
        <w:t>About embecta</w:t>
      </w:r>
      <w:r>
        <w:rPr>
          <w:rFonts w:ascii="Arial;sans-serif" w:hAnsi="Arial;sans-serif"/>
          <w:b/>
          <w:color w:val="212529"/>
          <w:sz w:val="19"/>
          <w:highlight w:val="white"/>
        </w:rPr>
        <w:br/>
      </w:r>
      <w:r>
        <w:rPr>
          <w:rFonts w:ascii="Arial;sans-serif" w:hAnsi="Arial;sans-serif"/>
          <w:b w:val="false"/>
          <w:color w:val="000000"/>
          <w:sz w:val="19"/>
        </w:rPr>
        <w:t>embecta, formerly part of BD (Becton, Dickinson and Company), is one of the largest pure-play diabetes care companies in the world, leveraging its nearly 100-year legacy in insulin delivery to empower people with diabetes to live their best life through innovative solutions, partnerships and the passion of more than 2,000 employees around the globe. For more information, visit embecta.com, the content of which is not a part of this press release.</w:t>
      </w:r>
    </w:p>
    <w:p>
      <w:pPr>
        <w:pStyle w:val="TextBody"/>
        <w:spacing w:lineRule="auto" w:line="268" w:before="600" w:after="60"/>
        <w:jc w:val="both"/>
        <w:rPr/>
      </w:pPr>
      <w:r>
        <w:rPr>
          <w:rFonts w:ascii="Arial;sans-serif" w:hAnsi="Arial;sans-serif"/>
          <w:b/>
          <w:color w:val="000000"/>
          <w:sz w:val="19"/>
        </w:rPr>
        <w:t>Safe Harbor Statement Regarding Forward-Looking Statements</w:t>
      </w:r>
      <w:r>
        <w:rPr>
          <w:color w:val="000000"/>
        </w:rPr>
        <w:t xml:space="preserve"> </w:t>
      </w:r>
    </w:p>
    <w:p>
      <w:pPr>
        <w:pStyle w:val="TextBody"/>
        <w:spacing w:lineRule="auto" w:line="288"/>
        <w:jc w:val="both"/>
        <w:rPr>
          <w:rFonts w:ascii="Arial;sans-serif" w:hAnsi="Arial;sans-serif"/>
          <w:b w:val="false"/>
          <w:color w:val="000000"/>
          <w:sz w:val="19"/>
        </w:rPr>
      </w:pPr>
      <w:r>
        <w:rPr>
          <w:rFonts w:ascii="Arial;sans-serif" w:hAnsi="Arial;sans-serif"/>
          <w:b w:val="false"/>
          <w:color w:val="000000"/>
          <w:sz w:val="19"/>
        </w:rPr>
        <w:t xml:space="preserve">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 expressions, we are making forward-looking statements. For example, embecta is using forward-looking statements when it discusses its fiscal 2022 financial guidance and its capabilities as an independent company and strategic priorities, including its ability to optimize its product portfolio and achieve more efficient resource and capital allocation.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events that adversely affect the sale or profitability of embecta’s products or the revenue delivered from sales to its customers, (iii) any failure by BD to perform of its obligations under the various separation agreements entered into in connection with the separation and distribution; (iv)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 changes in reimbursement practices of governments or private payers or other cost containment measures; (vi) the adverse financial impact resulting from unfavorable changes in foreign currency exchange rates, as well as regional, national and foreign economic factors, including inflation, deflation, and fluctuations in interest rates; (vii) the impact of changes in U.S. federal laws and policy that could affect fiscal and tax policies, healthcare and international trade, including import and export regulation and international trade agreements; (viii) any impact of the COVID-19 pandemic, including disruptions in its operations and supply chains; (ix) new or changing laws and regulations, or changes in enforcement practices, including laws relating to healthcare, environmental protection, trade, monetary and fiscal policies, taxation and licensing and regulatory requirements for products; (x) the expected benefits of the separation from BD; (xi) risks associated with embecta’s indebtedness; (xii) the risk that embecta’s separation from BD will be more difficult or costly than expected; and (xiii) the other risks described in our periodic reports filed with the Securities and Exchange Commission (“SEC”), including under the caption “Risk Factors” in our Information Statement dated February 11, 2022, filed with the SEC 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88950"/>
                <wp:effectExtent l="0" t="0" r="0" b="0"/>
                <wp:wrapNone/>
                <wp:docPr id="11" name="Frame10"/>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8</w:t>
                      </w:r>
                    </w:p>
                  </w:txbxContent>
                </v:textbox>
              </v:rect>
            </w:pict>
          </mc:Fallback>
        </mc:AlternateContent>
      </w:r>
    </w:p>
    <w:p>
      <w:pPr>
        <w:pStyle w:val="TextBody"/>
        <w:spacing w:lineRule="auto" w:line="288" w:before="0" w:after="0"/>
        <w:jc w:val="both"/>
        <w:rPr>
          <w:rFonts w:ascii="Arial;sans-serif" w:hAnsi="Arial;sans-serif"/>
          <w:b w:val="false"/>
          <w:color w:val="000000"/>
          <w:sz w:val="19"/>
        </w:rPr>
      </w:pPr>
      <w:r>
        <w:rPr>
          <w:rFonts w:ascii="Arial;sans-serif" w:hAnsi="Arial;sans-serif"/>
          <w:b w:val="false"/>
          <w:color w:val="000000"/>
          <w:sz w:val="19"/>
        </w:rPr>
        <w:t>February 11, 2022 as Exhibit 99.1 to our Current Report on Form 8-K. Except as required by law, we undertake no obligation to update any forward-looking statements appearing in this release.</w:t>
      </w:r>
    </w:p>
    <w:p>
      <w:pPr>
        <w:pStyle w:val="TextBody"/>
        <w:spacing w:before="0" w:after="0"/>
        <w:rPr/>
      </w:pPr>
      <w:r>
        <w:rPr/>
      </w:r>
    </w:p>
    <w:p>
      <w:pPr>
        <w:pStyle w:val="TextBody"/>
        <w:spacing w:lineRule="auto" w:line="240" w:before="100" w:after="100"/>
        <w:rPr/>
      </w:pPr>
      <w:r>
        <w:rPr>
          <w:rFonts w:ascii="Arial;sans-serif" w:hAnsi="Arial;sans-serif"/>
          <w:b/>
          <w:color w:val="000000"/>
          <w:sz w:val="19"/>
          <w:highlight w:val="white"/>
        </w:rPr>
        <w:t>CONTACTS </w:t>
        <w:br/>
        <w:t> </w:t>
        <w:br/>
        <w:t>Investors:</w:t>
        <w:br/>
      </w:r>
      <w:r>
        <w:rPr>
          <w:rFonts w:ascii="Arial;sans-serif" w:hAnsi="Arial;sans-serif"/>
          <w:b w:val="false"/>
          <w:color w:val="000000"/>
          <w:sz w:val="19"/>
          <w:highlight w:val="white"/>
        </w:rPr>
        <w:t>https://investors.embecta.com/shareholder-services/contact-ir</w:t>
      </w:r>
    </w:p>
    <w:p>
      <w:pPr>
        <w:pStyle w:val="TextBody"/>
        <w:spacing w:before="0" w:after="0"/>
        <w:rPr/>
      </w:pPr>
      <w:r>
        <w:rPr/>
        <w:drawing>
          <wp:inline distT="0" distB="63500" distL="0" distR="0">
            <wp:extent cx="14605" cy="1460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4605" cy="14605"/>
                    </a:xfrm>
                    <a:prstGeom prst="rect">
                      <a:avLst/>
                    </a:prstGeom>
                  </pic:spPr>
                </pic:pic>
              </a:graphicData>
            </a:graphic>
          </wp:inline>
        </w:drawing>
      </w:r>
    </w:p>
    <w:p>
      <w:pPr>
        <w:pStyle w:val="TextBody"/>
        <w:spacing w:lineRule="auto" w:line="240" w:before="100" w:after="100"/>
        <w:rPr>
          <w:rFonts w:ascii="Arial;sans-serif" w:hAnsi="Arial;sans-serif"/>
          <w:b/>
          <w:color w:val="000000"/>
          <w:sz w:val="19"/>
          <w:highlight w:val="white"/>
        </w:rPr>
      </w:pPr>
      <w:r>
        <w:rPr>
          <w:rFonts w:ascii="Arial;sans-serif" w:hAnsi="Arial;sans-serif"/>
          <w:b/>
          <w:color w:val="000000"/>
          <w:sz w:val="19"/>
          <w:highlight w:val="white"/>
        </w:rPr>
        <w:t xml:space="preserve">Media: </w:t>
      </w:r>
    </w:p>
    <w:p>
      <w:pPr>
        <w:pStyle w:val="TextBody"/>
        <w:spacing w:lineRule="auto" w:line="240" w:before="100" w:after="100"/>
        <w:rPr>
          <w:rFonts w:ascii="Arial;sans-serif" w:hAnsi="Arial;sans-serif"/>
          <w:b w:val="false"/>
          <w:color w:val="000000"/>
          <w:sz w:val="19"/>
          <w:highlight w:val="white"/>
        </w:rPr>
      </w:pPr>
      <w:r>
        <w:rPr>
          <w:rFonts w:ascii="Arial;sans-serif" w:hAnsi="Arial;sans-serif"/>
          <w:b w:val="false"/>
          <w:color w:val="000000"/>
          <w:sz w:val="19"/>
          <w:highlight w:val="white"/>
        </w:rPr>
        <w:t xml:space="preserve">Christian Glazar Sr. Director, Corporate Communications  </w:t>
      </w:r>
    </w:p>
    <w:p>
      <w:pPr>
        <w:pStyle w:val="TextBody"/>
        <w:spacing w:lineRule="auto" w:line="240" w:before="100" w:after="100"/>
        <w:rPr>
          <w:rFonts w:ascii="Arial;sans-serif" w:hAnsi="Arial;sans-serif"/>
          <w:b w:val="false"/>
          <w:color w:val="000000"/>
          <w:sz w:val="19"/>
          <w:highlight w:val="white"/>
        </w:rPr>
      </w:pPr>
      <w:r>
        <w:rPr>
          <w:rFonts w:ascii="Arial;sans-serif" w:hAnsi="Arial;sans-serif"/>
          <w:b w:val="false"/>
          <w:color w:val="000000"/>
          <w:sz w:val="19"/>
          <w:highlight w:val="white"/>
        </w:rPr>
        <w:t xml:space="preserve">908-821-6922  </w:t>
      </w:r>
    </w:p>
    <w:p>
      <w:pPr>
        <w:pStyle w:val="TextBody"/>
        <w:spacing w:lineRule="auto" w:line="240" w:before="100" w:after="100"/>
        <w:rPr>
          <w:rFonts w:ascii="Arial;sans-serif" w:hAnsi="Arial;sans-serif"/>
          <w:b w:val="false"/>
          <w:color w:val="000000"/>
          <w:sz w:val="19"/>
          <w:highlight w:val="white"/>
        </w:rPr>
      </w:pPr>
      <w:r>
        <w:rPr>
          <w:rFonts w:ascii="Arial;sans-serif" w:hAnsi="Arial;sans-serif"/>
          <w:b w:val="false"/>
          <w:color w:val="000000"/>
          <w:sz w:val="19"/>
          <w:highlight w:val="white"/>
        </w:rPr>
        <w:t>Christian.Glazar@embecta.com</w:t>
      </w:r>
    </w:p>
    <w:p>
      <w:pPr>
        <w:pStyle w:val="TextBody"/>
        <w:rPr/>
      </w:pPr>
      <w:r>
        <w:rPr/>
      </w:r>
      <w:r>
        <w:br w:type="page"/>
      </w:r>
    </w:p>
    <w:p>
      <w:pPr>
        <w:pStyle w:val="TextBody"/>
        <w:spacing w:before="0" w:after="0"/>
        <w:jc w:val="center"/>
        <w:rPr/>
      </w:pPr>
      <w:bookmarkStart w:id="0" w:name="q222investorpresentation.htm"/>
      <w:bookmarkStart w:id="1" w:name="ksq222investorpresentation"/>
      <w:bookmarkEnd w:id="0"/>
      <w:bookmarkEnd w:id="1"/>
      <w:r>
        <w:rPr/>
        <w:drawing>
          <wp:inline distT="0" distB="0" distL="0" distR="0">
            <wp:extent cx="7620000" cy="1004887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7620000" cy="1004887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88950"/>
                <wp:effectExtent l="0" t="0" r="0" b="0"/>
                <wp:wrapNone/>
                <wp:docPr id="14" name="Frame11"/>
                <a:graphic xmlns:a="http://schemas.openxmlformats.org/drawingml/2006/main">
                  <a:graphicData uri="http://schemas.microsoft.com/office/word/2010/wordprocessingShape">
                    <wps:wsp>
                      <wps:cNvSpPr txBox="1"/>
                      <wps:spPr>
                        <a:xfrm>
                          <a:off x="0" y="0"/>
                          <a:ext cx="6480175" cy="48895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Arial;sans-serif" w:hAnsi="Arial;sans-serif"/>
                          <w:b w:val="false"/>
                          <w:color w:val="000000"/>
                          <w:sz w:val="19"/>
                        </w:rPr>
                      </w:pPr>
                      <w:r>
                        <w:rPr>
                          <w:rFonts w:ascii="Arial;sans-serif" w:hAnsi="Arial;sans-serif"/>
                          <w:b w:val="false"/>
                          <w:color w:val="000000"/>
                          <w:sz w:val="19"/>
                        </w:rPr>
                        <w:t>9</w:t>
                      </w:r>
                    </w:p>
                  </w:txbxContent>
                </v:textbox>
              </v:rect>
            </w:pict>
          </mc:Fallback>
        </mc:AlternateContent>
      </w:r>
    </w:p>
    <w:p>
      <w:pPr>
        <w:pStyle w:val="TextBody"/>
        <w:jc w:val="center"/>
        <w:rPr>
          <w:color w:val="FFFFFF"/>
          <w:sz w:val="2"/>
        </w:rPr>
      </w:pPr>
      <w:r>
        <w:rPr>
          <w:color w:val="FFFFFF"/>
          <w:sz w:val="2"/>
        </w:rPr>
        <w:t xml:space="preserve">embecta Second Quarter 2022 Earnings Conference Call May 13, 2022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Forward-Looking Statements Safe Harbor Statement Regarding Forward-Looking Statements This presentation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 expressions, we are making forward-looking statements. For example, embecta is using forward-looking statements when it discusses its fiscal 2022 financial guidance, opportunities for growth and its capabilities as an independent company and strategic priorities, including its ability to optimize its product portfolio and achieve more efficient resource and capital allocation.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events that adversely affect the sale or profitability of embecta’s products or the revenue delivered from sales to its customers, (iii) any failure by BD to perform of its obligations under the various separation agreements entered into in connection with the separation and distribution; (iv)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 changes in reimbursement practices of governments or private payers or other cost containment measures; (vi) the adverse financial impact resulting from unfavorable changes in foreign currency exchange rates, as well as regional, national and foreign economic factors, including inflation, deflation, and fluctuations in interest rates; (vii) the impact of changes in U.S. federal laws and policy that could affect fiscal and tax policies, healthcare and international trade, including import and export regulation and international trade agreements; (viii) any impact of the COVID-19 pandemic, including disruptions in its operations and supply chains; (ix) new or changing laws and regulations, or changes in enforcement practices, including laws relating to healthcare, environmental protection, trade, monetary and fiscal policies, taxation and licensing and regulatory requirements for products; (x) the expected benefits of the separation from BD; (xi) risks associated with embecta’s indebtedness; (xii) the risk that embecta’s separation from BD will be more difficult or costly than expected; and (xiii) the other risks described in our periodic reports filed with the Securities and Exchange Commission (“SEC”), including under the caption “Risk Factors” in our Information Statement dated February 11, 2022, filed with the SEC on February 11, 2022 as Exhibit 99.1 to our Current Report on Form 8-K. Except as required by law, we undertake no obligation to update any forward-looking statements appearing in this presentation.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Conference Call Logistics The release, accompanying slides, and replay webcast are available online in the investors section of embecta’s website, at www.embecta.com An audio replay of the call will be available beginning at 11:00am ET on May 13, 2022, either on the embecta website or by telephone. The replay can be accessed by dialing 855-859-2056 (U.S.) or 404-537-3406 (International). The access code is 5596984. The webcast will be archived on the investor website for one year.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Today’s Speakers Dev Kurdikar Chief Executive Officer Jake Elguicze Chief Financial Officer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Mission To develop and provide solutions that make life better for people living with diabetes Vision A life unlimited by diabetes Advance every day together Spin from BD completed and independent company as of April 1, 2022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Trusted leader in the global marketplace: The largest producer of diabetes injection devices with a ~100-year history of reliability and quality Best-in-class products and brand: Trusted brand leadership across our broad portfolio for People With Diabetes (PWD) in all geographies Unmatched manufacturing, distribution and sales capabilities: Produce ~7.6B units and distribute to 100+ countries and ~30M PWD embecta’s Enduring Strengths Trusted leader with best-in-class products and unmatched capabilities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An expanding category  Pure-play diabetes company with leadership in insulin delivery  Diabetes: chronic condition, large and growing market opportunity Strong, trusted core business  Established brand loyalty over ~100 years  Unmatched global manufacturing infrastructure and know-how  Geographically diverse sales and distribution network Immediate benefits of the spin  Compelling financial profile that supports an “invest for growth” strategy  Attract talent; proven leadership and highly motivated workforce  Streamlined operating model: more nimble, innovative, and customer-focused Opportunities for growth  Deliver organic growth  R&amp;D pipeline with potential to enter infusion segment  M&amp;A and partnership opportunities embecta’s Strong Position Our stable core provides the foundation for new growth opportunities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Executive Summary of Q2 and 1H 2022 Results Successfully executed the planned spinoff from BD on April 1, 2022, giving embecta the strategic, operational, and financial independence, and opportunity to optimize its product portfolio and achieve more efficient resource and capital allocation to address the significant unmet need for chronic diabetes care Executing on transition service agreements with BD while building up embecta’s internal organization, systems and processes Advanced the development of a type 2 closed loop insulin delivery system utilizing embecta’s proprietary patch pump, which carries Breakthrough Device Designation from the U.S. Food &amp; Drug Administration Ongoing efforts to mitigate global supply chain challenges and minimize customer and patient impact Continued to manage through COVID-19 disruptions in certain markets that impacted operations Despite these efforts, inflationary pressures on raw materials, shipping costs and delays, COVID-19 disruptions, and foreign currency fluctuations impacting results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Revenue • Q2’22 revenue of $274.5 million, down 3.4% vs. prior year period on an as-reported basis; down 1.3% on a constant currency basis • March ‘22 year-to-date revenue of $563.8 million, down 1.0% vs. prior year period on an as-reported basis; up 0.2% on a constant currency basis Gross Profit • Q2’22 gross profit and margin of $191.2 million and 69.7%, respectively; up 60 basis points vs. prior year period • March ’22 year-to-date gross profit and margin of $395.1 million and 70.1%, respectively; up 200 basis points vs. prior year period Net Income • Q2’22 net income of $79.6 million; compared to $107.9 million in the prior year period • March ’22 year-to-date net income of $178.4 million; compared to $213.2 million in the prior year period Adjusted EBITDA • Q2’22 adjusted EBITDA and margin of $116.8 million and 42.6%, respectively; compared to $141.6 million and 49.8% in the prior year period • March ’22 year-to-date adjusted EBITDA and margin of $254.8 million and 45.2%, respectively; compared to $289.8 million and 50.9% in the prior year period Q2 and Year-to-Date 2022 vs. 2021 Financial Results Note: The second quarter and first half of fiscal year 2022 and 2021 results described above are based on carve-out accounting principles, derived from the unaudited interim condensed consolidated financial statements and accounting records of BD. These condensed combined financial statements reflect the historical results of operations, financial position and cash flows of BD’s Diabetes Care Business as they were historically managed in conformity with U.S. generally accepted accounting principles (“GAAP”). In addition, these condensed combined financial statements include general corporate expenses of BD and shared segment expenses for certain support functions that are provided on a centralized basis within BD and which were not historically allocated to the BD Diabetes Care Business. Nonetheless, these financial statements do not include all the actual expenses that would have been incurred had embecta been a standalone public company during the periods presented.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2H’22 Financial Guidance Assumptions 2H’22 financial projections include: • Contract manufacturing agreement impacts (e.g. impact of cannula supply agreement; embecta to BD revenue) • Holdrege lease and factoring agreement expense • Transition Service Agreement expense • Estimated public company stand-up expenses • Moderate impact of COVID-19, geo-political concerns, inflationary pressures (raw materials, transportation), and supply chain disruptions F/X • EUR/USD assumed to be ~1.07 • USD/YEN assumed to be ~127 • USD/CNY assumed to be ~6.60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2H’22 Financial Guidance Revenue • 2H’22 total revenue of ~$555 million • Decrease of ~7.0% on an as-reported basis • Decrease of ~3.5% on a constant currency basis • 2H’22 contract manufacturing revenue of ~$15 million Non-GAAP Gross Margin • 2H’22 non-GAAP gross margin1 in the “low-60%s” • 2H’22 contract manufacturing revenue expected to generate gross margin in the “high single-digit” percent area Transition Services Agreement • 2H’22 transition services agreement expense of ~$35 million Adjusted EBITDA Margin • 2H’22 adjusted EBITDA margin1 in the “low-30%s” 1: We are unable to present a quantitative reconciliation of our expected non-GAAP gross margin, expected adjusted EBITDA and our expected adjusted EBITDA margin as we are unable to predict with reasonable certainty and without unreasonable effort the impact and timing of certain one-time items. The financial impact of these one-time items is uncertain and is dependent on various factors, including timing, and could be material to our Combined Statements of Income.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Our core provides basis for growth: Broadly defensible core business: We have strong organizational capabilities: A Strong embecta From Day 1 Steady core provides basis for growth We launch with a healthy balance sheet and steady tailwinds Our IP position, manufacturing strengths, and cannula agreement provide competitive advantage Our unique opportunities attract top talent, enabled by agile decision-making processes, incentives, and culture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Our Business Provides a Financial Foundation for Growth Business model and a healthy balance sheet provide a strong core Stable, recurring, geographically- diversified revenue base Vast majority of PWD administer insulin using injection devices Healthy margin profile Brand recognition, long history of reliable supply, scale and efficient operations allow for differentiation in the marketplace Strong cash flow generation History of generating positive cash flow from operations Modest leverage at spin Considerably below net leverage covenant in credit agreement Starting cash balance Allows for capitalizing on opportunities to invest for growth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Expand and penetrate through the core: We have opportunities to drive growth in the core portfolio and serve unmet needs Stronger R&amp;D: We can enter the T2D market with our patch pump, while continuing to drive injection innovation M&amp;A potential: We will seek partnerships and acquisitions where embecta can add value through our commercial capabilities and manufacturing expertise Strategic Investments to Accelerate our Long-term Growth Profile Including commercial investments, next-gen products, and M&amp;A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Thank you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 Appendix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Q2 and Year-to-Date 2022 vs. 2021 Segment Revenue Three Months Ended % Increase / Decrease March 31, 2022 March 31, 2021 As-Reported Revenue Growth Currency Impact Constant Currency Revenue Growth U.S. 139.8 148.4 (5.8%) 0.0% (5.8%) International 134.7 135.8 (0.8%) (4.4%) 3.6% Total 274.5 284.2 (3.4%) (2.1%) (1.3%) Six Months Ended % Increase / Decrease March 31, 2022 March 31, 2021 As-Reported Revenue Growth Currency Impact Constant Currency Revenue Growth U.S. 290.7 297.9 (2.4%) 0.0% (2.4%) International 273.1 271.6 0.6% (2.5%) 3.1% Total 563.8 569.5 (1.0%) (1.2%) 0.2%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 Adjusted EBITDA Reconciliation Dollars in Millions Three Months Ended Six Months Ended March 31, 2022 March 31, 2021 March 31, 2022 March 31, 2021 Net income $79.6 $107.9 $178.4 $213.2 Interest expense 4.9 — 4.9 — Income taxes 14.3 20.6 32.1 40.4 Depreciation 6.4 9.7 14.8 19.0 Amortization of intangible assets 0.3 0.5 0.3 0.5 EBITDA 105.5 138.7 230.5 273.1 Share-based compensation expense 3.9 2.9 8.5 6.7 Separation costs1 7.4 — 15.8 — Impairment losses2 — — — 10.0 Adjusted EBITDA $116.8 $141.6 $254.8 $289.8 1: Relates to spin-off costs incurred during the three and six month periods ended March 31, 2022. Refer to the Other operating expenses section of the income statement. 2: Relates to impairment charges incurred during fiscal year 2021. Refer to Cost of products sold section of the income statement. </w:t>
      </w:r>
    </w:p>
    <w:p>
      <w:pPr>
        <w:pStyle w:val="HorizontalLine"/>
        <w:pBdr>
          <w:bottom w:val="single" w:sz="20" w:space="0" w:color="808080"/>
        </w:pBdr>
        <w:jc w:val="center"/>
        <w:rPr/>
      </w:pPr>
      <w:r>
        <w:rPr/>
      </w:r>
    </w:p>
    <w:p>
      <w:pPr>
        <w:pStyle w:val="TextBody"/>
        <w:spacing w:before="0" w:after="283"/>
        <w:jc w:val="center"/>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6119</Words>
  <CharactersWithSpaces>40303</CharactersWithSpaces>
  <Paragraphs>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q222investorpresentation</dc:title>
</cp:coreProperties>
</file>