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6668623_s8.htm"/>
      <w:bookmarkStart w:id="1" w:name="ksss6668623_s8"/>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August 7, 2026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333-_______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80" w:after="80"/>
        <w:ind w:left="80" w:right="8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40" w:after="240"/>
        <w:ind w:left="240" w:right="24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REGISTRATION STATEMENT </w:t>
      </w:r>
    </w:p>
    <w:p>
      <w:pPr>
        <w:pStyle w:val="TextBody"/>
        <w:bidi w:val="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 xml:space="preserve">UNDER </w:t>
      </w:r>
    </w:p>
    <w:p>
      <w:pPr>
        <w:pStyle w:val="TextBody"/>
        <w:bidi w:val="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 xml:space="preserve">THE SECURITIES ACT OF 1933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40" w:after="240"/>
        <w:ind w:left="240" w:right="24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EMBECTA CORP.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3775" w:type="dxa"/>
        <w:jc w:val="left"/>
        <w:tblInd w:w="0" w:type="dxa"/>
        <w:tblLayout w:type="fixed"/>
        <w:tblCellMar>
          <w:top w:w="0" w:type="dxa"/>
          <w:left w:w="0" w:type="dxa"/>
          <w:bottom w:w="0" w:type="dxa"/>
          <w:right w:w="0" w:type="dxa"/>
        </w:tblCellMar>
      </w:tblPr>
      <w:tblGrid>
        <w:gridCol w:w="2345"/>
        <w:gridCol w:w="60"/>
        <w:gridCol w:w="137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87-1583942</w:t>
            </w:r>
          </w:p>
        </w:tc>
      </w:tr>
      <w:tr>
        <w:trPr/>
        <w:tc>
          <w:tcPr>
            <w:tcW w:w="2345"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(State or Other Jurisdiction of</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(I.R.S. Employer</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Identification No.)</w:t>
            </w:r>
          </w:p>
        </w:tc>
      </w:tr>
    </w:tbl>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Kimball Drive, Suite 300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Parsippany, New Jersey 07054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(862) 401-0000 </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(Address of Principal Executive Offices)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EMBECTA CORP. 2022 EMPLOYEE AND DIRECTOR EQUITY-BASED COMPENSATION PLAN </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(Full Title of the Plans)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Jeff Mann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President, Pharma Services and Product Management, and Chief Legal Officer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Embecta Corp.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Kimball Drive, Suite 300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Parsippany, New Jersey 07054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(862) 401-0000 </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(Name, Address and Telephone Number, Including Area Code, of Agent for Service)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With copies to</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J. Cannon III, Esq.</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Melisa Brower, Esq.</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Allen Overy Shearman Sterling US LLP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599 Lexington Avenue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848-4000</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1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27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27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hAnsi="Wingdings"/>
          <w:b w:val="false"/>
          <w:i w:val="false"/>
          <w:caps w:val="false"/>
          <w:smallCaps w:val="false"/>
          <w:sz w:val="20"/>
        </w:rPr>
        <w:t>o</w:t>
      </w:r>
    </w:p>
    <w:p>
      <w:pPr>
        <w:pStyle w:val="TextBody"/>
        <w:bidi w:val="0"/>
        <w:spacing w:before="60" w:after="24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(the “Registration Statement”) is filed by Embecta Corp. (the “Registrant”) for the purpose of registering an additional 2,430,000 shares of common stock, $0.01 par value per share, (“Common Stock”) of the Registrant, that may be offered or sold under the Embecta Corp. 2022 Employee and Director Equity-Based Compensation Plan, as amended (the “Plan”). These additional shares of Common Stock were approved by the Board of Directors of the Registrant on December 2, 2025 and by the stockholders of the Registrant at the Registrant’s annual meeting of stockholders on February 11, 2026, and are additional securities of the same class as other securities for which subsequent registration statements (File No. 333-264164 and File No. 333-279273) on Form S-8 were filed with the Securities and Exchange Commission (the “Commission”) on April 6, 2022 and May 9, 2024, respectively.</w:t>
      </w:r>
    </w:p>
    <w:p>
      <w:pPr>
        <w:pStyle w:val="TextBody"/>
        <w:bidi w:val="0"/>
        <w:spacing w:before="480" w:after="480"/>
        <w:ind w:left="480" w:right="4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SECTION 10(a) PROSPECTUS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Items 1 and 2 of Part I of Form S-8 is omitted from this filing in accordance with the provisions of Rule 428 under the Securities Act and the introductory note to Part I of Form S-8. The documents containing the information specified in Part I will be delivered to the participants in the plan covered by this Registration Statement and as required by Rule 428(b)(1) under the Securities Act.</w:t>
      </w:r>
    </w:p>
    <w:p>
      <w:pPr>
        <w:pStyle w:val="TextBody"/>
        <w:bidi w:val="0"/>
        <w:spacing w:before="480" w:after="480"/>
        <w:ind w:left="480" w:right="4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REGISTRATION STATEMENT </w:t>
      </w:r>
    </w:p>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Securities and Exchange Commission (the “Commission”) are incorporated herein by reference: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left"/>
              <w:rPr/>
            </w:pPr>
            <w:r>
              <w:rPr>
                <w:caps w:val="false"/>
                <w:smallCaps w:val="false"/>
              </w:rPr>
              <w:t> </w:t>
            </w: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September 30, 2025, filed with the Commission on November 25, 2025 (File No. 001-41186) and the portions of the Registrant’s Proxy Statement on </w:t>
            </w:r>
            <w:hyperlink r:id="rId3">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with the Commission on December 18, 2025 (File No. 001-41186) incorporated by reference into such Annual Report;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4" w:type="dxa"/>
            <w:tcBorders/>
            <w:vAlign w:val="center"/>
          </w:tcPr>
          <w:p>
            <w:pPr>
              <w:pStyle w:val="TableContents"/>
              <w:bidi w:val="0"/>
              <w:spacing w:before="0" w:after="283"/>
              <w:jc w:val="left"/>
              <w:rPr/>
            </w:pPr>
            <w:r>
              <w:rPr>
                <w:caps w:val="false"/>
                <w:smallCaps w:val="false"/>
              </w:rPr>
              <w:t> </w:t>
            </w:r>
            <w:r>
              <w:rPr>
                <w:rFonts w:ascii="Times New Roman;Times;Serif" w:hAnsi="Times New Roman;Times;Serif"/>
                <w:b w:val="false"/>
                <w:i w:val="false"/>
                <w:caps w:val="false"/>
                <w:smallCaps w:val="false"/>
                <w:sz w:val="20"/>
              </w:rPr>
              <w:t xml:space="preserve">The description of the Registrant’s Common Stock contained in the information statement filed as </w:t>
            </w:r>
            <w:hyperlink r:id="rId4">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to Amendment No. 1 to the Registrant’s registration statement on Form 10 filed on February 3, 2022 (File No. 001-41186), including any amendment or report filed for the purpose of updating such description;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left"/>
              <w:rPr/>
            </w:pPr>
            <w:r>
              <w:rPr>
                <w:caps w:val="false"/>
                <w:smallCaps w:val="false"/>
              </w:rPr>
              <w:t> </w:t>
            </w:r>
            <w:r>
              <w:rPr>
                <w:rFonts w:ascii="Times New Roman;Times;Serif" w:hAnsi="Times New Roman;Times;Serif"/>
                <w:b w:val="false"/>
                <w:i w:val="false"/>
                <w:caps w:val="false"/>
                <w:smallCaps w:val="false"/>
                <w:sz w:val="20"/>
              </w:rPr>
              <w:t xml:space="preserve">The Registrant’s Quarterly Reports on Form 10-Q for the quarters ended December 31, 2025, filed with the Commission on </w:t>
            </w:r>
            <w:hyperlink r:id="rId5">
              <w:r>
                <w:rPr>
                  <w:rStyle w:val="InternetLink"/>
                  <w:rFonts w:ascii="Times New Roman;Times;Serif" w:hAnsi="Times New Roman;Times;Serif"/>
                  <w:b w:val="false"/>
                  <w:i w:val="false"/>
                  <w:caps w:val="false"/>
                  <w:smallCaps w:val="false"/>
                  <w:sz w:val="20"/>
                </w:rPr>
                <w:t>February 5, 2026</w:t>
              </w:r>
            </w:hyperlink>
            <w:r>
              <w:rPr>
                <w:rFonts w:ascii="Times New Roman;Times;Serif" w:hAnsi="Times New Roman;Times;Serif"/>
                <w:b w:val="false"/>
                <w:i w:val="false"/>
                <w:caps w:val="false"/>
                <w:smallCaps w:val="false"/>
                <w:sz w:val="20"/>
              </w:rPr>
              <w:t xml:space="preserve"> (File No. 001-41186), March 31, 2026, filed with the Commission on </w:t>
            </w:r>
            <w:hyperlink r:id="rId6">
              <w:r>
                <w:rPr>
                  <w:rStyle w:val="InternetLink"/>
                  <w:rFonts w:ascii="Times New Roman;Times;Serif" w:hAnsi="Times New Roman;Times;Serif"/>
                  <w:b w:val="false"/>
                  <w:i w:val="false"/>
                  <w:caps w:val="false"/>
                  <w:smallCaps w:val="false"/>
                  <w:sz w:val="20"/>
                </w:rPr>
                <w:t>May 5, 2026</w:t>
              </w:r>
            </w:hyperlink>
            <w:r>
              <w:rPr>
                <w:rFonts w:ascii="Times New Roman;Times;Serif" w:hAnsi="Times New Roman;Times;Serif"/>
                <w:b w:val="false"/>
                <w:i w:val="false"/>
                <w:caps w:val="false"/>
                <w:smallCaps w:val="false"/>
                <w:sz w:val="20"/>
              </w:rPr>
              <w:t xml:space="preserve"> (File No. 001-41186), and June 30, 2026, filed with the Commission on </w:t>
            </w:r>
            <w:hyperlink r:id="rId7">
              <w:r>
                <w:rPr>
                  <w:rStyle w:val="InternetLink"/>
                  <w:rFonts w:ascii="Times New Roman;Times;Serif" w:hAnsi="Times New Roman;Times;Serif"/>
                  <w:b w:val="false"/>
                  <w:i w:val="false"/>
                  <w:caps w:val="false"/>
                  <w:smallCaps w:val="false"/>
                  <w:sz w:val="20"/>
                </w:rPr>
                <w:t>August 7, 2026</w:t>
              </w:r>
            </w:hyperlink>
            <w:r>
              <w:rPr>
                <w:rFonts w:ascii="Times New Roman;Times;Serif" w:hAnsi="Times New Roman;Times;Serif"/>
                <w:b w:val="false"/>
                <w:i w:val="false"/>
                <w:caps w:val="false"/>
                <w:smallCaps w:val="false"/>
                <w:sz w:val="20"/>
              </w:rPr>
              <w:t xml:space="preserve"> (File No. 001-41186); and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Registrant’s Current Reports on Form 8-K filed with the Commission since September 30, 2025 (other than portions of those documents furnished or otherwise not deemed to be filed).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Sections 13(a), 13(c), 14 and 15(d) of the Exchange Act, subsequent to the effective date of this Registration Statement, but prior to the filing of a post-effective amendment to this Registration Statement indicating that all securities offered hereby have been sold or which deregisters all securities then remaining unsold shall be deemed to be incorporated by reference in this Registration Statement and to be a part hereof from the date of filing such documents.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360" w:after="360"/>
        <w:ind w:left="360" w:right="3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Description of Securities.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360" w:after="360"/>
        <w:ind w:left="360" w:right="3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Interests of Named Experts and Counsel.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360" w:after="360"/>
        <w:ind w:left="360" w:right="3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Indemnification of Directors and Officers.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(the “Certificate of Incorporation”) provides that, to the fullest extent permitted by the Delaware General Corporation Law (the “DGCL”), no director will be personally liable to the Registrant or its stockholders for monetary damages for breach of fiduciary duty owed to the Registrant or its stockholders as a director.</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Bylaws (the “Bylaws”), provide that the Registrant must indemnify and hold harmless, to the fullest extent authorized or permitted by the DGCL as it presently exists or may be amended, each person who was or is a party to, or who is threatened to be made a party to, any threatened, pending or completed action, suit or proceeding, whether civil, criminal, administrative or investigative (other than an action by or in the right of the Registrant) (a “Proceeding”) by reason of the fact that he or she is or was a director or an officer of the Registrant, or is or was serving at the request of the Registrant as a director, officer, employee, or agent of another corporation, partnership, joint venture, trust or other enterprise, against all expenses (including attorneys’ fees), judgments, fines and amounts paid in settlement actually and reasonably incurred by such person in connection with any Proceeding if such person acted in good faith and in a manner such person reasonably believed to be in or not opposed to the best interests of the Registrant, and, with respect to any criminal Proceeding, had no reasonable cause to believe such person’s conduct was unlawful. Unless ordered by a court, any indemnification under the Bylaws must be made by the Registrant only as authorized in the specific case upon a determination that indemnification is proper in the circumstances, because such person has met the applicable standard of conduct set forth in the DGCL. With respect to an indemnitee who is a director or officer of the Registrant at the time of such determination, such determination must be made (1) by a majority vote of the directors who are not parties to such proceeding, even though less than a quorum, (2) by a committee of such directors designated by majority vote of such directors, even though less than a quorum, (3) if there are no such directors, or if such directors so direct, by independent legal counsel in a written opinion of such independent legal counsel, or (4) by the stockholders. Expenses must be advanced to a covered person under certain circumstances.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standard policy of officers’ and directors’ liability insurance.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authorizes a corporation to indemnify its directors and officers under certain prescribed circumstances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if the director or officer acted in good faith and in a manner the director or officer reasonably believed to be in or not opposed to the best interests of the corporation, and, with respect to any criminal action or proceeding, had no reasonable cause to believe the director or officer’s conduct was unlawful.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 may eliminate or limit the personal liability of a director or officer to the corporation or its stockholders for monetary damages for breach of fiduciary duty as a director or officer, provided that such provisions shall not eliminate or limit the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under Section 174 of the DGCL, (4) a director or officer for any transaction from which the director or officer derived an improper personal benefit, or (5) an officer in any action by or in the right of the corporation. No such provision shall eliminate or limit the liability of a director or officer for any act or omission occurring before the date when such provision becomes effective.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general summary of certain aspects of Delaware law and of the Certificate of Incorporation and the Bylaws dealing with indemnification of directors and officers, and does not purport to be complete. It is qualified in its entirety by reference to the detailed provisions of the DGCL and to the Certificate of Incorporation and the Bylaws.</w:t>
      </w:r>
    </w:p>
    <w:p>
      <w:pPr>
        <w:pStyle w:val="TextBody"/>
        <w:bidi w:val="0"/>
        <w:spacing w:before="360" w:after="360"/>
        <w:ind w:left="360" w:right="3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Exemption from Registration Claimed.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list of exhibits, see the Exhibit Index to this Registration Statement, which is incorporated in this item by reference.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bottom w:val="single" w:sz="8" w:space="0" w:color="000000"/>
            </w:tcBorders>
            <w:tcMar>
              <w:bottom w:w="28" w:type="dxa"/>
            </w:tcMar>
            <w:vAlign w:val="center"/>
          </w:tcPr>
          <w:p>
            <w:pPr>
              <w:pStyle w:val="TableContents"/>
              <w:bidi w:val="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Exhibit</w:t>
            </w:r>
          </w:p>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Exhibit Description</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Amended and Restated Certificate of Incorporation of Embecta Corp. (incorporated by reference to Exhibit 3.1 to the Registrant’s Current Report on Form 8-K filed with the Commission on April 6, 2022) (File No. 001-41186)</w:t>
              </w:r>
            </w:hyperlink>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Amended and Restated Bylaws of Embecta Corp. (incorporated by reference to Exhibit 3.1 to the Registrant’s Current Report on Form 8-K filed with the Commission on August 3, 2023) (File No. 001-41186)</w:t>
              </w:r>
            </w:hyperlink>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6668623_ex0501.htm">
              <w:r>
                <w:rPr>
                  <w:rStyle w:val="InternetLink"/>
                  <w:rFonts w:ascii="Times New Roman;Times;Serif" w:hAnsi="Times New Roman;Times;Serif"/>
                  <w:b w:val="false"/>
                  <w:i w:val="false"/>
                  <w:caps w:val="false"/>
                  <w:smallCaps w:val="false"/>
                  <w:sz w:val="20"/>
                </w:rPr>
                <w:t>Opinion of Allen Overy Shearman Sterling US LLP.</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6668623_ex2301.htm">
              <w:r>
                <w:rPr>
                  <w:rStyle w:val="InternetLink"/>
                  <w:rFonts w:ascii="Times New Roman;Times;Serif" w:hAnsi="Times New Roman;Times;Serif"/>
                  <w:b w:val="false"/>
                  <w:i w:val="false"/>
                  <w:caps w:val="false"/>
                  <w:smallCaps w:val="false"/>
                  <w:sz w:val="20"/>
                </w:rPr>
                <w:t>Consent of Independent Registered Public Accounting Firm.</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6668623_ex2302.htm">
              <w:r>
                <w:rPr>
                  <w:rStyle w:val="InternetLink"/>
                  <w:rFonts w:ascii="Times New Roman;Times;Serif" w:hAnsi="Times New Roman;Times;Serif"/>
                  <w:b w:val="false"/>
                  <w:i w:val="false"/>
                  <w:caps w:val="false"/>
                  <w:smallCaps w:val="false"/>
                  <w:sz w:val="20"/>
                </w:rPr>
                <w:t>Consent of Independent Auditors.</w:t>
              </w:r>
            </w:hyperlink>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6668623_ex0501.htm">
              <w:r>
                <w:rPr>
                  <w:rStyle w:val="InternetLink"/>
                  <w:rFonts w:ascii="Times New Roman;Times;Serif" w:hAnsi="Times New Roman;Times;Serif"/>
                  <w:b w:val="false"/>
                  <w:i w:val="false"/>
                  <w:caps w:val="false"/>
                  <w:smallCaps w:val="false"/>
                  <w:sz w:val="20"/>
                </w:rPr>
                <w:t>Consent of Allen Overy Shearman Sterling US LLP (contained in Exhibit 5.1)</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Power of Attorney (included on the signature pages of this Registration Statement)</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Embecta Corp. 2022 Employee and Director Equity-Based Compensation Plan (incorporated by reference to Exhibit 10.15 to the Registrant’s Current Report on Form 8-K filed with the Commission on April 6, 2022) (File No. 001-41186)</w:t>
              </w:r>
            </w:hyperlink>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Amendment No. 1 to the Embecta Corp. 2022 Employee and Director Equity-Based Compensation Plan (incorporated by reference to Exhibit 10.1 to the Registrant’s Quarterly Report on Form 10-Q for the quarter ended December 31, 2023, filed on February 9, 2024) (File No. 001-41186)</w:t>
              </w:r>
            </w:hyperlink>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0"/>
                </w:rPr>
                <w:t>Amendment No. 2 to the Embecta Corp. 2022 Employee and Director Equity-Based Compensation Plan (incorporated by reference to Exhibit 10.1 to the Registrant’s Quarterly Report on Form 10-Q for the quarter ended March 31, 2026, filed on May 5, 2026) (File No. 001-41186)</w:t>
              </w:r>
            </w:hyperlink>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6668623_exfee.htm">
              <w:r>
                <w:rPr>
                  <w:rStyle w:val="InternetLink"/>
                  <w:rFonts w:ascii="Times New Roman;Times;Serif" w:hAnsi="Times New Roman;Times;Serif"/>
                  <w:b w:val="false"/>
                  <w:i w:val="false"/>
                  <w:caps w:val="false"/>
                  <w:smallCaps w:val="false"/>
                  <w:sz w:val="20"/>
                </w:rPr>
                <w:t>Filing Fee Table.</w:t>
              </w:r>
            </w:hyperlink>
            <w:r>
              <w:rPr>
                <w:rFonts w:ascii="Times New Roman;Times;Serif" w:hAnsi="Times New Roman;Times;Serif"/>
                <w:b w:val="false"/>
                <w:i w:val="false"/>
                <w:caps w:val="false"/>
                <w:smallCaps w:val="false"/>
                <w:sz w:val="20"/>
              </w:rPr>
              <w:t xml:space="preserve"> </w:t>
            </w:r>
          </w:p>
        </w:tc>
      </w:tr>
    </w:tbl>
    <w:p>
      <w:pPr>
        <w:pStyle w:val="TextBody"/>
        <w:bidi w:val="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bl>
    <w:p>
      <w:pPr>
        <w:pStyle w:val="TextBody"/>
        <w:bidi w:val="0"/>
        <w:spacing w:before="360" w:after="360"/>
        <w:ind w:left="360" w:right="3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bidi w:val="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23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file, during any period in which offers or sales are being made, a post-effective amendment to this Registration Statement: </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25"/>
        <w:gridCol w:w="6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include any prospectus required by section 10(a)(3) of the Securities Act;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240"/>
        <w:ind w:left="36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remove from registration by means of a post-effective amendment any of the securities being registered which remain unsold at the termination of the offering.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Parsippany, State of New Jersey, on the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tbl>
      <w:tblPr>
        <w:tblW w:w="6715" w:type="dxa"/>
        <w:jc w:val="left"/>
        <w:tblInd w:w="0" w:type="dxa"/>
        <w:tblLayout w:type="fixed"/>
        <w:tblCellMar>
          <w:top w:w="0" w:type="dxa"/>
          <w:left w:w="0" w:type="dxa"/>
          <w:bottom w:w="0" w:type="dxa"/>
          <w:right w:w="0" w:type="dxa"/>
        </w:tblCellMar>
      </w:tblPr>
      <w:tblGrid>
        <w:gridCol w:w="335"/>
        <w:gridCol w:w="60"/>
        <w:gridCol w:w="6320"/>
      </w:tblGrid>
      <w:tr>
        <w:trPr/>
        <w:tc>
          <w:tcPr>
            <w:tcW w:w="6715" w:type="dxa"/>
            <w:gridSpan w:val="3"/>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Embecta Corp.</w:t>
            </w:r>
          </w:p>
        </w:tc>
      </w:tr>
      <w:tr>
        <w:trPr/>
        <w:tc>
          <w:tcPr>
            <w:tcW w:w="335" w:type="dxa"/>
            <w:tcBorders/>
            <w:vAlign w:val="center"/>
          </w:tcPr>
          <w:p>
            <w:pPr>
              <w:pStyle w:val="TableContents"/>
              <w:bidi w:val="0"/>
              <w:spacing w:before="0" w:after="283"/>
              <w:jc w:val="left"/>
              <w:rPr/>
            </w:pPr>
            <w:r>
              <w:rPr/>
              <w:t> </w:t>
            </w:r>
          </w:p>
        </w:tc>
        <w:tc>
          <w:tcPr>
            <w:tcW w:w="6380" w:type="dxa"/>
            <w:gridSpan w:val="2"/>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 Mann</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Mann</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Pharma Services and Product Management, and Chief Legal Officer</w:t>
            </w:r>
          </w:p>
        </w:tc>
      </w:tr>
    </w:tbl>
    <w:p>
      <w:pPr>
        <w:pStyle w:val="TextBody"/>
        <w:bidi w:val="0"/>
        <w:spacing w:before="480" w:after="480"/>
        <w:ind w:left="480" w:right="480" w:hanging="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POWER OF ATTORNEY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Jeff Mann her or his attorney-in-fact, with the full power of substitution, for her or him in any and all capacities, to sign this registration statement, and any amendments thereto (including post-effective amendments), and to file the same, with all exhibits thereto and other documents in connection therewith, with the Commission, hereby ratifying and confirming all that said attorney-in-fact,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2225"/>
        <w:gridCol w:w="60"/>
        <w:gridCol w:w="4160"/>
        <w:gridCol w:w="60"/>
        <w:gridCol w:w="1280"/>
      </w:tblGrid>
      <w:tr>
        <w:trPr/>
        <w:tc>
          <w:tcPr>
            <w:tcW w:w="2225"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Date</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Devdatt Kurdikar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Devdatt Kurdikar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Jacob Elguicze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Elguicze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Anthony Roth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Accounting Officer and Corporate Controller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Roth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Carrie L. Anderson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 L. Anderson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Robert J. Hombach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Hombach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Milton M. Morris,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Milton M. Morris,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Claire Pomeroy, M.D.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Pomeroy, M.D.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Karen N. Prange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N. Prange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4220"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225"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Christopher R. Reidy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R. Reidy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40"/>
        <w:jc w:val="right"/>
        <w:rPr>
          <w:rFonts w:ascii="Times New Roman;Times;Serif" w:hAnsi="Times New Roman;Times;Serif"/>
          <w:b/>
          <w:i w:val="false"/>
          <w:caps w:val="false"/>
          <w:smallCaps w:val="false"/>
          <w:sz w:val="20"/>
        </w:rPr>
      </w:pPr>
      <w:bookmarkStart w:id="3" w:name="ss6668623_ex0501.htm"/>
      <w:bookmarkStart w:id="4" w:name="ksss6668623_ex0501"/>
      <w:bookmarkEnd w:id="3"/>
      <w:bookmarkEnd w:id="4"/>
      <w:r>
        <w:rPr>
          <w:rFonts w:ascii="Times New Roman;Times;Serif" w:hAnsi="Times New Roman;Times;Serif"/>
          <w:b/>
          <w:i w:val="false"/>
          <w:caps w:val="false"/>
          <w:smallCaps w:val="false"/>
          <w:sz w:val="20"/>
        </w:rPr>
        <w:t>EXHIBIT 5.1</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85" w:type="dxa"/>
        <w:jc w:val="left"/>
        <w:tblInd w:w="0" w:type="dxa"/>
        <w:tblLayout w:type="fixed"/>
        <w:tblCellMar>
          <w:top w:w="0" w:type="dxa"/>
          <w:left w:w="0" w:type="dxa"/>
          <w:bottom w:w="0" w:type="dxa"/>
          <w:right w:w="0" w:type="dxa"/>
        </w:tblCellMar>
      </w:tblPr>
      <w:tblGrid>
        <w:gridCol w:w="2685"/>
      </w:tblGrid>
      <w:tr>
        <w:trPr/>
        <w:tc>
          <w:tcPr>
            <w:tcW w:w="268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685925"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685925" cy="180975"/>
                          </a:xfrm>
                          <a:prstGeom prst="rect">
                            <a:avLst/>
                          </a:prstGeom>
                        </pic:spPr>
                      </pic:pic>
                    </a:graphicData>
                  </a:graphic>
                </wp:inline>
              </w:drawing>
            </w:r>
          </w:p>
        </w:tc>
      </w:tr>
      <w:tr>
        <w:trPr/>
        <w:tc>
          <w:tcPr>
            <w:tcW w:w="2685" w:type="dxa"/>
            <w:tcBorders/>
            <w:vAlign w:val="center"/>
          </w:tcPr>
          <w:p>
            <w:pPr>
              <w:pStyle w:val="TableContents"/>
              <w:bidi w:val="0"/>
              <w:spacing w:lineRule="atLeast" w:line="200"/>
              <w:jc w:val="center"/>
              <w:rPr>
                <w:caps w:val="false"/>
                <w:smallCaps w:val="false"/>
              </w:rPr>
            </w:pPr>
            <w:r>
              <w:rPr>
                <w:caps w:val="false"/>
                <w:smallCaps w:val="false"/>
              </w:rPr>
              <w:t> </w:t>
            </w:r>
          </w:p>
          <w:p>
            <w:pPr>
              <w:pStyle w:val="TableContents"/>
              <w:bidi w:val="0"/>
              <w:spacing w:lineRule="atLeast" w:line="20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599 Lexington Avenue</w:t>
              <w:br/>
              <w:t>New York, NY 10022-6069</w:t>
            </w:r>
          </w:p>
          <w:p>
            <w:pPr>
              <w:pStyle w:val="TableContents"/>
              <w:bidi w:val="0"/>
              <w:spacing w:lineRule="atLeast" w:line="200" w:before="0" w:after="48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+1.212.848.4000</w:t>
            </w:r>
          </w:p>
        </w:tc>
      </w:tr>
    </w:tbl>
    <w:p>
      <w:pPr>
        <w:pStyle w:val="TextBody"/>
        <w:bidi w:val="0"/>
        <w:spacing w:before="0" w:after="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bl>
      <w:tblPr>
        <w:tblW w:w="2510" w:type="dxa"/>
        <w:jc w:val="left"/>
        <w:tblInd w:w="0" w:type="dxa"/>
        <w:tblLayout w:type="fixed"/>
        <w:tblCellMar>
          <w:top w:w="0" w:type="dxa"/>
          <w:left w:w="0" w:type="dxa"/>
          <w:bottom w:w="0" w:type="dxa"/>
          <w:right w:w="0" w:type="dxa"/>
        </w:tblCellMar>
      </w:tblPr>
      <w:tblGrid>
        <w:gridCol w:w="2510"/>
      </w:tblGrid>
      <w:tr>
        <w:trPr/>
        <w:tc>
          <w:tcPr>
            <w:tcW w:w="251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Embecta Corp.</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Kimball Drive, Ste 300</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Parsippany, New Jersey 07054</w:t>
            </w:r>
          </w:p>
        </w:tc>
      </w:tr>
    </w:tbl>
    <w:p>
      <w:pPr>
        <w:pStyle w:val="TextBody"/>
        <w:bidi w:val="0"/>
        <w:spacing w:before="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120" w:after="120"/>
        <w:ind w:left="120" w:right="1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counsel for Embecta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of a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respect to 2,430,000 shares of common stock, par value $0.01,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issuable pursuant to the Embecta Corp. 2022 Employee and Director Equity-Based Compensation Plan, as may be amended from time to time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In connection with the foregoing, we have reviewed originals or copies identified to our satisfaction of the following documents:</w:t>
      </w:r>
    </w:p>
    <w:tbl>
      <w:tblPr>
        <w:tblW w:w="2883" w:type="dxa"/>
        <w:jc w:val="left"/>
        <w:tblInd w:w="0" w:type="dxa"/>
        <w:tblLayout w:type="fixed"/>
        <w:tblCellMar>
          <w:top w:w="0" w:type="dxa"/>
          <w:left w:w="0" w:type="dxa"/>
          <w:bottom w:w="0" w:type="dxa"/>
          <w:right w:w="0" w:type="dxa"/>
        </w:tblCellMar>
      </w:tblPr>
      <w:tblGrid>
        <w:gridCol w:w="38"/>
        <w:gridCol w:w="27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570" w:type="dxa"/>
            <w:tcBorders/>
            <w:vAlign w:val="center"/>
          </w:tcPr>
          <w:p>
            <w:pPr>
              <w:pStyle w:val="TableContents"/>
              <w:bidi w:val="0"/>
              <w:spacing w:before="0" w:after="283"/>
              <w:jc w:val="both"/>
              <w:rPr/>
            </w:pPr>
            <w:r>
              <w:rPr/>
              <w:t>the Registration Statement;</w:t>
            </w:r>
          </w:p>
        </w:tc>
      </w:tr>
    </w:tbl>
    <w:tbl>
      <w:tblPr>
        <w:tblW w:w="9513" w:type="dxa"/>
        <w:jc w:val="left"/>
        <w:tblInd w:w="0" w:type="dxa"/>
        <w:tblLayout w:type="fixed"/>
        <w:tblCellMar>
          <w:top w:w="0" w:type="dxa"/>
          <w:left w:w="0" w:type="dxa"/>
          <w:bottom w:w="0" w:type="dxa"/>
          <w:right w:w="0" w:type="dxa"/>
        </w:tblCellMar>
      </w:tblPr>
      <w:tblGrid>
        <w:gridCol w:w="38"/>
        <w:gridCol w:w="29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185" w:type="dxa"/>
            <w:tcBorders/>
            <w:vAlign w:val="center"/>
          </w:tcPr>
          <w:p>
            <w:pPr>
              <w:pStyle w:val="TableContents"/>
              <w:bidi w:val="0"/>
              <w:spacing w:before="0" w:after="283"/>
              <w:jc w:val="both"/>
              <w:rPr/>
            </w:pPr>
            <w:r>
              <w:rPr/>
              <w:t>the certificate of incorporation and bylaws of the Company, in each case as amended to date; and</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originals or copies of such other corporate records of the Company, certificates of public officials and of officers of the Company, and agreements and other documents as we have deemed necessary as a basis for the opinions expressed below.</w:t>
            </w:r>
          </w:p>
        </w:tc>
      </w:tr>
    </w:tbl>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authenticity of all documents, certificates and instruments submitted to us as originals and the conformity with originals of all documents submitted to us as copies.</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below is based on the text of the Plan as referenced in the Exhibit Index to the Registration Statement.</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below is limited to the General Corporation Law of the State of Delaware, and we do not express any opinion herein concerning any other law.</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having regard for such legal considerations as we have deemed relevant, we are of the opinion that authorized but not previously issued Shares that may be delivered under the Plan have been duly authorized by the Company and, when (a) issued and delivered by the Company in accordance with the terms of the Plan and (b) paid for in full in accordance with the terms of the Plan, will be validly issued, fully paid and non-assessable.</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We expressly disclaim any responsibility to advise you of any development or circumstance of any kind, including any change of law or fact that may occur after the date of this opinion letter that might affect the opinions expressed herein.</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thereby concede that we come within the category of persons whose consent is required by the Securities Act or the General Rules and Regulations of the Securities and Exchange Commission promulgated thereunder. </w:t>
      </w:r>
    </w:p>
    <w:p>
      <w:pPr>
        <w:pStyle w:val="TextBody"/>
        <w:bidi w:val="0"/>
        <w:spacing w:before="0" w:after="240"/>
        <w:jc w:val="left"/>
        <w:rPr>
          <w:caps w:val="false"/>
          <w:smallCaps w:val="false"/>
        </w:rPr>
      </w:pPr>
      <w:r>
        <w:rPr>
          <w:caps w:val="false"/>
          <w:smallCaps w:val="false"/>
        </w:rPr>
        <w:t> </w:t>
      </w:r>
    </w:p>
    <w:p>
      <w:pPr>
        <w:pStyle w:val="TextBody"/>
        <w:bidi w:val="0"/>
        <w:spacing w:before="0" w:after="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bl>
      <w:tblPr>
        <w:tblW w:w="3545" w:type="dxa"/>
        <w:jc w:val="left"/>
        <w:tblInd w:w="0" w:type="dxa"/>
        <w:tblLayout w:type="fixed"/>
        <w:tblCellMar>
          <w:top w:w="0" w:type="dxa"/>
          <w:left w:w="0" w:type="dxa"/>
          <w:bottom w:w="28" w:type="dxa"/>
          <w:right w:w="0" w:type="dxa"/>
        </w:tblCellMar>
      </w:tblPr>
      <w:tblGrid>
        <w:gridCol w:w="3470"/>
        <w:gridCol w:w="75"/>
      </w:tblGrid>
      <w:tr>
        <w:trPr/>
        <w:tc>
          <w:tcPr>
            <w:tcW w:w="34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Allen Overy Shearman Sterling US LLP</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34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Overy Shearman Sterling US LLP</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40"/>
        <w:ind w:left="240" w:right="240" w:hanging="0"/>
        <w:jc w:val="right"/>
        <w:rPr>
          <w:rFonts w:ascii="Times New Roman;Times;Serif" w:hAnsi="Times New Roman;Times;Serif"/>
          <w:b/>
          <w:i w:val="false"/>
          <w:caps w:val="false"/>
          <w:smallCaps w:val="false"/>
          <w:sz w:val="20"/>
        </w:rPr>
      </w:pPr>
      <w:bookmarkStart w:id="5" w:name="ss6668623_ex2301.htm"/>
      <w:bookmarkStart w:id="6" w:name="ksss6668623_ex2301"/>
      <w:bookmarkEnd w:id="5"/>
      <w:bookmarkEnd w:id="6"/>
      <w:r>
        <w:rPr>
          <w:rFonts w:ascii="Times New Roman;Times;Serif" w:hAnsi="Times New Roman;Times;Serif"/>
          <w:b/>
          <w:i w:val="false"/>
          <w:caps w:val="false"/>
          <w:smallCaps w:val="false"/>
          <w:sz w:val="20"/>
        </w:rPr>
        <w:t>EXHIBIT 23.1</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Embecta Corp. 2022 Employee and Director Equity-Based Compensation Plan, as amended, of our reports dated November 25, 2025, with respect to the consolidated financial statements of Embecta Corp. and the effectiveness of internal control over financial reporting of Embecta Corp. included in its Annual Report (Form 10-K) for the year ended September 30, 2025, filed with the Securities and Exchange Commission.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Ernst &amp; Young LLP</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0"/>
        </w:rPr>
      </w:pPr>
      <w:bookmarkStart w:id="7" w:name="ss6668623_ex2302.htm"/>
      <w:bookmarkStart w:id="8" w:name="ksss6668623_ex2302"/>
      <w:bookmarkEnd w:id="7"/>
      <w:bookmarkEnd w:id="8"/>
      <w:r>
        <w:rPr>
          <w:rFonts w:ascii="Times New Roman;Times;Serif" w:hAnsi="Times New Roman;Times;Serif"/>
          <w:b/>
          <w:i w:val="false"/>
          <w:caps w:val="false"/>
          <w:smallCaps w:val="false"/>
          <w:sz w:val="20"/>
        </w:rPr>
        <w:t>EXHIBIT 23.2</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76" w:before="0" w:after="4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AUDITORS</w:t>
      </w:r>
    </w:p>
    <w:p>
      <w:pPr>
        <w:pStyle w:val="TextBody"/>
        <w:bidi w:val="0"/>
        <w:spacing w:lineRule="auto" w:line="276" w:before="0" w:after="16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We consent to the incorporation by reference in the Registration Statement (Form S-8) pertaining to the Embecta Corp. 2022 Employee and Director Equity-Based Compensation Plan, as amended, of our report dated July 31, 2026, with respect to the consolidated financial statements of Owen Mumford Holdings Limited as of and for the year ended September 30, 2025 included in the Current Report on Form 8-K/A of Embecta Corp., dated July 31, 2026, filed with the Securities and Exchange Commission.</w:t>
      </w:r>
    </w:p>
    <w:p>
      <w:pPr>
        <w:pStyle w:val="TextBody"/>
        <w:bidi w:val="0"/>
        <w:spacing w:lineRule="auto" w:line="276" w:before="0" w:after="160"/>
        <w:jc w:val="left"/>
        <w:rPr>
          <w:caps w:val="false"/>
          <w:smallCaps w:val="false"/>
        </w:rPr>
      </w:pPr>
      <w:r>
        <w:rPr>
          <w:caps w:val="false"/>
          <w:smallCaps w:val="false"/>
        </w:rPr>
        <w:t> </w:t>
      </w:r>
    </w:p>
    <w:p>
      <w:pPr>
        <w:pStyle w:val="TextBody"/>
        <w:bidi w:val="0"/>
        <w:spacing w:lineRule="auto" w:line="276" w:before="0" w:after="16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/s/ Ernst &amp; Young LLP</w:t>
      </w:r>
    </w:p>
    <w:p>
      <w:pPr>
        <w:pStyle w:val="TextBody"/>
        <w:bidi w:val="0"/>
        <w:spacing w:lineRule="auto" w:line="276"/>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Bristol, United Kingdom</w:t>
      </w:r>
    </w:p>
    <w:p>
      <w:pPr>
        <w:pStyle w:val="TextBody"/>
        <w:bidi w:val="0"/>
        <w:spacing w:lineRule="auto" w:line="276" w:before="0" w:after="160"/>
        <w:jc w:val="left"/>
        <w:rPr>
          <w:rFonts w:ascii="Georgia;Times;Serif" w:hAnsi="Georgia;Times;Serif"/>
          <w:b w:val="false"/>
          <w:i w:val="false"/>
          <w:caps w:val="false"/>
          <w:smallCaps w:val="false"/>
          <w:sz w:val="20"/>
        </w:rPr>
      </w:pPr>
      <w:r>
        <w:rPr>
          <w:rFonts w:ascii="Georgia;Times;Serif" w:hAnsi="Georgia;Times;Serif"/>
          <w:b w:val="false"/>
          <w:i w:val="false"/>
          <w:caps w:val="false"/>
          <w:smallCaps w:val="false"/>
          <w:sz w:val="20"/>
        </w:rPr>
        <w:t>August 7,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ss6668623_exfee.htm"/>
      <w:bookmarkStart w:id="10" w:name="ksss6668623_exfee"/>
      <w:bookmarkEnd w:id="9"/>
      <w:bookmarkEnd w:id="10"/>
      <w:r>
        <w:rPr>
          <w:rFonts w:ascii="Times New Roman;Times;Serif" w:hAnsi="Times New Roman;Times;Serif"/>
          <w:b/>
          <w:i w:val="false"/>
          <w:caps w:val="false"/>
          <w:smallCaps w:val="false"/>
          <w:sz w:val="24"/>
        </w:rPr>
        <w:t>Exhibit 107</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Embecta Corp.</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46"/>
        <w:gridCol w:w="60"/>
        <w:gridCol w:w="1086"/>
        <w:gridCol w:w="60"/>
        <w:gridCol w:w="575"/>
        <w:gridCol w:w="60"/>
        <w:gridCol w:w="1123"/>
        <w:gridCol w:w="60"/>
        <w:gridCol w:w="1158"/>
        <w:gridCol w:w="60"/>
        <w:gridCol w:w="152"/>
        <w:gridCol w:w="945"/>
        <w:gridCol w:w="60"/>
        <w:gridCol w:w="151"/>
        <w:gridCol w:w="1384"/>
        <w:gridCol w:w="60"/>
        <w:gridCol w:w="1040"/>
        <w:gridCol w:w="60"/>
        <w:gridCol w:w="173"/>
        <w:gridCol w:w="1092"/>
      </w:tblGrid>
      <w:tr>
        <w:trPr/>
        <w:tc>
          <w:tcPr>
            <w:tcW w:w="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r>
      <w:tr>
        <w:trPr/>
        <w:tc>
          <w:tcPr>
            <w:tcW w:w="84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58" w:type="dxa"/>
            <w:tcBorders>
              <w:bottom w:val="single" w:sz="8" w:space="0" w:color="000000"/>
            </w:tcBorders>
            <w:tcMar>
              <w:bottom w:w="28" w:type="dxa"/>
            </w:tcMar>
            <w:vAlign w:val="center"/>
          </w:tcPr>
          <w:p>
            <w:pPr>
              <w:pStyle w:val="TableContents"/>
              <w:bidi w:val="0"/>
              <w:spacing w:before="0" w:after="283"/>
              <w:jc w:val="left"/>
              <w:rPr/>
            </w:pPr>
            <w:r>
              <w:rPr/>
              <w:t>Amount Registered(1)</w:t>
            </w:r>
          </w:p>
        </w:tc>
        <w:tc>
          <w:tcPr>
            <w:tcW w:w="60" w:type="dxa"/>
            <w:tcBorders/>
            <w:vAlign w:val="center"/>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left"/>
              <w:rPr/>
            </w:pPr>
            <w:r>
              <w:rPr/>
              <w:t> </w:t>
            </w:r>
          </w:p>
        </w:tc>
      </w:tr>
      <w:tr>
        <w:trPr/>
        <w:tc>
          <w:tcPr>
            <w:tcW w:w="84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center"/>
              <w:rPr/>
            </w:pPr>
            <w:r>
              <w:rPr/>
              <w:t>Other(2)</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2,430,000(3)</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3.5445(2)</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384" w:type="dxa"/>
            <w:tcBorders/>
            <w:vAlign w:val="center"/>
          </w:tcPr>
          <w:p>
            <w:pPr>
              <w:pStyle w:val="TableContents"/>
              <w:bidi w:val="0"/>
              <w:spacing w:before="0" w:after="283"/>
              <w:jc w:val="right"/>
              <w:rPr/>
            </w:pPr>
            <w:r>
              <w:rPr/>
              <w:t>8,613,135.00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092" w:type="dxa"/>
            <w:tcBorders/>
            <w:vAlign w:val="center"/>
          </w:tcPr>
          <w:p>
            <w:pPr>
              <w:pStyle w:val="TableContents"/>
              <w:bidi w:val="0"/>
              <w:spacing w:before="0" w:after="283"/>
              <w:jc w:val="right"/>
              <w:rPr/>
            </w:pPr>
            <w:r>
              <w:rPr/>
              <w:t>1,189.47</w:t>
            </w:r>
          </w:p>
        </w:tc>
      </w:tr>
      <w:tr>
        <w:trPr/>
        <w:tc>
          <w:tcPr>
            <w:tcW w:w="8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85" w:type="dxa"/>
            <w:gridSpan w:val="12"/>
            <w:tcBorders/>
            <w:vAlign w:val="center"/>
          </w:tcPr>
          <w:p>
            <w:pPr>
              <w:pStyle w:val="TableContents"/>
              <w:bidi w:val="0"/>
              <w:spacing w:before="0" w:after="283"/>
              <w:jc w:val="right"/>
              <w:rPr/>
            </w:pPr>
            <w:r>
              <w:rPr/>
              <w:t>Total Offering Amounts:(4)</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384" w:type="dxa"/>
            <w:tcBorders/>
            <w:vAlign w:val="center"/>
          </w:tcPr>
          <w:p>
            <w:pPr>
              <w:pStyle w:val="TableContents"/>
              <w:bidi w:val="0"/>
              <w:spacing w:before="0" w:after="283"/>
              <w:jc w:val="right"/>
              <w:rPr/>
            </w:pPr>
            <w:r>
              <w:rPr/>
              <w:t>8,613,135.00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092" w:type="dxa"/>
            <w:tcBorders/>
            <w:vAlign w:val="center"/>
          </w:tcPr>
          <w:p>
            <w:pPr>
              <w:pStyle w:val="TableContents"/>
              <w:bidi w:val="0"/>
              <w:spacing w:before="0" w:after="283"/>
              <w:jc w:val="right"/>
              <w:rPr/>
            </w:pPr>
            <w:r>
              <w:rPr/>
              <w:t>1,189.47</w:t>
            </w:r>
          </w:p>
        </w:tc>
      </w:tr>
      <w:tr>
        <w:trPr/>
        <w:tc>
          <w:tcPr>
            <w:tcW w:w="6185"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single" w:sz="8" w:space="0" w:color="000000"/>
            </w:tcBorders>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85"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double" w:sz="8" w:space="0" w:color="000000"/>
            </w:tcBorders>
            <w:tcMar>
              <w:bottom w:w="28" w:type="dxa"/>
            </w:tcMar>
            <w:vAlign w:val="center"/>
          </w:tcPr>
          <w:p>
            <w:pPr>
              <w:pStyle w:val="TableContents"/>
              <w:bidi w:val="0"/>
              <w:spacing w:before="0" w:after="283"/>
              <w:jc w:val="left"/>
              <w:rPr/>
            </w:pPr>
            <w:r>
              <w:rPr/>
              <w:t>$</w:t>
            </w:r>
          </w:p>
        </w:tc>
        <w:tc>
          <w:tcPr>
            <w:tcW w:w="1092" w:type="dxa"/>
            <w:tcBorders>
              <w:bottom w:val="double" w:sz="8" w:space="0" w:color="000000"/>
            </w:tcBorders>
            <w:tcMar>
              <w:bottom w:w="28" w:type="dxa"/>
            </w:tcMar>
            <w:vAlign w:val="center"/>
          </w:tcPr>
          <w:p>
            <w:pPr>
              <w:pStyle w:val="TableContents"/>
              <w:bidi w:val="0"/>
              <w:spacing w:before="0" w:after="283"/>
              <w:jc w:val="right"/>
              <w:rPr/>
            </w:pPr>
            <w:r>
              <w:rPr/>
              <w:t>1,189.47</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9"/>
        <w:gridCol w:w="23"/>
        <w:gridCol w:w="9933"/>
      </w:tblGrid>
      <w:tr>
        <w:trPr/>
        <w:tc>
          <w:tcPr>
            <w:tcW w:w="24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both"/>
              <w:rPr/>
            </w:pPr>
            <w:r>
              <w:rPr/>
              <w:t>Pursuant to Rule 416 promulgated under the Securities Act of 1933, as amended (the “Securities Act”), this registration statement covers such additional and indeterminate number of shares of common stock (“Common Stock”) of Embecta Corp. (the “Registrant”) as may become issuable by reason of stock dividends, stock splits or similar transactions.</w:t>
              <w:br/>
              <w:br/>
              <w:t>(2) Estimated solely for the purposes of determining the amount of the registration fee, in accordance with Rule 457(c) and 457(h) of the Securities Act, on the basis of the average of the high ($3.6189) and low ($3.47) sales prices per share of the Common Stock on the “when issued” trading market as reported on the NASDAQ Global Select Market on August 6, 2026.</w:t>
              <w:br/>
              <w:br/>
              <w:t>(3) Represents shares of Common Stock issuable pursuant to awards granted under the Registrant’s 2022 Employee and Director Equity-Based Compensation Plan, as amended.</w:t>
              <w:br/>
              <w:br/>
              <w:t>(4) The Registrant does not have any fee offsets.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altName w:val="Helvetica"/>
    <w:charset w:val="01"/>
    <w:family w:val="auto"/>
    <w:pitch w:val="default"/>
  </w:font>
  <w:font w:name="Georgia">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2789/000187278925000036/0001872789-25-000036-index.htm" TargetMode="External"/><Relationship Id="rId3" Type="http://schemas.openxmlformats.org/officeDocument/2006/relationships/hyperlink" Target="https://www.sec.gov/ix?doc=/Archives/edgar/data/1872789/000114036125046025/ny20057687x1_def14a.htm" TargetMode="External"/><Relationship Id="rId4" Type="http://schemas.openxmlformats.org/officeDocument/2006/relationships/hyperlink" Target="https://www.sec.gov/Archives/edgar/data/1872789/000119312522025989/d192319dex991.htm" TargetMode="External"/><Relationship Id="rId5" Type="http://schemas.openxmlformats.org/officeDocument/2006/relationships/hyperlink" Target="https://www.sec.gov/Archives/edgar/data/1872789/000187278926000009/0001872789-26-000009-index.htm" TargetMode="External"/><Relationship Id="rId6" Type="http://schemas.openxmlformats.org/officeDocument/2006/relationships/hyperlink" Target="https://www.sec.gov/Archives/edgar/data/1872789/000187278926000017/0001872789-26-000017-index.htm" TargetMode="External"/><Relationship Id="rId7" Type="http://schemas.openxmlformats.org/officeDocument/2006/relationships/hyperlink" Target="https://www.sec.gov/Archives/edgar/data/1872789/000187278926000033/0001872789-26-000033-index.htm" TargetMode="External"/><Relationship Id="rId8" Type="http://schemas.openxmlformats.org/officeDocument/2006/relationships/hyperlink" Target="https://www.sec.gov/Archives/edgar/data/1872789/000119312522097622/d297684dex31.htm" TargetMode="External"/><Relationship Id="rId9" Type="http://schemas.openxmlformats.org/officeDocument/2006/relationships/hyperlink" Target="https://www.sec.gov/Archives/edgar/data/1872789/000094787123000814/ss2350753_0301.htm" TargetMode="External"/><Relationship Id="rId10" Type="http://schemas.openxmlformats.org/officeDocument/2006/relationships/hyperlink" Target="https://www.sec.gov/Archives/edgar/data/1872789/000119312522097622/d297684dex1015.htm" TargetMode="External"/><Relationship Id="rId11" Type="http://schemas.openxmlformats.org/officeDocument/2006/relationships/hyperlink" Target="https://www.sec.gov/Archives/edgar/data/1872789/000187278924000006/embc-20231231x10qexhibit101.htm" TargetMode="External"/><Relationship Id="rId12" Type="http://schemas.openxmlformats.org/officeDocument/2006/relationships/hyperlink" Target="https://www.sec.gov/Archives/edgar/data/1872789/000187278926000017/q2202610qexhibit101.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3854</Words>
  <Characters>20579</Characters>
  <CharactersWithSpaces>24698</CharactersWithSpaces>
  <Paragraphs>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