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YACKTMAN ASSET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493,132.00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3,175,000.00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496,877.00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3,175,000.00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3,671,877.00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AMG YACKTMAN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5.07 %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Becton Drive, Franklin Lakes, New Jersey, 07417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The persons filing this Schedule 13G are (i) Yacktman Asset Management LP, an investment adviser registered under</w:t>
      </w:r>
    </w:p>
    <w:p>
      <w:pPr>
        <w:spacing w:after="0" w:line="26" w:lineRule="exact"/>
        <w:rPr>
          <w:sz w:val="20"/>
          <w:szCs w:val="20"/>
          <w:color w:val="auto"/>
        </w:rPr>
      </w:pPr>
    </w:p>
    <w:p>
      <w:pPr>
        <w:ind w:left="920" w:right="20" w:hanging="912"/>
        <w:spacing w:after="0" w:line="247"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203 of the Investment Advisers Act of 1940 (the "Adviser"); and (ii) AMG Yacktman Fund, a series of AMG Funds. AMG Funds is an investment company registered under the Investment Company Act of 1940 (the "Trust"). Attached as Exhibit 1 hereto, which is incorporated by reference herein, is an agreement between Yacktman Asset Management LP and AMG Yacktman Fund that this Schedule 13G is filed on behalf of each of them.</w:t>
      </w:r>
    </w:p>
    <w:p>
      <w:pPr>
        <w:sectPr>
          <w:pgSz w:w="11900" w:h="16838" w:orient="portrait"/>
          <w:cols w:equalWidth="0" w:num="1">
            <w:col w:w="11080"/>
          </w:cols>
          <w:pgMar w:left="360" w:top="111" w:right="459" w:bottom="0" w:gutter="0" w:footer="0" w:header="0"/>
        </w:sect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6300 Bridge Point Parkway Building One, Suite 500 Austin, TX 78730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680"/>
        <w:spacing w:after="0" w:line="256" w:lineRule="auto"/>
        <w:rPr>
          <w:sz w:val="20"/>
          <w:szCs w:val="20"/>
          <w:color w:val="auto"/>
        </w:rPr>
      </w:pPr>
      <w:r>
        <w:rPr>
          <w:rFonts w:ascii="Times New Roman" w:cs="Times New Roman" w:eastAsia="Times New Roman" w:hAnsi="Times New Roman"/>
          <w:sz w:val="22"/>
          <w:szCs w:val="22"/>
          <w:color w:val="auto"/>
        </w:rPr>
        <w:t>The Adviser is a Delaware limited partnership. AMG Yacktman Fund is a series of the Trust, a Massachusetts business trust.</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Yacktman Asset Management LP - 3,671,877 AMG Yacktman Fund - 3,000,000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Yacktman Asset Management LP - 6.20% AMG Yacktman Fund - 5.07% %</w:t>
      </w:r>
    </w:p>
    <w:p>
      <w:pPr>
        <w:spacing w:after="0" w:line="44" w:lineRule="exact"/>
        <w:rPr>
          <w:sz w:val="20"/>
          <w:szCs w:val="20"/>
          <w:color w:val="auto"/>
        </w:rPr>
      </w:pPr>
    </w:p>
    <w:p>
      <w:pPr>
        <w:sectPr>
          <w:pgSz w:w="11900" w:h="16838" w:orient="portrait"/>
          <w:cols w:equalWidth="0" w:num="2">
            <w:col w:w="620" w:space="300"/>
            <w:col w:w="10160"/>
          </w:cols>
          <w:pgMar w:left="360" w:top="111" w:right="45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80"/>
          </w:cols>
          <w:pgMar w:left="360" w:top="111" w:right="45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Yacktman Asset Management LP - 493,132 AMG Yacktman Fund - 0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Yacktman Asset Management LP - 3,175,000 AMG Yacktman Fund - 3,000,000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Yacktman Asset Management LP - 496,877 AMG Yacktman Fund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Yacktman Asset Management LP - 3,175,000 AMG Yacktman Fund - 3,000,000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1"/>
          <w:szCs w:val="21"/>
          <w:color w:val="auto"/>
        </w:rPr>
        <w:t>The securities reported in this statement are beneficially owned by advisory clients of Yacktman Asset Management LP (the "Adviser"), which includes the AMG Yacktman Fund. The investment management contracts of these clients grant to the Adviser investment and voting power over the securities reported in this statement. Therefore, for purposes of Rule 13d-3 under the Securities Exchange Act of 1934, the Adviser is deemed to be a beneficial owner of the securities reported in this statement, and the AMG Yacktman Fund may also be deemed to be a beneficial owner of the securities it holds. The clients of the Adviser have the right to receive or power to direct the receipt of dividends from, as well as the proceeds from the sale of, the securities reported in this statement.</w:t>
      </w:r>
    </w:p>
    <w:p>
      <w:pPr>
        <w:spacing w:after="0" w:line="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9"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YACKTMAN ASSET MANAGEMENT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Russell G. Wilkins</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AMG YACKTMAN FUND</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AMG FUNDS ON BEHALF OF ITS SERIES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AMG YACKTMAN FUND /s/ Patrick Spellman</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Chief Compliance Officer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ectPr>
          <w:pgSz w:w="11900" w:h="16838" w:orient="portrait"/>
          <w:cols w:equalWidth="0" w:num="1">
            <w:col w:w="11140"/>
          </w:cols>
          <w:pgMar w:left="360" w:top="112" w:right="399" w:bottom="19"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Exhibit 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JOINT FILING AGREEMENT</w:t>
      </w:r>
    </w:p>
    <w:p>
      <w:pPr>
        <w:spacing w:after="0" w:line="32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accordance with Rule 13d-1(k) under the Securities Exchange Act of 1934, as amended, the undersigned agree to the joint filing on behalf of each of them of a Schedule 13G (including any and all amendments thereto) with respect to the common stock of Embecta Corp. and further agree that this Joint Filing Agreement shall be included as an Exhibit to such joint filing(s).</w:t>
      </w:r>
    </w:p>
    <w:p>
      <w:pPr>
        <w:spacing w:after="0" w:line="17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undersigned further agree that each party hereto is responsible for the timely filing of such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This Joint Filing Agreement may be signed in counterparts with the same effect as if the signature on each counterpart were upon the same instrument.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have executed this Joint Filing Agreement as of April 21, 2026.</w:t>
      </w:r>
    </w:p>
    <w:p>
      <w:pPr>
        <w:spacing w:after="0" w:line="228"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YACKTMAN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-151130</wp:posOffset>
            </wp:positionV>
            <wp:extent cx="4371975" cy="2339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71975" cy="23399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2160"/>
        <w:spacing w:after="0"/>
        <w:tabs>
          <w:tab w:leader="none" w:pos="27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Russell G. Wilkins</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 Russell G. Wilkins</w:t>
      </w:r>
    </w:p>
    <w:p>
      <w:pPr>
        <w:spacing w:after="0" w:line="1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Title: Partner</w:t>
      </w:r>
    </w:p>
    <w:p>
      <w:pPr>
        <w:spacing w:after="0" w:line="22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AMG FUNDS ON BEHALF OF ITS SERIES</w:t>
      </w:r>
    </w:p>
    <w:p>
      <w:pPr>
        <w:spacing w:after="0" w:line="1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AMG YACKTMAN FUND</w:t>
      </w:r>
    </w:p>
    <w:p>
      <w:pPr>
        <w:spacing w:after="0" w:line="209" w:lineRule="exact"/>
        <w:rPr>
          <w:sz w:val="20"/>
          <w:szCs w:val="20"/>
          <w:color w:val="auto"/>
        </w:rPr>
      </w:pPr>
    </w:p>
    <w:p>
      <w:pPr>
        <w:ind w:left="2160"/>
        <w:spacing w:after="0"/>
        <w:tabs>
          <w:tab w:leader="none" w:pos="28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Patrick Spellman</w:t>
      </w:r>
    </w:p>
    <w:p>
      <w:pPr>
        <w:spacing w:after="0" w:line="233"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Name: Patrick Spellman</w:t>
      </w:r>
    </w:p>
    <w:p>
      <w:pPr>
        <w:spacing w:after="0" w:line="14"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Title: Chief Compliance Officer</w:t>
      </w:r>
    </w:p>
    <w:sectPr>
      <w:pgSz w:w="11900" w:h="16838" w:orient="portrait"/>
      <w:cols w:equalWidth="0" w:num="1">
        <w:col w:w="11240"/>
      </w:cols>
      <w:pgMar w:left="320" w:top="35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decimal"/>
      <w:start w:val="12"/>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2026-05-05T14:57:28Z</dcterms:created>
  <dcterms:modified xsi:type="dcterms:W3CDTF">2026-05-05T14:57:28Z</dcterms:modified>
</cp:coreProperties>
</file>