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876935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1065530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1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148590</wp:posOffset>
            </wp:positionV>
            <wp:extent cx="14827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82725" cy="8255"/>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180975</wp:posOffset>
            </wp:positionV>
            <wp:extent cx="14827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82725" cy="8255"/>
                    </a:xfrm>
                    <a:prstGeom prst="rect">
                      <a:avLst/>
                    </a:prstGeom>
                    <a:noFill/>
                  </pic:spPr>
                </pic:pic>
              </a:graphicData>
            </a:graphic>
          </wp:anchor>
        </w:drawing>
      </w:r>
    </w:p>
    <w:p>
      <w:pPr>
        <w:spacing w:after="0" w:line="200" w:lineRule="exact"/>
        <w:rPr>
          <w:sz w:val="24"/>
          <w:szCs w:val="24"/>
          <w:color w:val="auto"/>
        </w:rPr>
      </w:pPr>
    </w:p>
    <w:p>
      <w:pPr>
        <w:spacing w:after="0" w:line="35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67" w:lineRule="exact"/>
        <w:rPr>
          <w:sz w:val="24"/>
          <w:szCs w:val="24"/>
          <w:color w:val="auto"/>
        </w:rPr>
      </w:pPr>
    </w:p>
    <w:p>
      <w:pPr>
        <w:ind w:left="460" w:hanging="434"/>
        <w:spacing w:after="0"/>
        <w:tabs>
          <w:tab w:leader="none" w:pos="4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3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2026</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80" w:lineRule="exact"/>
        <w:rPr>
          <w:sz w:val="24"/>
          <w:szCs w:val="24"/>
          <w:color w:val="auto"/>
        </w:rPr>
      </w:pPr>
    </w:p>
    <w:p>
      <w:pPr>
        <w:ind w:left="460" w:hanging="434"/>
        <w:spacing w:after="0"/>
        <w:tabs>
          <w:tab w:leader="none" w:pos="46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3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transition period from to</w:t>
      </w: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001-41186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80010</wp:posOffset>
            </wp:positionV>
            <wp:extent cx="1405890" cy="5746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05890" cy="574675"/>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842645</wp:posOffset>
            </wp:positionV>
            <wp:extent cx="14827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8272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EMBECTA CORP.</w:t>
      </w:r>
    </w:p>
    <w:p>
      <w:pPr>
        <w:spacing w:after="0" w:line="1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139700</wp:posOffset>
            </wp:positionV>
            <wp:extent cx="14827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82725" cy="825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7820" w:type="dxa"/>
            <w:vAlign w:val="bottom"/>
            <w:gridSpan w:val="3"/>
          </w:tcPr>
          <w:p>
            <w:pPr>
              <w:jc w:val="center"/>
              <w:ind w:right="124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420" w:type="dxa"/>
            <w:vAlign w:val="bottom"/>
          </w:tcPr>
          <w:p>
            <w:pPr>
              <w:jc w:val="right"/>
              <w:ind w:right="1781"/>
              <w:spacing w:after="0"/>
              <w:rPr>
                <w:sz w:val="20"/>
                <w:szCs w:val="20"/>
                <w:color w:val="auto"/>
              </w:rPr>
            </w:pPr>
            <w:r>
              <w:rPr>
                <w:rFonts w:ascii="Times New Roman" w:cs="Times New Roman" w:eastAsia="Times New Roman" w:hAnsi="Times New Roman"/>
                <w:sz w:val="18"/>
                <w:szCs w:val="18"/>
                <w:b w:val="1"/>
                <w:bCs w:val="1"/>
                <w:color w:val="auto"/>
              </w:rPr>
              <w:t>87-1583942</w:t>
            </w:r>
          </w:p>
        </w:tc>
      </w:tr>
      <w:tr>
        <w:trPr>
          <w:trHeight w:val="178"/>
        </w:trPr>
        <w:tc>
          <w:tcPr>
            <w:tcW w:w="7820" w:type="dxa"/>
            <w:vAlign w:val="bottom"/>
            <w:gridSpan w:val="3"/>
          </w:tcPr>
          <w:p>
            <w:pPr>
              <w:jc w:val="center"/>
              <w:ind w:right="126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420" w:type="dxa"/>
            <w:vAlign w:val="bottom"/>
          </w:tcPr>
          <w:p>
            <w:pPr>
              <w:jc w:val="center"/>
              <w:ind w:right="1101"/>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7820" w:type="dxa"/>
            <w:vAlign w:val="bottom"/>
            <w:gridSpan w:val="3"/>
          </w:tcPr>
          <w:p>
            <w:pPr>
              <w:jc w:val="center"/>
              <w:ind w:right="126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420" w:type="dxa"/>
            <w:vAlign w:val="bottom"/>
          </w:tcPr>
          <w:p>
            <w:pPr>
              <w:jc w:val="center"/>
              <w:ind w:right="110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550"/>
        </w:trPr>
        <w:tc>
          <w:tcPr>
            <w:tcW w:w="7820" w:type="dxa"/>
            <w:vAlign w:val="bottom"/>
            <w:gridSpan w:val="3"/>
          </w:tcPr>
          <w:p>
            <w:pPr>
              <w:jc w:val="center"/>
              <w:ind w:right="1240"/>
              <w:spacing w:after="0"/>
              <w:rPr>
                <w:sz w:val="20"/>
                <w:szCs w:val="20"/>
                <w:color w:val="auto"/>
              </w:rPr>
            </w:pPr>
            <w:r>
              <w:rPr>
                <w:rFonts w:ascii="Times New Roman" w:cs="Times New Roman" w:eastAsia="Times New Roman" w:hAnsi="Times New Roman"/>
                <w:sz w:val="18"/>
                <w:szCs w:val="18"/>
                <w:b w:val="1"/>
                <w:bCs w:val="1"/>
                <w:color w:val="auto"/>
                <w:w w:val="99"/>
              </w:rPr>
              <w:t>300 Kimball Drive, Suite 300, Parsippany, New Jersey</w:t>
            </w:r>
          </w:p>
        </w:tc>
        <w:tc>
          <w:tcPr>
            <w:tcW w:w="3420" w:type="dxa"/>
            <w:vAlign w:val="bottom"/>
          </w:tcPr>
          <w:p>
            <w:pPr>
              <w:jc w:val="right"/>
              <w:ind w:right="2001"/>
              <w:spacing w:after="0"/>
              <w:rPr>
                <w:sz w:val="20"/>
                <w:szCs w:val="20"/>
                <w:color w:val="auto"/>
              </w:rPr>
            </w:pPr>
            <w:r>
              <w:rPr>
                <w:rFonts w:ascii="Times New Roman" w:cs="Times New Roman" w:eastAsia="Times New Roman" w:hAnsi="Times New Roman"/>
                <w:sz w:val="18"/>
                <w:szCs w:val="18"/>
                <w:b w:val="1"/>
                <w:bCs w:val="1"/>
                <w:color w:val="auto"/>
              </w:rPr>
              <w:t>07054</w:t>
            </w:r>
          </w:p>
        </w:tc>
      </w:tr>
      <w:tr>
        <w:trPr>
          <w:trHeight w:val="206"/>
        </w:trPr>
        <w:tc>
          <w:tcPr>
            <w:tcW w:w="7820" w:type="dxa"/>
            <w:vAlign w:val="bottom"/>
            <w:gridSpan w:val="3"/>
          </w:tcPr>
          <w:p>
            <w:pPr>
              <w:jc w:val="center"/>
              <w:ind w:right="12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420" w:type="dxa"/>
            <w:vAlign w:val="bottom"/>
          </w:tcPr>
          <w:p>
            <w:pPr>
              <w:jc w:val="center"/>
              <w:ind w:right="110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550"/>
        </w:trPr>
        <w:tc>
          <w:tcPr>
            <w:tcW w:w="68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(862) 401-0000</w:t>
            </w:r>
          </w:p>
        </w:tc>
        <w:tc>
          <w:tcPr>
            <w:tcW w:w="102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60"/>
        </w:trPr>
        <w:tc>
          <w:tcPr>
            <w:tcW w:w="7820" w:type="dxa"/>
            <w:vAlign w:val="bottom"/>
            <w:gridSpan w:val="3"/>
          </w:tcPr>
          <w:p>
            <w:pPr>
              <w:jc w:val="center"/>
              <w:ind w:left="334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3420" w:type="dxa"/>
            <w:vAlign w:val="bottom"/>
          </w:tcPr>
          <w:p>
            <w:pPr>
              <w:spacing w:after="0"/>
              <w:rPr>
                <w:sz w:val="22"/>
                <w:szCs w:val="22"/>
                <w:color w:val="auto"/>
              </w:rPr>
            </w:pPr>
          </w:p>
        </w:tc>
      </w:tr>
      <w:tr>
        <w:trPr>
          <w:trHeight w:val="199"/>
        </w:trPr>
        <w:tc>
          <w:tcPr>
            <w:tcW w:w="4460" w:type="dxa"/>
            <w:vAlign w:val="bottom"/>
          </w:tcPr>
          <w:p>
            <w:pPr>
              <w:spacing w:after="0"/>
              <w:rPr>
                <w:sz w:val="17"/>
                <w:szCs w:val="17"/>
                <w:color w:val="auto"/>
              </w:rPr>
            </w:pPr>
          </w:p>
        </w:tc>
        <w:tc>
          <w:tcPr>
            <w:tcW w:w="2340" w:type="dxa"/>
            <w:vAlign w:val="bottom"/>
            <w:tcBorders>
              <w:bottom w:val="single" w:sz="8" w:color="auto"/>
            </w:tcBorders>
          </w:tcPr>
          <w:p>
            <w:pPr>
              <w:spacing w:after="0"/>
              <w:rPr>
                <w:sz w:val="17"/>
                <w:szCs w:val="17"/>
                <w:color w:val="auto"/>
              </w:rPr>
            </w:pPr>
          </w:p>
        </w:tc>
        <w:tc>
          <w:tcPr>
            <w:tcW w:w="1020" w:type="dxa"/>
            <w:vAlign w:val="bottom"/>
          </w:tcPr>
          <w:p>
            <w:pPr>
              <w:spacing w:after="0"/>
              <w:rPr>
                <w:sz w:val="17"/>
                <w:szCs w:val="17"/>
                <w:color w:val="auto"/>
              </w:rPr>
            </w:pPr>
          </w:p>
        </w:tc>
        <w:tc>
          <w:tcPr>
            <w:tcW w:w="3420" w:type="dxa"/>
            <w:vAlign w:val="bottom"/>
          </w:tcPr>
          <w:p>
            <w:pPr>
              <w:spacing w:after="0"/>
              <w:rPr>
                <w:sz w:val="17"/>
                <w:szCs w:val="17"/>
                <w:color w:val="auto"/>
              </w:rPr>
            </w:pPr>
          </w:p>
        </w:tc>
      </w:tr>
      <w:tr>
        <w:trPr>
          <w:trHeight w:val="1054"/>
        </w:trPr>
        <w:tc>
          <w:tcPr>
            <w:tcW w:w="446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34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51"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4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4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r>
      <w:tr>
        <w:trPr>
          <w:trHeight w:val="204"/>
        </w:trPr>
        <w:tc>
          <w:tcPr>
            <w:tcW w:w="47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1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23"/>
        </w:trPr>
        <w:tc>
          <w:tcPr>
            <w:tcW w:w="4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r>
      <w:tr>
        <w:trPr>
          <w:trHeight w:val="201"/>
        </w:trPr>
        <w:tc>
          <w:tcPr>
            <w:tcW w:w="4720" w:type="dxa"/>
            <w:vAlign w:val="bottom"/>
            <w:gridSpan w:val="2"/>
          </w:tcPr>
          <w:p>
            <w:pPr>
              <w:jc w:val="center"/>
              <w:ind w:right="140"/>
              <w:spacing w:after="0" w:line="201" w:lineRule="exact"/>
              <w:rPr>
                <w:sz w:val="20"/>
                <w:szCs w:val="20"/>
                <w:color w:val="auto"/>
              </w:rPr>
            </w:pPr>
            <w:r>
              <w:rPr>
                <w:rFonts w:ascii="Times New Roman" w:cs="Times New Roman" w:eastAsia="Times New Roman" w:hAnsi="Times New Roman"/>
                <w:sz w:val="18"/>
                <w:szCs w:val="18"/>
                <w:b w:val="1"/>
                <w:bCs w:val="1"/>
                <w:color w:val="auto"/>
                <w:w w:val="99"/>
              </w:rPr>
              <w:t>Common Stock, par value $0.01 per share</w:t>
            </w:r>
          </w:p>
        </w:tc>
        <w:tc>
          <w:tcPr>
            <w:tcW w:w="2100" w:type="dxa"/>
            <w:vAlign w:val="bottom"/>
            <w:gridSpan w:val="2"/>
          </w:tcPr>
          <w:p>
            <w:pPr>
              <w:jc w:val="center"/>
              <w:ind w:right="120"/>
              <w:spacing w:after="0" w:line="201" w:lineRule="exact"/>
              <w:rPr>
                <w:sz w:val="20"/>
                <w:szCs w:val="20"/>
                <w:color w:val="auto"/>
              </w:rPr>
            </w:pPr>
            <w:r>
              <w:rPr>
                <w:rFonts w:ascii="Times New Roman" w:cs="Times New Roman" w:eastAsia="Times New Roman" w:hAnsi="Times New Roman"/>
                <w:sz w:val="18"/>
                <w:szCs w:val="18"/>
                <w:b w:val="1"/>
                <w:bCs w:val="1"/>
                <w:color w:val="auto"/>
                <w:w w:val="99"/>
              </w:rPr>
              <w:t>EMBC</w:t>
            </w:r>
          </w:p>
        </w:tc>
        <w:tc>
          <w:tcPr>
            <w:tcW w:w="436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rPr>
              <w:t>The Nasdaq Stock Market LLC (Nasdaq Global Select</w:t>
            </w:r>
          </w:p>
        </w:tc>
      </w:tr>
      <w:tr>
        <w:trPr>
          <w:trHeight w:val="238"/>
        </w:trPr>
        <w:tc>
          <w:tcPr>
            <w:tcW w:w="4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Market)</w:t>
            </w:r>
          </w:p>
        </w:tc>
      </w:tr>
    </w:tbl>
    <w:p>
      <w:pPr>
        <w:spacing w:after="0" w:line="306" w:lineRule="exact"/>
        <w:rPr>
          <w:sz w:val="20"/>
          <w:szCs w:val="20"/>
          <w:color w:val="auto"/>
        </w:rPr>
      </w:pPr>
    </w:p>
    <w:p>
      <w:pPr>
        <w:jc w:val="both"/>
        <w:spacing w:after="0" w:line="22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(the “Exchange Act”)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2"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5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89" w:lineRule="exact"/>
        <w:rPr>
          <w:sz w:val="20"/>
          <w:szCs w:val="20"/>
          <w:color w:val="auto"/>
        </w:rPr>
      </w:pPr>
    </w:p>
    <w:tbl>
      <w:tblPr>
        <w:tblLayout w:type="fixed"/>
        <w:tblInd w:w="20" w:type="dxa"/>
        <w:tblCellMar>
          <w:top w:w="0" w:type="dxa"/>
          <w:left w:w="0" w:type="dxa"/>
          <w:bottom w:w="0" w:type="dxa"/>
          <w:right w:w="0" w:type="dxa"/>
        </w:tblCellMar>
      </w:tblPr>
      <w:tr>
        <w:trPr>
          <w:trHeight w:val="256"/>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92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4740" w:type="dxa"/>
            <w:vAlign w:val="bottom"/>
          </w:tcPr>
          <w:p>
            <w:pPr>
              <w:ind w:left="2380"/>
              <w:spacing w:after="0"/>
              <w:rPr>
                <w:sz w:val="20"/>
                <w:szCs w:val="20"/>
                <w:color w:val="auto"/>
              </w:rPr>
            </w:pPr>
            <w:r>
              <w:rPr>
                <w:rFonts w:ascii="Times New Roman" w:cs="Times New Roman" w:eastAsia="Times New Roman" w:hAnsi="Times New Roman"/>
                <w:sz w:val="18"/>
                <w:szCs w:val="18"/>
                <w:color w:val="auto"/>
              </w:rPr>
              <w:t>Accelerated filer</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7"/>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92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4740" w:type="dxa"/>
            <w:vAlign w:val="bottom"/>
          </w:tcPr>
          <w:p>
            <w:pPr>
              <w:spacing w:after="0"/>
              <w:rPr>
                <w:sz w:val="22"/>
                <w:szCs w:val="22"/>
                <w:color w:val="auto"/>
              </w:rPr>
            </w:pPr>
          </w:p>
        </w:tc>
        <w:tc>
          <w:tcPr>
            <w:tcW w:w="560" w:type="dxa"/>
            <w:vAlign w:val="bottom"/>
          </w:tcPr>
          <w:p>
            <w:pPr>
              <w:spacing w:after="0"/>
              <w:rPr>
                <w:sz w:val="22"/>
                <w:szCs w:val="22"/>
                <w:color w:val="auto"/>
              </w:rPr>
            </w:pPr>
          </w:p>
        </w:tc>
      </w:tr>
      <w:tr>
        <w:trPr>
          <w:trHeight w:val="303"/>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292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4740" w:type="dxa"/>
            <w:vAlign w:val="bottom"/>
          </w:tcPr>
          <w:p>
            <w:pPr>
              <w:ind w:left="23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64" w:lineRule="exact"/>
        <w:rPr>
          <w:sz w:val="20"/>
          <w:szCs w:val="20"/>
          <w:color w:val="auto"/>
        </w:rPr>
      </w:pPr>
    </w:p>
    <w:p>
      <w:pPr>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by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of Embecta Corp. common stock outstanding as of April 28, 2026 was 59,327,677 shares, par value $0.01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334645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Embecta Corp.</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5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74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10480" w:type="dxa"/>
            <w:vAlign w:val="bottom"/>
            <w:gridSpan w:val="17"/>
            <w:vMerge w:val="restart"/>
          </w:tcPr>
          <w:p>
            <w:pPr>
              <w:spacing w:after="0"/>
              <w:rPr>
                <w:sz w:val="20"/>
                <w:szCs w:val="20"/>
                <w:color w:val="auto"/>
              </w:rPr>
            </w:pPr>
            <w:r>
              <w:rPr>
                <w:rFonts w:ascii="Times New Roman" w:cs="Times New Roman" w:eastAsia="Times New Roman" w:hAnsi="Times New Roman"/>
                <w:sz w:val="18"/>
                <w:szCs w:val="18"/>
                <w:color w:val="0000FF"/>
              </w:rPr>
              <w:t>Part I. Financial Information</w:t>
            </w: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0480" w:type="dxa"/>
            <w:vAlign w:val="bottom"/>
            <w:gridSpan w:val="17"/>
            <w:vMerge w:val="continue"/>
          </w:tcPr>
          <w:p>
            <w:pPr>
              <w:spacing w:after="0"/>
              <w:rPr>
                <w:sz w:val="15"/>
                <w:szCs w:val="15"/>
                <w:color w:val="auto"/>
              </w:rPr>
            </w:pPr>
          </w:p>
        </w:tc>
        <w:tc>
          <w:tcPr>
            <w:tcW w:w="74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Item 1.</w:t>
            </w:r>
          </w:p>
        </w:tc>
        <w:tc>
          <w:tcPr>
            <w:tcW w:w="24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Financial Statements (Unaudited)</w:t>
            </w:r>
          </w:p>
        </w:tc>
        <w:tc>
          <w:tcPr>
            <w:tcW w:w="6360" w:type="dxa"/>
            <w:vAlign w:val="bottom"/>
            <w:gridSpan w:val="9"/>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7"/>
        </w:trPr>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7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Condensed Consolidated Statements of (Loss) Income</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7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(Loss) Income</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7"/>
        </w:trPr>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08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3700" w:type="dxa"/>
            <w:vAlign w:val="bottom"/>
            <w:gridSpan w:val="2"/>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7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Condensed Consolidated Statements of Equity</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580" w:type="dxa"/>
            <w:vAlign w:val="bottom"/>
            <w:gridSpan w:val="3"/>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7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940" w:type="dxa"/>
            <w:vAlign w:val="bottom"/>
            <w:gridSpan w:val="4"/>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7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220" w:type="dxa"/>
            <w:vAlign w:val="bottom"/>
            <w:gridSpan w:val="6"/>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7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3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7"/>
        </w:trPr>
        <w:tc>
          <w:tcPr>
            <w:tcW w:w="17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420" w:type="dxa"/>
            <w:vAlign w:val="bottom"/>
            <w:gridSpan w:val="3"/>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36"/>
        </w:trPr>
        <w:tc>
          <w:tcPr>
            <w:tcW w:w="17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Item 4.</w:t>
            </w:r>
          </w:p>
        </w:tc>
        <w:tc>
          <w:tcPr>
            <w:tcW w:w="87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7020" w:type="dxa"/>
            <w:vAlign w:val="bottom"/>
            <w:gridSpan w:val="1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Part II. Other Information</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80" w:type="dxa"/>
            <w:vAlign w:val="bottom"/>
            <w:gridSpan w:val="11"/>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7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7880" w:type="dxa"/>
            <w:vAlign w:val="bottom"/>
            <w:gridSpan w:val="11"/>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36"/>
        </w:trPr>
        <w:tc>
          <w:tcPr>
            <w:tcW w:w="17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Item 6.</w:t>
            </w:r>
          </w:p>
        </w:tc>
        <w:tc>
          <w:tcPr>
            <w:tcW w:w="87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Exhibits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37"/>
        </w:trPr>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160" w:type="dxa"/>
            <w:vAlign w:val="bottom"/>
            <w:tcBorders>
              <w:top w:val="single" w:sz="8" w:color="0000FF"/>
            </w:tcBorders>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(Loss) Income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Embecta Corp.</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00" w:type="dxa"/>
            <w:vAlign w:val="bottom"/>
          </w:tcPr>
          <w:p>
            <w:pPr>
              <w:spacing w:after="0"/>
              <w:rPr>
                <w:sz w:val="16"/>
                <w:szCs w:val="16"/>
                <w:color w:val="auto"/>
              </w:rPr>
            </w:pPr>
          </w:p>
        </w:tc>
        <w:tc>
          <w:tcPr>
            <w:tcW w:w="2740" w:type="dxa"/>
            <w:vAlign w:val="bottom"/>
            <w:gridSpan w:val="4"/>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980" w:type="dxa"/>
            <w:vAlign w:val="bottom"/>
          </w:tcPr>
          <w:p>
            <w:pPr>
              <w:spacing w:after="0"/>
              <w:rPr>
                <w:sz w:val="16"/>
                <w:szCs w:val="16"/>
                <w:color w:val="auto"/>
              </w:rPr>
            </w:pPr>
          </w:p>
        </w:tc>
      </w:tr>
      <w:tr>
        <w:trPr>
          <w:trHeight w:val="214"/>
        </w:trPr>
        <w:tc>
          <w:tcPr>
            <w:tcW w:w="460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5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980" w:type="dxa"/>
            <w:vAlign w:val="bottom"/>
            <w:tcBorders>
              <w:bottom w:val="single" w:sz="8" w:color="auto"/>
            </w:tcBorders>
          </w:tcPr>
          <w:p>
            <w:pPr>
              <w:spacing w:after="0"/>
              <w:rPr>
                <w:sz w:val="18"/>
                <w:szCs w:val="18"/>
                <w:color w:val="auto"/>
              </w:rPr>
            </w:pPr>
          </w:p>
        </w:tc>
      </w:tr>
      <w:tr>
        <w:trPr>
          <w:trHeight w:val="208"/>
        </w:trPr>
        <w:tc>
          <w:tcPr>
            <w:tcW w:w="460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31"/>
        </w:trPr>
        <w:tc>
          <w:tcPr>
            <w:tcW w:w="46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23"/>
        </w:trPr>
        <w:tc>
          <w:tcPr>
            <w:tcW w:w="46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3"/>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221.8</w:t>
            </w:r>
          </w:p>
        </w:tc>
        <w:tc>
          <w:tcPr>
            <w:tcW w:w="1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259.0</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483.0</w:t>
            </w:r>
          </w:p>
        </w:tc>
        <w:tc>
          <w:tcPr>
            <w:tcW w:w="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520.9</w:t>
            </w:r>
          </w:p>
        </w:tc>
      </w:tr>
      <w:tr>
        <w:trPr>
          <w:trHeight w:val="210"/>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products sold</w:t>
            </w:r>
          </w:p>
        </w:tc>
        <w:tc>
          <w:tcPr>
            <w:tcW w:w="10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94.0</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193.5</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199.7</w:t>
            </w:r>
          </w:p>
        </w:tc>
      </w:tr>
      <w:tr>
        <w:trPr>
          <w:trHeight w:val="33"/>
        </w:trPr>
        <w:tc>
          <w:tcPr>
            <w:tcW w:w="46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7"/>
        </w:trPr>
        <w:tc>
          <w:tcPr>
            <w:tcW w:w="46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Gross Profit</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127.8</w:t>
            </w:r>
          </w:p>
        </w:tc>
        <w:tc>
          <w:tcPr>
            <w:tcW w:w="1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164.1</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289.5</w:t>
            </w:r>
          </w:p>
        </w:tc>
        <w:tc>
          <w:tcPr>
            <w:tcW w:w="1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321.2</w:t>
            </w:r>
          </w:p>
        </w:tc>
      </w:tr>
      <w:tr>
        <w:trPr>
          <w:trHeight w:val="210"/>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33"/>
        </w:trPr>
        <w:tc>
          <w:tcPr>
            <w:tcW w:w="4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3"/>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and administrative expense</w:t>
            </w:r>
          </w:p>
        </w:tc>
        <w:tc>
          <w:tcPr>
            <w:tcW w:w="104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76.2</w:t>
            </w:r>
          </w:p>
        </w:tc>
        <w:tc>
          <w:tcPr>
            <w:tcW w:w="1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79.6</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153.8</w:t>
            </w:r>
          </w:p>
        </w:tc>
        <w:tc>
          <w:tcPr>
            <w:tcW w:w="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160.7</w:t>
            </w:r>
          </w:p>
        </w:tc>
      </w:tr>
      <w:tr>
        <w:trPr>
          <w:trHeight w:val="210"/>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Research and development expense</w:t>
            </w:r>
          </w:p>
        </w:tc>
        <w:tc>
          <w:tcPr>
            <w:tcW w:w="10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w:t>
            </w:r>
          </w:p>
        </w:tc>
      </w:tr>
      <w:tr>
        <w:trPr>
          <w:trHeight w:val="33"/>
        </w:trPr>
        <w:tc>
          <w:tcPr>
            <w:tcW w:w="4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operating expense, net</w:t>
            </w:r>
          </w:p>
        </w:tc>
        <w:tc>
          <w:tcPr>
            <w:tcW w:w="10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w:t>
            </w:r>
          </w:p>
        </w:tc>
      </w:tr>
      <w:tr>
        <w:trPr>
          <w:trHeight w:val="204"/>
        </w:trPr>
        <w:tc>
          <w:tcPr>
            <w:tcW w:w="46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040" w:type="dxa"/>
            <w:vAlign w:val="bottom"/>
            <w:tcBorders>
              <w:top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92.8</w:t>
            </w:r>
          </w:p>
        </w:tc>
        <w:tc>
          <w:tcPr>
            <w:tcW w:w="100" w:type="dxa"/>
            <w:vAlign w:val="bottom"/>
          </w:tcPr>
          <w:p>
            <w:pPr>
              <w:spacing w:after="0"/>
              <w:rPr>
                <w:sz w:val="17"/>
                <w:szCs w:val="17"/>
                <w:color w:val="auto"/>
              </w:rPr>
            </w:pPr>
          </w:p>
        </w:tc>
        <w:tc>
          <w:tcPr>
            <w:tcW w:w="1060" w:type="dxa"/>
            <w:vAlign w:val="bottom"/>
            <w:tcBorders>
              <w:top w:val="single" w:sz="8" w:color="auto"/>
            </w:tcBorders>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101.2</w:t>
            </w:r>
          </w:p>
        </w:tc>
        <w:tc>
          <w:tcPr>
            <w:tcW w:w="120" w:type="dxa"/>
            <w:vAlign w:val="bottom"/>
          </w:tcPr>
          <w:p>
            <w:pPr>
              <w:spacing w:after="0"/>
              <w:rPr>
                <w:sz w:val="17"/>
                <w:szCs w:val="17"/>
                <w:color w:val="auto"/>
              </w:rPr>
            </w:pPr>
          </w:p>
        </w:tc>
        <w:tc>
          <w:tcPr>
            <w:tcW w:w="36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171.2</w:t>
            </w:r>
          </w:p>
        </w:tc>
        <w:tc>
          <w:tcPr>
            <w:tcW w:w="100" w:type="dxa"/>
            <w:vAlign w:val="bottom"/>
          </w:tcPr>
          <w:p>
            <w:pPr>
              <w:spacing w:after="0"/>
              <w:rPr>
                <w:sz w:val="17"/>
                <w:szCs w:val="17"/>
                <w:color w:val="auto"/>
              </w:rPr>
            </w:pPr>
          </w:p>
        </w:tc>
        <w:tc>
          <w:tcPr>
            <w:tcW w:w="600" w:type="dxa"/>
            <w:vAlign w:val="bottom"/>
            <w:tcBorders>
              <w:top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229.6</w:t>
            </w:r>
          </w:p>
        </w:tc>
      </w:tr>
      <w:tr>
        <w:trPr>
          <w:trHeight w:val="33"/>
        </w:trPr>
        <w:tc>
          <w:tcPr>
            <w:tcW w:w="46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7"/>
        </w:trPr>
        <w:tc>
          <w:tcPr>
            <w:tcW w:w="460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Operating Income</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1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118.3</w:t>
            </w:r>
          </w:p>
        </w:tc>
        <w:tc>
          <w:tcPr>
            <w:tcW w:w="1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91.6</w:t>
            </w:r>
          </w:p>
        </w:tc>
      </w:tr>
      <w:tr>
        <w:trPr>
          <w:trHeight w:val="210"/>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10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w:t>
            </w:r>
          </w:p>
        </w:tc>
      </w:tr>
      <w:tr>
        <w:trPr>
          <w:trHeight w:val="33"/>
        </w:trPr>
        <w:tc>
          <w:tcPr>
            <w:tcW w:w="4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10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04"/>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040" w:type="dxa"/>
            <w:vAlign w:val="bottom"/>
            <w:tcBorders>
              <w:top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tcPr>
          <w:p>
            <w:pPr>
              <w:spacing w:after="0"/>
              <w:rPr>
                <w:sz w:val="17"/>
                <w:szCs w:val="17"/>
                <w:color w:val="auto"/>
              </w:rPr>
            </w:pPr>
          </w:p>
        </w:tc>
        <w:tc>
          <w:tcPr>
            <w:tcW w:w="1060" w:type="dxa"/>
            <w:vAlign w:val="bottom"/>
            <w:tcBorders>
              <w:top w:val="single" w:sz="8" w:color="auto"/>
            </w:tcBorders>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120" w:type="dxa"/>
            <w:vAlign w:val="bottom"/>
          </w:tcPr>
          <w:p>
            <w:pPr>
              <w:spacing w:after="0"/>
              <w:rPr>
                <w:sz w:val="17"/>
                <w:szCs w:val="17"/>
                <w:color w:val="auto"/>
              </w:rPr>
            </w:pPr>
          </w:p>
        </w:tc>
        <w:tc>
          <w:tcPr>
            <w:tcW w:w="36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68.4</w:t>
            </w:r>
          </w:p>
        </w:tc>
        <w:tc>
          <w:tcPr>
            <w:tcW w:w="100" w:type="dxa"/>
            <w:vAlign w:val="bottom"/>
          </w:tcPr>
          <w:p>
            <w:pPr>
              <w:spacing w:after="0"/>
              <w:rPr>
                <w:sz w:val="17"/>
                <w:szCs w:val="17"/>
                <w:color w:val="auto"/>
              </w:rPr>
            </w:pPr>
          </w:p>
        </w:tc>
        <w:tc>
          <w:tcPr>
            <w:tcW w:w="600" w:type="dxa"/>
            <w:vAlign w:val="bottom"/>
            <w:tcBorders>
              <w:top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35.1</w:t>
            </w:r>
          </w:p>
        </w:tc>
      </w:tr>
      <w:tr>
        <w:trPr>
          <w:trHeight w:val="33"/>
        </w:trPr>
        <w:tc>
          <w:tcPr>
            <w:tcW w:w="4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provision</w:t>
            </w:r>
          </w:p>
        </w:tc>
        <w:tc>
          <w:tcPr>
            <w:tcW w:w="10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r>
      <w:tr>
        <w:trPr>
          <w:trHeight w:val="204"/>
        </w:trPr>
        <w:tc>
          <w:tcPr>
            <w:tcW w:w="460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Net (Loss) Income</w:t>
            </w:r>
          </w:p>
        </w:tc>
        <w:tc>
          <w:tcPr>
            <w:tcW w:w="1040" w:type="dxa"/>
            <w:vAlign w:val="bottom"/>
            <w:tcBorders>
              <w:top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Pr>
          <w:p>
            <w:pPr>
              <w:spacing w:after="0"/>
              <w:rPr>
                <w:sz w:val="17"/>
                <w:szCs w:val="17"/>
                <w:color w:val="auto"/>
              </w:rPr>
            </w:pPr>
          </w:p>
        </w:tc>
        <w:tc>
          <w:tcPr>
            <w:tcW w:w="1060" w:type="dxa"/>
            <w:vAlign w:val="bottom"/>
            <w:tcBorders>
              <w:top w:val="single" w:sz="8" w:color="auto"/>
            </w:tcBorders>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120" w:type="dxa"/>
            <w:vAlign w:val="bottom"/>
          </w:tcPr>
          <w:p>
            <w:pPr>
              <w:spacing w:after="0"/>
              <w:rPr>
                <w:sz w:val="17"/>
                <w:szCs w:val="17"/>
                <w:color w:val="auto"/>
              </w:rPr>
            </w:pPr>
          </w:p>
        </w:tc>
        <w:tc>
          <w:tcPr>
            <w:tcW w:w="36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100" w:type="dxa"/>
            <w:vAlign w:val="bottom"/>
          </w:tcPr>
          <w:p>
            <w:pPr>
              <w:spacing w:after="0"/>
              <w:rPr>
                <w:sz w:val="17"/>
                <w:szCs w:val="17"/>
                <w:color w:val="auto"/>
              </w:rPr>
            </w:pPr>
          </w:p>
        </w:tc>
        <w:tc>
          <w:tcPr>
            <w:tcW w:w="600" w:type="dxa"/>
            <w:vAlign w:val="bottom"/>
            <w:tcBorders>
              <w:top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w:t>
            </w:r>
          </w:p>
        </w:tc>
      </w:tr>
      <w:tr>
        <w:trPr>
          <w:trHeight w:val="33"/>
        </w:trPr>
        <w:tc>
          <w:tcPr>
            <w:tcW w:w="46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6"/>
        </w:trPr>
        <w:tc>
          <w:tcPr>
            <w:tcW w:w="46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10"/>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Income per common share:</w:t>
            </w: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33"/>
        </w:trPr>
        <w:tc>
          <w:tcPr>
            <w:tcW w:w="4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3"/>
        </w:trPr>
        <w:tc>
          <w:tcPr>
            <w:tcW w:w="4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(0.07)</w:t>
            </w:r>
          </w:p>
        </w:tc>
        <w:tc>
          <w:tcPr>
            <w:tcW w:w="1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0.40</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0.68</w:t>
            </w:r>
          </w:p>
        </w:tc>
        <w:tc>
          <w:tcPr>
            <w:tcW w:w="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0.40</w:t>
            </w:r>
          </w:p>
        </w:tc>
      </w:tr>
      <w:tr>
        <w:trPr>
          <w:trHeight w:val="210"/>
        </w:trPr>
        <w:tc>
          <w:tcPr>
            <w:tcW w:w="4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1040" w:type="dxa"/>
            <w:vAlign w:val="bottom"/>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(0.07)</w:t>
            </w:r>
          </w:p>
        </w:tc>
        <w:tc>
          <w:tcPr>
            <w:tcW w:w="100" w:type="dxa"/>
            <w:vAlign w:val="bottom"/>
          </w:tcPr>
          <w:p>
            <w:pPr>
              <w:spacing w:after="0"/>
              <w:rPr>
                <w:sz w:val="18"/>
                <w:szCs w:val="18"/>
                <w:color w:val="auto"/>
              </w:rPr>
            </w:pPr>
          </w:p>
        </w:tc>
        <w:tc>
          <w:tcPr>
            <w:tcW w:w="1060" w:type="dxa"/>
            <w:vAlign w:val="bottom"/>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0.40</w:t>
            </w:r>
          </w:p>
        </w:tc>
        <w:tc>
          <w:tcPr>
            <w:tcW w:w="12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0.67</w:t>
            </w:r>
          </w:p>
        </w:tc>
        <w:tc>
          <w:tcPr>
            <w:tcW w:w="100" w:type="dxa"/>
            <w:vAlign w:val="bottom"/>
          </w:tcPr>
          <w:p>
            <w:pPr>
              <w:spacing w:after="0"/>
              <w:rPr>
                <w:sz w:val="18"/>
                <w:szCs w:val="18"/>
                <w:color w:val="auto"/>
              </w:rPr>
            </w:pPr>
          </w:p>
        </w:tc>
        <w:tc>
          <w:tcPr>
            <w:tcW w:w="60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0.40</w:t>
            </w: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the Unaudited Condensed Consolidated Financial Statements.</w:t>
      </w:r>
    </w:p>
    <w:p>
      <w:pPr>
        <w:spacing w:after="0" w:line="200" w:lineRule="exact"/>
        <w:rPr>
          <w:sz w:val="20"/>
          <w:szCs w:val="20"/>
          <w:color w:val="auto"/>
        </w:rPr>
      </w:pPr>
    </w:p>
    <w:p>
      <w:pPr>
        <w:spacing w:after="0" w:line="2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 Income</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Embecta Corp.</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00" w:type="dxa"/>
            <w:vAlign w:val="bottom"/>
          </w:tcPr>
          <w:p>
            <w:pPr>
              <w:spacing w:after="0"/>
              <w:rPr>
                <w:sz w:val="16"/>
                <w:szCs w:val="16"/>
                <w:color w:val="auto"/>
              </w:rPr>
            </w:pPr>
          </w:p>
        </w:tc>
        <w:tc>
          <w:tcPr>
            <w:tcW w:w="2780" w:type="dxa"/>
            <w:vAlign w:val="bottom"/>
            <w:gridSpan w:val="4"/>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980" w:type="dxa"/>
            <w:vAlign w:val="bottom"/>
          </w:tcPr>
          <w:p>
            <w:pPr>
              <w:spacing w:after="0"/>
              <w:rPr>
                <w:sz w:val="16"/>
                <w:szCs w:val="16"/>
                <w:color w:val="auto"/>
              </w:rPr>
            </w:pPr>
          </w:p>
        </w:tc>
      </w:tr>
      <w:tr>
        <w:trPr>
          <w:trHeight w:val="214"/>
        </w:trPr>
        <w:tc>
          <w:tcPr>
            <w:tcW w:w="460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4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980" w:type="dxa"/>
            <w:vAlign w:val="bottom"/>
            <w:tcBorders>
              <w:bottom w:val="single" w:sz="8" w:color="auto"/>
            </w:tcBorders>
          </w:tcPr>
          <w:p>
            <w:pPr>
              <w:spacing w:after="0"/>
              <w:rPr>
                <w:sz w:val="18"/>
                <w:szCs w:val="18"/>
                <w:color w:val="auto"/>
              </w:rPr>
            </w:pPr>
          </w:p>
        </w:tc>
      </w:tr>
      <w:tr>
        <w:trPr>
          <w:trHeight w:val="208"/>
        </w:trPr>
        <w:tc>
          <w:tcPr>
            <w:tcW w:w="4600" w:type="dxa"/>
            <w:vAlign w:val="bottom"/>
          </w:tcPr>
          <w:p>
            <w:pPr>
              <w:spacing w:after="0"/>
              <w:rPr>
                <w:sz w:val="18"/>
                <w:szCs w:val="18"/>
                <w:color w:val="auto"/>
              </w:rPr>
            </w:pPr>
          </w:p>
        </w:tc>
        <w:tc>
          <w:tcPr>
            <w:tcW w:w="110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31"/>
        </w:trPr>
        <w:tc>
          <w:tcPr>
            <w:tcW w:w="46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23"/>
        </w:trPr>
        <w:tc>
          <w:tcPr>
            <w:tcW w:w="46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3"/>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Income</w:t>
            </w:r>
          </w:p>
        </w:tc>
        <w:tc>
          <w:tcPr>
            <w:tcW w:w="1100" w:type="dxa"/>
            <w:vAlign w:val="bottom"/>
            <w:tcBorders>
              <w:bottom w:val="single" w:sz="8" w:color="CCEEFF"/>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w:t>
            </w:r>
          </w:p>
        </w:tc>
      </w:tr>
      <w:tr>
        <w:trPr>
          <w:trHeight w:val="210"/>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 Income, net of tax</w:t>
            </w: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33"/>
        </w:trPr>
        <w:tc>
          <w:tcPr>
            <w:tcW w:w="4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3"/>
        </w:trPr>
        <w:tc>
          <w:tcPr>
            <w:tcW w:w="46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Benefit plan net gain and prior service credit, net of amortization</w:t>
            </w:r>
          </w:p>
        </w:tc>
        <w:tc>
          <w:tcPr>
            <w:tcW w:w="1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46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1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w:t>
            </w:r>
          </w:p>
        </w:tc>
      </w:tr>
      <w:tr>
        <w:trPr>
          <w:trHeight w:val="33"/>
        </w:trPr>
        <w:tc>
          <w:tcPr>
            <w:tcW w:w="4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 Income, net of tax</w:t>
            </w:r>
          </w:p>
        </w:tc>
        <w:tc>
          <w:tcPr>
            <w:tcW w:w="1100" w:type="dxa"/>
            <w:vAlign w:val="bottom"/>
            <w:tcBorders>
              <w:bottom w:val="single" w:sz="8" w:color="CCEEFF"/>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w:t>
            </w:r>
          </w:p>
        </w:tc>
      </w:tr>
      <w:tr>
        <w:trPr>
          <w:trHeight w:val="204"/>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(Loss) Income</w:t>
            </w:r>
          </w:p>
        </w:tc>
        <w:tc>
          <w:tcPr>
            <w:tcW w:w="1100" w:type="dxa"/>
            <w:vAlign w:val="bottom"/>
            <w:tcBorders>
              <w:top w:val="single" w:sz="8" w:color="auto"/>
            </w:tcBorders>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tcPr>
          <w:p>
            <w:pPr>
              <w:spacing w:after="0"/>
              <w:rPr>
                <w:sz w:val="17"/>
                <w:szCs w:val="17"/>
                <w:color w:val="auto"/>
              </w:rPr>
            </w:pPr>
          </w:p>
        </w:tc>
        <w:tc>
          <w:tcPr>
            <w:tcW w:w="1100" w:type="dxa"/>
            <w:vAlign w:val="bottom"/>
            <w:tcBorders>
              <w:top w:val="single" w:sz="8" w:color="auto"/>
            </w:tcBorders>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34.9</w:t>
            </w:r>
          </w:p>
        </w:tc>
        <w:tc>
          <w:tcPr>
            <w:tcW w:w="120" w:type="dxa"/>
            <w:vAlign w:val="bottom"/>
          </w:tcPr>
          <w:p>
            <w:pPr>
              <w:spacing w:after="0"/>
              <w:rPr>
                <w:sz w:val="17"/>
                <w:szCs w:val="17"/>
                <w:color w:val="auto"/>
              </w:rPr>
            </w:pPr>
          </w:p>
        </w:tc>
        <w:tc>
          <w:tcPr>
            <w:tcW w:w="36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35.6</w:t>
            </w:r>
          </w:p>
        </w:tc>
        <w:tc>
          <w:tcPr>
            <w:tcW w:w="100" w:type="dxa"/>
            <w:vAlign w:val="bottom"/>
          </w:tcPr>
          <w:p>
            <w:pPr>
              <w:spacing w:after="0"/>
              <w:rPr>
                <w:sz w:val="17"/>
                <w:szCs w:val="17"/>
                <w:color w:val="auto"/>
              </w:rPr>
            </w:pPr>
          </w:p>
        </w:tc>
        <w:tc>
          <w:tcPr>
            <w:tcW w:w="600" w:type="dxa"/>
            <w:vAlign w:val="bottom"/>
            <w:tcBorders>
              <w:top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w:t>
            </w:r>
          </w:p>
        </w:tc>
      </w:tr>
      <w:tr>
        <w:trPr>
          <w:trHeight w:val="33"/>
        </w:trPr>
        <w:tc>
          <w:tcPr>
            <w:tcW w:w="46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
        </w:trPr>
        <w:tc>
          <w:tcPr>
            <w:tcW w:w="46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the Unaudited Condensed Consolidated Financial Statements.</w:t>
      </w:r>
    </w:p>
    <w:p>
      <w:pPr>
        <w:spacing w:after="0" w:line="200" w:lineRule="exact"/>
        <w:rPr>
          <w:sz w:val="20"/>
          <w:szCs w:val="20"/>
          <w:color w:val="auto"/>
        </w:rPr>
      </w:pPr>
    </w:p>
    <w:p>
      <w:pPr>
        <w:spacing w:after="0" w:line="2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137795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Embecta Corp.</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80" w:type="dxa"/>
            <w:vAlign w:val="bottom"/>
          </w:tcPr>
          <w:p>
            <w:pPr>
              <w:spacing w:after="0"/>
              <w:rPr>
                <w:sz w:val="18"/>
                <w:szCs w:val="18"/>
                <w:color w:val="auto"/>
              </w:rPr>
            </w:pPr>
          </w:p>
        </w:tc>
        <w:tc>
          <w:tcPr>
            <w:tcW w:w="16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0" w:type="dxa"/>
            <w:vAlign w:val="bottom"/>
          </w:tcPr>
          <w:p>
            <w:pPr>
              <w:spacing w:after="0"/>
              <w:rPr>
                <w:sz w:val="1"/>
                <w:szCs w:val="1"/>
                <w:color w:val="auto"/>
              </w:rPr>
            </w:pPr>
          </w:p>
        </w:tc>
      </w:tr>
      <w:tr>
        <w:trPr>
          <w:trHeight w:val="209"/>
        </w:trPr>
        <w:tc>
          <w:tcPr>
            <w:tcW w:w="74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7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6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4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Current Assets</w:t>
            </w:r>
          </w:p>
        </w:tc>
        <w:tc>
          <w:tcPr>
            <w:tcW w:w="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40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Cash and equivalents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184.9</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225.5</w:t>
            </w:r>
          </w:p>
        </w:tc>
        <w:tc>
          <w:tcPr>
            <w:tcW w:w="0" w:type="dxa"/>
            <w:vAlign w:val="bottom"/>
          </w:tcPr>
          <w:p>
            <w:pPr>
              <w:spacing w:after="0"/>
              <w:rPr>
                <w:sz w:val="1"/>
                <w:szCs w:val="1"/>
                <w:color w:val="auto"/>
              </w:rPr>
            </w:pPr>
          </w:p>
        </w:tc>
      </w:tr>
      <w:tr>
        <w:trPr>
          <w:trHeight w:val="210"/>
        </w:trPr>
        <w:tc>
          <w:tcPr>
            <w:tcW w:w="740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Restricted cash</w:t>
            </w:r>
          </w:p>
        </w:tc>
        <w:tc>
          <w:tcPr>
            <w:tcW w:w="2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4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Trade receivables, net (net of allowance for doubtful accounts of $2.2 million and $1.8 million as of</w:t>
            </w:r>
          </w:p>
        </w:tc>
        <w:tc>
          <w:tcPr>
            <w:tcW w:w="260" w:type="dxa"/>
            <w:vAlign w:val="bottom"/>
            <w:shd w:val="clear" w:color="auto" w:fill="CCEEFF"/>
          </w:tcPr>
          <w:p>
            <w:pPr>
              <w:spacing w:after="0"/>
              <w:rPr>
                <w:sz w:val="16"/>
                <w:szCs w:val="16"/>
                <w:color w:val="auto"/>
              </w:rPr>
            </w:pPr>
          </w:p>
        </w:tc>
        <w:tc>
          <w:tcPr>
            <w:tcW w:w="1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147.1</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145.6</w:t>
            </w: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March 31, 2026 and September 30, 2025, respectively)</w:t>
            </w:r>
          </w:p>
        </w:tc>
        <w:tc>
          <w:tcPr>
            <w:tcW w:w="260" w:type="dxa"/>
            <w:vAlign w:val="bottom"/>
            <w:shd w:val="clear" w:color="auto" w:fill="CCEEFF"/>
          </w:tcPr>
          <w:p>
            <w:pPr>
              <w:spacing w:after="0"/>
              <w:rPr>
                <w:sz w:val="19"/>
                <w:szCs w:val="19"/>
                <w:color w:val="auto"/>
              </w:rPr>
            </w:pPr>
          </w:p>
        </w:tc>
        <w:tc>
          <w:tcPr>
            <w:tcW w:w="16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40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Inventories:</w:t>
            </w:r>
          </w:p>
        </w:tc>
        <w:tc>
          <w:tcPr>
            <w:tcW w:w="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40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Materials</w:t>
            </w:r>
          </w:p>
        </w:tc>
        <w:tc>
          <w:tcPr>
            <w:tcW w:w="26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0" w:type="dxa"/>
            <w:vAlign w:val="bottom"/>
          </w:tcPr>
          <w:p>
            <w:pPr>
              <w:spacing w:after="0"/>
              <w:rPr>
                <w:sz w:val="1"/>
                <w:szCs w:val="1"/>
                <w:color w:val="auto"/>
              </w:rPr>
            </w:pPr>
          </w:p>
        </w:tc>
      </w:tr>
      <w:tr>
        <w:trPr>
          <w:trHeight w:val="210"/>
        </w:trPr>
        <w:tc>
          <w:tcPr>
            <w:tcW w:w="740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Work in process</w:t>
            </w:r>
          </w:p>
        </w:tc>
        <w:tc>
          <w:tcPr>
            <w:tcW w:w="2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40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Finished products</w:t>
            </w:r>
          </w:p>
        </w:tc>
        <w:tc>
          <w:tcPr>
            <w:tcW w:w="2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116.9</w:t>
            </w:r>
          </w:p>
        </w:tc>
        <w:tc>
          <w:tcPr>
            <w:tcW w:w="0" w:type="dxa"/>
            <w:vAlign w:val="bottom"/>
          </w:tcPr>
          <w:p>
            <w:pPr>
              <w:spacing w:after="0"/>
              <w:rPr>
                <w:sz w:val="1"/>
                <w:szCs w:val="1"/>
                <w:color w:val="auto"/>
              </w:rPr>
            </w:pPr>
          </w:p>
        </w:tc>
      </w:tr>
      <w:tr>
        <w:trPr>
          <w:trHeight w:val="204"/>
        </w:trPr>
        <w:tc>
          <w:tcPr>
            <w:tcW w:w="740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Total Inventories</w:t>
            </w:r>
          </w:p>
        </w:tc>
        <w:tc>
          <w:tcPr>
            <w:tcW w:w="26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192.6</w:t>
            </w:r>
          </w:p>
        </w:tc>
        <w:tc>
          <w:tcPr>
            <w:tcW w:w="120" w:type="dxa"/>
            <w:vAlign w:val="bottom"/>
          </w:tcPr>
          <w:p>
            <w:pPr>
              <w:spacing w:after="0"/>
              <w:rPr>
                <w:sz w:val="17"/>
                <w:szCs w:val="17"/>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178.6</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40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Amounts due from Becton, Dickinson and Company</w:t>
            </w:r>
          </w:p>
        </w:tc>
        <w:tc>
          <w:tcPr>
            <w:tcW w:w="26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210"/>
        </w:trPr>
        <w:tc>
          <w:tcPr>
            <w:tcW w:w="740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Prepaid expenses and other</w:t>
            </w:r>
          </w:p>
        </w:tc>
        <w:tc>
          <w:tcPr>
            <w:tcW w:w="2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75.3</w:t>
            </w:r>
          </w:p>
        </w:tc>
        <w:tc>
          <w:tcPr>
            <w:tcW w:w="0" w:type="dxa"/>
            <w:vAlign w:val="bottom"/>
          </w:tcPr>
          <w:p>
            <w:pPr>
              <w:spacing w:after="0"/>
              <w:rPr>
                <w:sz w:val="1"/>
                <w:szCs w:val="1"/>
                <w:color w:val="auto"/>
              </w:rPr>
            </w:pPr>
          </w:p>
        </w:tc>
      </w:tr>
      <w:tr>
        <w:trPr>
          <w:trHeight w:val="33"/>
        </w:trPr>
        <w:tc>
          <w:tcPr>
            <w:tcW w:w="74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40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Total Current Assets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608.1</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631.4</w:t>
            </w:r>
          </w:p>
        </w:tc>
        <w:tc>
          <w:tcPr>
            <w:tcW w:w="0" w:type="dxa"/>
            <w:vAlign w:val="bottom"/>
          </w:tcPr>
          <w:p>
            <w:pPr>
              <w:spacing w:after="0"/>
              <w:rPr>
                <w:sz w:val="1"/>
                <w:szCs w:val="1"/>
                <w:color w:val="auto"/>
              </w:rPr>
            </w:pPr>
          </w:p>
        </w:tc>
      </w:tr>
      <w:tr>
        <w:trPr>
          <w:trHeight w:val="210"/>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257.2</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 and Intangible Assets</w:t>
            </w:r>
          </w:p>
        </w:tc>
        <w:tc>
          <w:tcPr>
            <w:tcW w:w="26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0" w:type="dxa"/>
            <w:vAlign w:val="bottom"/>
          </w:tcPr>
          <w:p>
            <w:pPr>
              <w:spacing w:after="0"/>
              <w:rPr>
                <w:sz w:val="1"/>
                <w:szCs w:val="1"/>
                <w:color w:val="auto"/>
              </w:rPr>
            </w:pPr>
          </w:p>
        </w:tc>
      </w:tr>
      <w:tr>
        <w:trPr>
          <w:trHeight w:val="210"/>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Taxes and Other Assets</w:t>
            </w:r>
          </w:p>
        </w:tc>
        <w:tc>
          <w:tcPr>
            <w:tcW w:w="2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179.9</w:t>
            </w:r>
          </w:p>
        </w:tc>
        <w:tc>
          <w:tcPr>
            <w:tcW w:w="0" w:type="dxa"/>
            <w:vAlign w:val="bottom"/>
          </w:tcPr>
          <w:p>
            <w:pPr>
              <w:spacing w:after="0"/>
              <w:rPr>
                <w:sz w:val="1"/>
                <w:szCs w:val="1"/>
                <w:color w:val="auto"/>
              </w:rPr>
            </w:pPr>
          </w:p>
        </w:tc>
      </w:tr>
      <w:tr>
        <w:trPr>
          <w:trHeight w:val="33"/>
        </w:trPr>
        <w:tc>
          <w:tcPr>
            <w:tcW w:w="74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1,029.3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1,090.9</w:t>
            </w:r>
          </w:p>
        </w:tc>
        <w:tc>
          <w:tcPr>
            <w:tcW w:w="0" w:type="dxa"/>
            <w:vAlign w:val="bottom"/>
          </w:tcPr>
          <w:p>
            <w:pPr>
              <w:spacing w:after="0"/>
              <w:rPr>
                <w:sz w:val="1"/>
                <w:szCs w:val="1"/>
                <w:color w:val="auto"/>
              </w:rPr>
            </w:pPr>
          </w:p>
        </w:tc>
      </w:tr>
      <w:tr>
        <w:trPr>
          <w:trHeight w:val="20"/>
        </w:trPr>
        <w:tc>
          <w:tcPr>
            <w:tcW w:w="74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740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
        </w:trPr>
        <w:tc>
          <w:tcPr>
            <w:tcW w:w="7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4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Current Liabilities</w:t>
            </w:r>
          </w:p>
        </w:tc>
        <w:tc>
          <w:tcPr>
            <w:tcW w:w="26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40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Accounts payable</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79.7</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74.2</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40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Accrued expenses</w:t>
            </w:r>
          </w:p>
        </w:tc>
        <w:tc>
          <w:tcPr>
            <w:tcW w:w="26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113.8</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98.9</w:t>
            </w:r>
          </w:p>
        </w:tc>
        <w:tc>
          <w:tcPr>
            <w:tcW w:w="0" w:type="dxa"/>
            <w:vAlign w:val="bottom"/>
          </w:tcPr>
          <w:p>
            <w:pPr>
              <w:spacing w:after="0"/>
              <w:rPr>
                <w:sz w:val="1"/>
                <w:szCs w:val="1"/>
                <w:color w:val="auto"/>
              </w:rPr>
            </w:pPr>
          </w:p>
        </w:tc>
      </w:tr>
      <w:tr>
        <w:trPr>
          <w:trHeight w:val="210"/>
        </w:trPr>
        <w:tc>
          <w:tcPr>
            <w:tcW w:w="740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Amounts due to Becton, Dickinson and Company</w:t>
            </w:r>
          </w:p>
        </w:tc>
        <w:tc>
          <w:tcPr>
            <w:tcW w:w="260" w:type="dxa"/>
            <w:vAlign w:val="bottom"/>
          </w:tcPr>
          <w:p>
            <w:pPr>
              <w:spacing w:after="0"/>
              <w:rPr>
                <w:sz w:val="18"/>
                <w:szCs w:val="18"/>
                <w:color w:val="auto"/>
              </w:rPr>
            </w:pP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40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Salaries, wages and related items</w:t>
            </w:r>
          </w:p>
        </w:tc>
        <w:tc>
          <w:tcPr>
            <w:tcW w:w="26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w:t>
            </w:r>
          </w:p>
        </w:tc>
        <w:tc>
          <w:tcPr>
            <w:tcW w:w="0" w:type="dxa"/>
            <w:vAlign w:val="bottom"/>
          </w:tcPr>
          <w:p>
            <w:pPr>
              <w:spacing w:after="0"/>
              <w:rPr>
                <w:sz w:val="1"/>
                <w:szCs w:val="1"/>
                <w:color w:val="auto"/>
              </w:rPr>
            </w:pPr>
          </w:p>
        </w:tc>
      </w:tr>
      <w:tr>
        <w:trPr>
          <w:trHeight w:val="210"/>
        </w:trPr>
        <w:tc>
          <w:tcPr>
            <w:tcW w:w="740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Current debt obligations</w:t>
            </w:r>
          </w:p>
        </w:tc>
        <w:tc>
          <w:tcPr>
            <w:tcW w:w="2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40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Current finance lease liabilities</w:t>
            </w:r>
          </w:p>
        </w:tc>
        <w:tc>
          <w:tcPr>
            <w:tcW w:w="26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210"/>
        </w:trPr>
        <w:tc>
          <w:tcPr>
            <w:tcW w:w="740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Income taxes</w:t>
            </w:r>
          </w:p>
        </w:tc>
        <w:tc>
          <w:tcPr>
            <w:tcW w:w="2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0" w:type="dxa"/>
            <w:vAlign w:val="bottom"/>
          </w:tcPr>
          <w:p>
            <w:pPr>
              <w:spacing w:after="0"/>
              <w:rPr>
                <w:sz w:val="1"/>
                <w:szCs w:val="1"/>
                <w:color w:val="auto"/>
              </w:rPr>
            </w:pPr>
          </w:p>
        </w:tc>
      </w:tr>
      <w:tr>
        <w:trPr>
          <w:trHeight w:val="33"/>
        </w:trPr>
        <w:tc>
          <w:tcPr>
            <w:tcW w:w="74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40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247.3</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261.5</w:t>
            </w:r>
          </w:p>
        </w:tc>
        <w:tc>
          <w:tcPr>
            <w:tcW w:w="0" w:type="dxa"/>
            <w:vAlign w:val="bottom"/>
          </w:tcPr>
          <w:p>
            <w:pPr>
              <w:spacing w:after="0"/>
              <w:rPr>
                <w:sz w:val="1"/>
                <w:szCs w:val="1"/>
                <w:color w:val="auto"/>
              </w:rPr>
            </w:pPr>
          </w:p>
        </w:tc>
      </w:tr>
      <w:tr>
        <w:trPr>
          <w:trHeight w:val="210"/>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Taxes and Other Liabilities</w:t>
            </w:r>
          </w:p>
        </w:tc>
        <w:tc>
          <w:tcPr>
            <w:tcW w:w="2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62.6</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26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1,316.9</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1,388.7</w:t>
            </w:r>
          </w:p>
        </w:tc>
        <w:tc>
          <w:tcPr>
            <w:tcW w:w="0" w:type="dxa"/>
            <w:vAlign w:val="bottom"/>
          </w:tcPr>
          <w:p>
            <w:pPr>
              <w:spacing w:after="0"/>
              <w:rPr>
                <w:sz w:val="1"/>
                <w:szCs w:val="1"/>
                <w:color w:val="auto"/>
              </w:rPr>
            </w:pPr>
          </w:p>
        </w:tc>
      </w:tr>
      <w:tr>
        <w:trPr>
          <w:trHeight w:val="210"/>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 Current Finance Lease Liabilities</w:t>
            </w:r>
          </w:p>
        </w:tc>
        <w:tc>
          <w:tcPr>
            <w:tcW w:w="2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Contingencies (Note 6)</w:t>
            </w:r>
          </w:p>
        </w:tc>
        <w:tc>
          <w:tcPr>
            <w:tcW w:w="26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Embecta Corp. Equity</w:t>
            </w:r>
          </w:p>
        </w:tc>
        <w:tc>
          <w:tcPr>
            <w:tcW w:w="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7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4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Common stock, $0.01 par value</w:t>
            </w:r>
          </w:p>
        </w:tc>
        <w:tc>
          <w:tcPr>
            <w:tcW w:w="26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4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Authorized - 250,000,000</w:t>
            </w:r>
          </w:p>
        </w:tc>
        <w:tc>
          <w:tcPr>
            <w:tcW w:w="260" w:type="dxa"/>
            <w:vAlign w:val="bottom"/>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20" w:type="dxa"/>
            <w:vAlign w:val="bottom"/>
            <w:shd w:val="clear" w:color="auto" w:fill="CCEEFF"/>
          </w:tcPr>
          <w:p>
            <w:pPr>
              <w:spacing w:after="0"/>
              <w:rPr>
                <w:sz w:val="16"/>
                <w:szCs w:val="16"/>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Issued and outstanding - 59,327,677 as of March 31, 2026 and 58,496,113 as of September 30, 2025</w:t>
            </w:r>
          </w:p>
        </w:tc>
        <w:tc>
          <w:tcPr>
            <w:tcW w:w="260" w:type="dxa"/>
            <w:vAlign w:val="bottom"/>
            <w:vMerge w:val="continue"/>
            <w:shd w:val="clear" w:color="auto" w:fill="CCEEFF"/>
          </w:tcPr>
          <w:p>
            <w:pPr>
              <w:spacing w:after="0"/>
              <w:rPr>
                <w:sz w:val="19"/>
                <w:szCs w:val="19"/>
                <w:color w:val="auto"/>
              </w:rPr>
            </w:pPr>
          </w:p>
        </w:tc>
        <w:tc>
          <w:tcPr>
            <w:tcW w:w="16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6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40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40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Accumulated deficit</w:t>
            </w:r>
          </w:p>
        </w:tc>
        <w:tc>
          <w:tcPr>
            <w:tcW w:w="26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(424.7)</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(445.6)</w:t>
            </w:r>
          </w:p>
        </w:tc>
        <w:tc>
          <w:tcPr>
            <w:tcW w:w="0" w:type="dxa"/>
            <w:vAlign w:val="bottom"/>
          </w:tcPr>
          <w:p>
            <w:pPr>
              <w:spacing w:after="0"/>
              <w:rPr>
                <w:sz w:val="1"/>
                <w:szCs w:val="1"/>
                <w:color w:val="auto"/>
              </w:rPr>
            </w:pPr>
          </w:p>
        </w:tc>
      </w:tr>
      <w:tr>
        <w:trPr>
          <w:trHeight w:val="210"/>
        </w:trPr>
        <w:tc>
          <w:tcPr>
            <w:tcW w:w="740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(285.6)</w:t>
            </w:r>
          </w:p>
        </w:tc>
        <w:tc>
          <w:tcPr>
            <w:tcW w:w="0" w:type="dxa"/>
            <w:vAlign w:val="bottom"/>
          </w:tcPr>
          <w:p>
            <w:pPr>
              <w:spacing w:after="0"/>
              <w:rPr>
                <w:sz w:val="1"/>
                <w:szCs w:val="1"/>
                <w:color w:val="auto"/>
              </w:rPr>
            </w:pPr>
          </w:p>
        </w:tc>
      </w:tr>
      <w:tr>
        <w:trPr>
          <w:trHeight w:val="33"/>
        </w:trPr>
        <w:tc>
          <w:tcPr>
            <w:tcW w:w="74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40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Total Equity</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(650.6)</w:t>
            </w:r>
          </w:p>
        </w:tc>
        <w:tc>
          <w:tcPr>
            <w:tcW w:w="0" w:type="dxa"/>
            <w:vAlign w:val="bottom"/>
          </w:tcPr>
          <w:p>
            <w:pPr>
              <w:spacing w:after="0"/>
              <w:rPr>
                <w:sz w:val="1"/>
                <w:szCs w:val="1"/>
                <w:color w:val="auto"/>
              </w:rPr>
            </w:pPr>
          </w:p>
        </w:tc>
      </w:tr>
      <w:tr>
        <w:trPr>
          <w:trHeight w:val="204"/>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26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1,029.3</w:t>
            </w:r>
          </w:p>
        </w:tc>
        <w:tc>
          <w:tcPr>
            <w:tcW w:w="120" w:type="dxa"/>
            <w:vAlign w:val="bottom"/>
          </w:tcPr>
          <w:p>
            <w:pPr>
              <w:spacing w:after="0"/>
              <w:rPr>
                <w:sz w:val="17"/>
                <w:szCs w:val="17"/>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1,090.9</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the Unaudited Condensed Consolidated Financial Statements.</w:t>
      </w:r>
    </w:p>
    <w:p>
      <w:pPr>
        <w:sectPr>
          <w:pgSz w:w="11900" w:h="16838" w:orient="portrait"/>
          <w:cols w:equalWidth="0" w:num="1">
            <w:col w:w="11240"/>
          </w:cols>
          <w:pgMar w:left="320" w:top="226" w:right="339" w:bottom="1440" w:gutter="0" w:footer="0" w:header="0"/>
        </w:sectPr>
      </w:pPr>
    </w:p>
    <w:p>
      <w:pPr>
        <w:spacing w:after="0" w:line="200" w:lineRule="exact"/>
        <w:rPr>
          <w:sz w:val="20"/>
          <w:szCs w:val="20"/>
          <w:color w:val="auto"/>
        </w:rPr>
      </w:pPr>
    </w:p>
    <w:p>
      <w:pPr>
        <w:spacing w:after="0" w:line="2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jc w:val="right"/>
        <w:ind w:right="300"/>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Embecta Corp.</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71"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3880" w:type="dxa"/>
            <w:vAlign w:val="bottom"/>
          </w:tcPr>
          <w:p>
            <w:pPr>
              <w:spacing w:after="0"/>
              <w:rPr>
                <w:sz w:val="16"/>
                <w:szCs w:val="16"/>
                <w:color w:val="auto"/>
              </w:rPr>
            </w:pPr>
          </w:p>
        </w:tc>
        <w:tc>
          <w:tcPr>
            <w:tcW w:w="2100" w:type="dxa"/>
            <w:vAlign w:val="bottom"/>
            <w:gridSpan w:val="3"/>
          </w:tcPr>
          <w:p>
            <w:pPr>
              <w:jc w:val="right"/>
              <w:ind w:right="388"/>
              <w:spacing w:after="0"/>
              <w:rPr>
                <w:sz w:val="20"/>
                <w:szCs w:val="20"/>
                <w:color w:val="auto"/>
              </w:rPr>
            </w:pPr>
            <w:r>
              <w:rPr>
                <w:rFonts w:ascii="Times New Roman" w:cs="Times New Roman" w:eastAsia="Times New Roman" w:hAnsi="Times New Roman"/>
                <w:sz w:val="14"/>
                <w:szCs w:val="14"/>
                <w:color w:val="auto"/>
              </w:rPr>
              <w:t>Common Stock</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88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rPr>
              <w:t>Accumulated</w:t>
            </w: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38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8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Other</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color w:val="auto"/>
              </w:rPr>
              <w:t>Additional Paid-In</w:t>
            </w:r>
          </w:p>
        </w:tc>
        <w:tc>
          <w:tcPr>
            <w:tcW w:w="14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Accumulated</w:t>
            </w:r>
          </w:p>
        </w:tc>
        <w:tc>
          <w:tcPr>
            <w:tcW w:w="100" w:type="dxa"/>
            <w:vAlign w:val="bottom"/>
          </w:tcPr>
          <w:p>
            <w:pPr>
              <w:spacing w:after="0"/>
              <w:rPr>
                <w:sz w:val="14"/>
                <w:szCs w:val="14"/>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Comprehensive</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3880" w:type="dxa"/>
            <w:vAlign w:val="bottom"/>
          </w:tcPr>
          <w:p>
            <w:pPr>
              <w:spacing w:after="0"/>
              <w:rPr>
                <w:sz w:val="17"/>
                <w:szCs w:val="17"/>
                <w:color w:val="auto"/>
              </w:rPr>
            </w:pPr>
          </w:p>
        </w:tc>
        <w:tc>
          <w:tcPr>
            <w:tcW w:w="124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Shares</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Par Value</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w w:val="98"/>
              </w:rPr>
              <w:t>Capital</w:t>
            </w:r>
          </w:p>
        </w:tc>
        <w:tc>
          <w:tcPr>
            <w:tcW w:w="14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Deficit</w:t>
            </w:r>
          </w:p>
        </w:tc>
        <w:tc>
          <w:tcPr>
            <w:tcW w:w="100" w:type="dxa"/>
            <w:vAlign w:val="bottom"/>
          </w:tcPr>
          <w:p>
            <w:pPr>
              <w:spacing w:after="0"/>
              <w:rPr>
                <w:sz w:val="17"/>
                <w:szCs w:val="17"/>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(Loss) Income</w:t>
            </w:r>
          </w:p>
        </w:tc>
        <w:tc>
          <w:tcPr>
            <w:tcW w:w="240" w:type="dxa"/>
            <w:vAlign w:val="bottom"/>
          </w:tcPr>
          <w:p>
            <w:pPr>
              <w:spacing w:after="0"/>
              <w:rPr>
                <w:sz w:val="17"/>
                <w:szCs w:val="17"/>
                <w:color w:val="auto"/>
              </w:rPr>
            </w:pPr>
          </w:p>
        </w:tc>
        <w:tc>
          <w:tcPr>
            <w:tcW w:w="90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23"/>
        </w:trPr>
        <w:tc>
          <w:tcPr>
            <w:tcW w:w="38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January 1, 2025</w:t>
            </w:r>
          </w:p>
        </w:tc>
        <w:tc>
          <w:tcPr>
            <w:tcW w:w="1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58,131,759</w:t>
            </w:r>
          </w:p>
        </w:tc>
        <w:tc>
          <w:tcPr>
            <w:tcW w:w="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708"/>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58.2</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(507.9)</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(319.7)</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(768.8)</w:t>
            </w:r>
          </w:p>
        </w:tc>
        <w:tc>
          <w:tcPr>
            <w:tcW w:w="0" w:type="dxa"/>
            <w:vAlign w:val="bottom"/>
          </w:tcPr>
          <w:p>
            <w:pPr>
              <w:spacing w:after="0"/>
              <w:rPr>
                <w:sz w:val="1"/>
                <w:szCs w:val="1"/>
                <w:color w:val="auto"/>
              </w:rPr>
            </w:pPr>
          </w:p>
        </w:tc>
      </w:tr>
      <w:tr>
        <w:trPr>
          <w:trHeight w:val="193"/>
        </w:trPr>
        <w:tc>
          <w:tcPr>
            <w:tcW w:w="3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6"/>
                <w:szCs w:val="16"/>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0" w:type="dxa"/>
            <w:vAlign w:val="bottom"/>
          </w:tcPr>
          <w:p>
            <w:pPr>
              <w:spacing w:after="0"/>
              <w:rPr>
                <w:sz w:val="1"/>
                <w:szCs w:val="1"/>
                <w:color w:val="auto"/>
              </w:rPr>
            </w:pPr>
          </w:p>
        </w:tc>
      </w:tr>
      <w:tr>
        <w:trPr>
          <w:trHeight w:val="23"/>
        </w:trPr>
        <w:tc>
          <w:tcPr>
            <w:tcW w:w="38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8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comprehensive income, net of taxes</w:t>
            </w: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11.4</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0" w:type="dxa"/>
            <w:vAlign w:val="bottom"/>
          </w:tcPr>
          <w:p>
            <w:pPr>
              <w:spacing w:after="0"/>
              <w:rPr>
                <w:sz w:val="1"/>
                <w:szCs w:val="1"/>
                <w:color w:val="auto"/>
              </w:rPr>
            </w:pPr>
          </w:p>
        </w:tc>
      </w:tr>
      <w:tr>
        <w:trPr>
          <w:trHeight w:val="193"/>
        </w:trPr>
        <w:tc>
          <w:tcPr>
            <w:tcW w:w="3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Stock-based compensation plans</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6"/>
                <w:szCs w:val="16"/>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0" w:type="dxa"/>
            <w:vAlign w:val="bottom"/>
          </w:tcPr>
          <w:p>
            <w:pPr>
              <w:spacing w:after="0"/>
              <w:rPr>
                <w:sz w:val="1"/>
                <w:szCs w:val="1"/>
                <w:color w:val="auto"/>
              </w:rPr>
            </w:pPr>
          </w:p>
        </w:tc>
      </w:tr>
      <w:tr>
        <w:trPr>
          <w:trHeight w:val="23"/>
        </w:trPr>
        <w:tc>
          <w:tcPr>
            <w:tcW w:w="38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8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Dividends and dividend equivalents declared ($0.15 per share)</w:t>
            </w: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0" w:type="dxa"/>
            <w:vAlign w:val="bottom"/>
          </w:tcPr>
          <w:p>
            <w:pPr>
              <w:spacing w:after="0"/>
              <w:rPr>
                <w:sz w:val="1"/>
                <w:szCs w:val="1"/>
                <w:color w:val="auto"/>
              </w:rPr>
            </w:pPr>
          </w:p>
        </w:tc>
      </w:tr>
      <w:tr>
        <w:trPr>
          <w:trHeight w:val="193"/>
        </w:trPr>
        <w:tc>
          <w:tcPr>
            <w:tcW w:w="3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Issuance of shares related to stock-based compensation plans</w:t>
            </w: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195,256</w:t>
            </w: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0" w:type="dxa"/>
            <w:vAlign w:val="bottom"/>
          </w:tcPr>
          <w:p>
            <w:pPr>
              <w:spacing w:after="0"/>
              <w:rPr>
                <w:sz w:val="1"/>
                <w:szCs w:val="1"/>
                <w:color w:val="auto"/>
              </w:rPr>
            </w:pPr>
          </w:p>
        </w:tc>
      </w:tr>
      <w:tr>
        <w:trPr>
          <w:trHeight w:val="23"/>
        </w:trPr>
        <w:tc>
          <w:tcPr>
            <w:tcW w:w="38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March 31, 2025</w:t>
            </w:r>
          </w:p>
        </w:tc>
        <w:tc>
          <w:tcPr>
            <w:tcW w:w="1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58,327,015</w:t>
            </w:r>
          </w:p>
        </w:tc>
        <w:tc>
          <w:tcPr>
            <w:tcW w:w="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708"/>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(493.5)</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(308.3)</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(736.2)</w:t>
            </w:r>
          </w:p>
        </w:tc>
        <w:tc>
          <w:tcPr>
            <w:tcW w:w="0" w:type="dxa"/>
            <w:vAlign w:val="bottom"/>
          </w:tcPr>
          <w:p>
            <w:pPr>
              <w:spacing w:after="0"/>
              <w:rPr>
                <w:sz w:val="1"/>
                <w:szCs w:val="1"/>
                <w:color w:val="auto"/>
              </w:rPr>
            </w:pPr>
          </w:p>
        </w:tc>
      </w:tr>
      <w:tr>
        <w:trPr>
          <w:trHeight w:val="250"/>
        </w:trPr>
        <w:tc>
          <w:tcPr>
            <w:tcW w:w="3880" w:type="dxa"/>
            <w:vAlign w:val="bottom"/>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January 1, 2026</w:t>
            </w:r>
          </w:p>
        </w:tc>
        <w:tc>
          <w:tcPr>
            <w:tcW w:w="1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59,211,992</w:t>
            </w:r>
          </w:p>
        </w:tc>
        <w:tc>
          <w:tcPr>
            <w:tcW w:w="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708"/>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81.8</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(411.1)</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(284.4)</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(613.1)</w:t>
            </w:r>
          </w:p>
        </w:tc>
        <w:tc>
          <w:tcPr>
            <w:tcW w:w="0" w:type="dxa"/>
            <w:vAlign w:val="bottom"/>
          </w:tcPr>
          <w:p>
            <w:pPr>
              <w:spacing w:after="0"/>
              <w:rPr>
                <w:sz w:val="1"/>
                <w:szCs w:val="1"/>
                <w:color w:val="auto"/>
              </w:rPr>
            </w:pPr>
          </w:p>
        </w:tc>
      </w:tr>
      <w:tr>
        <w:trPr>
          <w:trHeight w:val="193"/>
        </w:trPr>
        <w:tc>
          <w:tcPr>
            <w:tcW w:w="3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Loss</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6"/>
                <w:szCs w:val="16"/>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23"/>
        </w:trPr>
        <w:tc>
          <w:tcPr>
            <w:tcW w:w="38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8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comprehensive (loss), net of taxes</w:t>
            </w: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0" w:type="dxa"/>
            <w:vAlign w:val="bottom"/>
          </w:tcPr>
          <w:p>
            <w:pPr>
              <w:spacing w:after="0"/>
              <w:rPr>
                <w:sz w:val="1"/>
                <w:szCs w:val="1"/>
                <w:color w:val="auto"/>
              </w:rPr>
            </w:pPr>
          </w:p>
        </w:tc>
      </w:tr>
      <w:tr>
        <w:trPr>
          <w:trHeight w:val="193"/>
        </w:trPr>
        <w:tc>
          <w:tcPr>
            <w:tcW w:w="3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Stock-based compensation plans</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6"/>
                <w:szCs w:val="16"/>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r>
        <w:trPr>
          <w:trHeight w:val="23"/>
        </w:trPr>
        <w:tc>
          <w:tcPr>
            <w:tcW w:w="38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8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Dividends and dividend equivalents declared ($0.15 per share)</w:t>
            </w: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0" w:type="dxa"/>
            <w:vAlign w:val="bottom"/>
          </w:tcPr>
          <w:p>
            <w:pPr>
              <w:spacing w:after="0"/>
              <w:rPr>
                <w:sz w:val="1"/>
                <w:szCs w:val="1"/>
                <w:color w:val="auto"/>
              </w:rPr>
            </w:pPr>
          </w:p>
        </w:tc>
      </w:tr>
      <w:tr>
        <w:trPr>
          <w:trHeight w:val="193"/>
        </w:trPr>
        <w:tc>
          <w:tcPr>
            <w:tcW w:w="3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Issuance of shares related to stock-based compensation plans</w:t>
            </w: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115,685</w:t>
            </w: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23"/>
        </w:trPr>
        <w:tc>
          <w:tcPr>
            <w:tcW w:w="38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March 31, 2026</w:t>
            </w:r>
          </w:p>
        </w:tc>
        <w:tc>
          <w:tcPr>
            <w:tcW w:w="1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59,327,677</w:t>
            </w:r>
          </w:p>
        </w:tc>
        <w:tc>
          <w:tcPr>
            <w:tcW w:w="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708"/>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88.0</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(424.7)</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(290.0)</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(626.1)</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7980"/>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137795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3880" w:type="dxa"/>
            <w:vAlign w:val="bottom"/>
          </w:tcPr>
          <w:p>
            <w:pPr>
              <w:spacing w:after="0"/>
              <w:rPr>
                <w:sz w:val="16"/>
                <w:szCs w:val="16"/>
                <w:color w:val="auto"/>
              </w:rPr>
            </w:pPr>
          </w:p>
        </w:tc>
        <w:tc>
          <w:tcPr>
            <w:tcW w:w="2100" w:type="dxa"/>
            <w:vAlign w:val="bottom"/>
            <w:gridSpan w:val="3"/>
          </w:tcPr>
          <w:p>
            <w:pPr>
              <w:jc w:val="right"/>
              <w:ind w:right="388"/>
              <w:spacing w:after="0"/>
              <w:rPr>
                <w:sz w:val="20"/>
                <w:szCs w:val="20"/>
                <w:color w:val="auto"/>
              </w:rPr>
            </w:pPr>
            <w:r>
              <w:rPr>
                <w:rFonts w:ascii="Times New Roman" w:cs="Times New Roman" w:eastAsia="Times New Roman" w:hAnsi="Times New Roman"/>
                <w:sz w:val="14"/>
                <w:szCs w:val="14"/>
                <w:color w:val="auto"/>
              </w:rPr>
              <w:t>Common Stock</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8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color w:val="auto"/>
              </w:rPr>
              <w:t>Accumulated</w:t>
            </w: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38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Other</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color w:val="auto"/>
              </w:rPr>
              <w:t>Additional Paid-In</w:t>
            </w:r>
          </w:p>
        </w:tc>
        <w:tc>
          <w:tcPr>
            <w:tcW w:w="14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Accumulated</w:t>
            </w:r>
          </w:p>
        </w:tc>
        <w:tc>
          <w:tcPr>
            <w:tcW w:w="100" w:type="dxa"/>
            <w:vAlign w:val="bottom"/>
          </w:tcPr>
          <w:p>
            <w:pPr>
              <w:spacing w:after="0"/>
              <w:rPr>
                <w:sz w:val="14"/>
                <w:szCs w:val="14"/>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Comprehensive</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3880" w:type="dxa"/>
            <w:vAlign w:val="bottom"/>
          </w:tcPr>
          <w:p>
            <w:pPr>
              <w:spacing w:after="0"/>
              <w:rPr>
                <w:sz w:val="17"/>
                <w:szCs w:val="17"/>
                <w:color w:val="auto"/>
              </w:rPr>
            </w:pPr>
          </w:p>
        </w:tc>
        <w:tc>
          <w:tcPr>
            <w:tcW w:w="122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Shares</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Par Value</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Capital</w:t>
            </w:r>
          </w:p>
        </w:tc>
        <w:tc>
          <w:tcPr>
            <w:tcW w:w="140" w:type="dxa"/>
            <w:vAlign w:val="bottom"/>
          </w:tcPr>
          <w:p>
            <w:pPr>
              <w:spacing w:after="0"/>
              <w:rPr>
                <w:sz w:val="17"/>
                <w:szCs w:val="17"/>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Deficit</w:t>
            </w:r>
          </w:p>
        </w:tc>
        <w:tc>
          <w:tcPr>
            <w:tcW w:w="100" w:type="dxa"/>
            <w:vAlign w:val="bottom"/>
          </w:tcPr>
          <w:p>
            <w:pPr>
              <w:spacing w:after="0"/>
              <w:rPr>
                <w:sz w:val="17"/>
                <w:szCs w:val="17"/>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(Loss) Income</w:t>
            </w:r>
          </w:p>
        </w:tc>
        <w:tc>
          <w:tcPr>
            <w:tcW w:w="260" w:type="dxa"/>
            <w:vAlign w:val="bottom"/>
          </w:tcPr>
          <w:p>
            <w:pPr>
              <w:spacing w:after="0"/>
              <w:rPr>
                <w:sz w:val="17"/>
                <w:szCs w:val="17"/>
                <w:color w:val="auto"/>
              </w:rPr>
            </w:pPr>
          </w:p>
        </w:tc>
        <w:tc>
          <w:tcPr>
            <w:tcW w:w="88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23"/>
        </w:trPr>
        <w:tc>
          <w:tcPr>
            <w:tcW w:w="38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October 1, 2024</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57,707,285</w:t>
            </w:r>
          </w:p>
        </w:tc>
        <w:tc>
          <w:tcPr>
            <w:tcW w:w="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70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(498.6)</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(292.8)</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(738.3)</w:t>
            </w:r>
          </w:p>
        </w:tc>
        <w:tc>
          <w:tcPr>
            <w:tcW w:w="0" w:type="dxa"/>
            <w:vAlign w:val="bottom"/>
          </w:tcPr>
          <w:p>
            <w:pPr>
              <w:spacing w:after="0"/>
              <w:rPr>
                <w:sz w:val="1"/>
                <w:szCs w:val="1"/>
                <w:color w:val="auto"/>
              </w:rPr>
            </w:pPr>
          </w:p>
        </w:tc>
      </w:tr>
      <w:tr>
        <w:trPr>
          <w:trHeight w:val="193"/>
        </w:trPr>
        <w:tc>
          <w:tcPr>
            <w:tcW w:w="3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spacing w:after="0"/>
              <w:rPr>
                <w:sz w:val="16"/>
                <w:szCs w:val="16"/>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0" w:type="dxa"/>
            <w:vAlign w:val="bottom"/>
          </w:tcPr>
          <w:p>
            <w:pPr>
              <w:spacing w:after="0"/>
              <w:rPr>
                <w:sz w:val="1"/>
                <w:szCs w:val="1"/>
                <w:color w:val="auto"/>
              </w:rPr>
            </w:pPr>
          </w:p>
        </w:tc>
      </w:tr>
      <w:tr>
        <w:trPr>
          <w:trHeight w:val="23"/>
        </w:trPr>
        <w:tc>
          <w:tcPr>
            <w:tcW w:w="38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8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comprehensive (loss), net of taxes</w:t>
            </w:r>
          </w:p>
        </w:tc>
        <w:tc>
          <w:tcPr>
            <w:tcW w:w="1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0" w:type="dxa"/>
            <w:vAlign w:val="bottom"/>
          </w:tcPr>
          <w:p>
            <w:pPr>
              <w:spacing w:after="0"/>
              <w:rPr>
                <w:sz w:val="1"/>
                <w:szCs w:val="1"/>
                <w:color w:val="auto"/>
              </w:rPr>
            </w:pPr>
          </w:p>
        </w:tc>
      </w:tr>
      <w:tr>
        <w:trPr>
          <w:trHeight w:val="193"/>
        </w:trPr>
        <w:tc>
          <w:tcPr>
            <w:tcW w:w="3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Stock-based compensation plans</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spacing w:after="0"/>
              <w:rPr>
                <w:sz w:val="16"/>
                <w:szCs w:val="16"/>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0" w:type="dxa"/>
            <w:vAlign w:val="bottom"/>
          </w:tcPr>
          <w:p>
            <w:pPr>
              <w:spacing w:after="0"/>
              <w:rPr>
                <w:sz w:val="1"/>
                <w:szCs w:val="1"/>
                <w:color w:val="auto"/>
              </w:rPr>
            </w:pPr>
          </w:p>
        </w:tc>
      </w:tr>
      <w:tr>
        <w:trPr>
          <w:trHeight w:val="23"/>
        </w:trPr>
        <w:tc>
          <w:tcPr>
            <w:tcW w:w="38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8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Dividends and dividend equivalents declared ($0.30 per share)</w:t>
            </w:r>
          </w:p>
        </w:tc>
        <w:tc>
          <w:tcPr>
            <w:tcW w:w="1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0" w:type="dxa"/>
            <w:vAlign w:val="bottom"/>
          </w:tcPr>
          <w:p>
            <w:pPr>
              <w:spacing w:after="0"/>
              <w:rPr>
                <w:sz w:val="1"/>
                <w:szCs w:val="1"/>
                <w:color w:val="auto"/>
              </w:rPr>
            </w:pPr>
          </w:p>
        </w:tc>
      </w:tr>
      <w:tr>
        <w:trPr>
          <w:trHeight w:val="193"/>
        </w:trPr>
        <w:tc>
          <w:tcPr>
            <w:tcW w:w="3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Issuance of shares related to stock-based compensation plans</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619,730</w:t>
            </w: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23"/>
        </w:trPr>
        <w:tc>
          <w:tcPr>
            <w:tcW w:w="38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March 31, 2025</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58,327,015</w:t>
            </w:r>
          </w:p>
        </w:tc>
        <w:tc>
          <w:tcPr>
            <w:tcW w:w="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70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(493.5)</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(308.3)</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(736.2)</w:t>
            </w:r>
          </w:p>
        </w:tc>
        <w:tc>
          <w:tcPr>
            <w:tcW w:w="0" w:type="dxa"/>
            <w:vAlign w:val="bottom"/>
          </w:tcPr>
          <w:p>
            <w:pPr>
              <w:spacing w:after="0"/>
              <w:rPr>
                <w:sz w:val="1"/>
                <w:szCs w:val="1"/>
                <w:color w:val="auto"/>
              </w:rPr>
            </w:pPr>
          </w:p>
        </w:tc>
      </w:tr>
      <w:tr>
        <w:trPr>
          <w:trHeight w:val="196"/>
        </w:trPr>
        <w:tc>
          <w:tcPr>
            <w:tcW w:w="388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October 1, 2025</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58,496,113</w:t>
            </w:r>
          </w:p>
        </w:tc>
        <w:tc>
          <w:tcPr>
            <w:tcW w:w="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70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(445.6)</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(285.6)</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(650.6)</w:t>
            </w:r>
          </w:p>
        </w:tc>
        <w:tc>
          <w:tcPr>
            <w:tcW w:w="0" w:type="dxa"/>
            <w:vAlign w:val="bottom"/>
          </w:tcPr>
          <w:p>
            <w:pPr>
              <w:spacing w:after="0"/>
              <w:rPr>
                <w:sz w:val="1"/>
                <w:szCs w:val="1"/>
                <w:color w:val="auto"/>
              </w:rPr>
            </w:pPr>
          </w:p>
        </w:tc>
      </w:tr>
      <w:tr>
        <w:trPr>
          <w:trHeight w:val="193"/>
        </w:trPr>
        <w:tc>
          <w:tcPr>
            <w:tcW w:w="3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spacing w:after="0"/>
              <w:rPr>
                <w:sz w:val="16"/>
                <w:szCs w:val="16"/>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3"/>
        </w:trPr>
        <w:tc>
          <w:tcPr>
            <w:tcW w:w="38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8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comprehensive (loss), net of taxes</w:t>
            </w:r>
          </w:p>
        </w:tc>
        <w:tc>
          <w:tcPr>
            <w:tcW w:w="1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193"/>
        </w:trPr>
        <w:tc>
          <w:tcPr>
            <w:tcW w:w="3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Stock-based compensation plans</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spacing w:after="0"/>
              <w:rPr>
                <w:sz w:val="16"/>
                <w:szCs w:val="16"/>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0" w:type="dxa"/>
            <w:vAlign w:val="bottom"/>
          </w:tcPr>
          <w:p>
            <w:pPr>
              <w:spacing w:after="0"/>
              <w:rPr>
                <w:sz w:val="1"/>
                <w:szCs w:val="1"/>
                <w:color w:val="auto"/>
              </w:rPr>
            </w:pPr>
          </w:p>
        </w:tc>
      </w:tr>
      <w:tr>
        <w:trPr>
          <w:trHeight w:val="23"/>
        </w:trPr>
        <w:tc>
          <w:tcPr>
            <w:tcW w:w="38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8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Dividends and dividend equivalents declared ($0.30 per share)</w:t>
            </w:r>
          </w:p>
        </w:tc>
        <w:tc>
          <w:tcPr>
            <w:tcW w:w="1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0" w:type="dxa"/>
            <w:vAlign w:val="bottom"/>
          </w:tcPr>
          <w:p>
            <w:pPr>
              <w:spacing w:after="0"/>
              <w:rPr>
                <w:sz w:val="1"/>
                <w:szCs w:val="1"/>
                <w:color w:val="auto"/>
              </w:rPr>
            </w:pPr>
          </w:p>
        </w:tc>
      </w:tr>
      <w:tr>
        <w:trPr>
          <w:trHeight w:val="193"/>
        </w:trPr>
        <w:tc>
          <w:tcPr>
            <w:tcW w:w="3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Issuance of shares related to stock-based compensation plans</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831,564</w:t>
            </w: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0" w:type="dxa"/>
            <w:vAlign w:val="bottom"/>
          </w:tcPr>
          <w:p>
            <w:pPr>
              <w:spacing w:after="0"/>
              <w:rPr>
                <w:sz w:val="1"/>
                <w:szCs w:val="1"/>
                <w:color w:val="auto"/>
              </w:rPr>
            </w:pPr>
          </w:p>
        </w:tc>
      </w:tr>
      <w:tr>
        <w:trPr>
          <w:trHeight w:val="23"/>
        </w:trPr>
        <w:tc>
          <w:tcPr>
            <w:tcW w:w="38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March 31, 2026</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59,327,677</w:t>
            </w:r>
          </w:p>
        </w:tc>
        <w:tc>
          <w:tcPr>
            <w:tcW w:w="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70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88.0</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(424.7)</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(290.0)</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(626.1)</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7980"/>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137795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6"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Embecta Corp.</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54" w:lineRule="exact"/>
        <w:rPr>
          <w:sz w:val="20"/>
          <w:szCs w:val="20"/>
          <w:color w:val="auto"/>
        </w:rPr>
      </w:pPr>
    </w:p>
    <w:p>
      <w:pPr>
        <w:jc w:val="center"/>
        <w:ind w:left="7920"/>
        <w:spacing w:after="0"/>
        <w:rPr>
          <w:sz w:val="20"/>
          <w:szCs w:val="20"/>
          <w:color w:val="auto"/>
        </w:rPr>
      </w:pPr>
      <w:r>
        <w:rPr>
          <w:rFonts w:ascii="Times New Roman" w:cs="Times New Roman" w:eastAsia="Times New Roman" w:hAnsi="Times New Roman"/>
          <w:sz w:val="16"/>
          <w:szCs w:val="16"/>
          <w:b w:val="1"/>
          <w:bCs w:val="1"/>
          <w:color w:val="auto"/>
        </w:rPr>
        <w:t>Six Months Ended</w:t>
      </w:r>
    </w:p>
    <w:p>
      <w:pPr>
        <w:jc w:val="center"/>
        <w:ind w:left="792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8890</wp:posOffset>
            </wp:positionV>
            <wp:extent cx="209169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940" w:type="dxa"/>
            <w:vAlign w:val="bottom"/>
          </w:tcPr>
          <w:p>
            <w:pPr>
              <w:spacing w:after="0"/>
              <w:rPr>
                <w:sz w:val="18"/>
                <w:szCs w:val="18"/>
                <w:color w:val="auto"/>
              </w:rPr>
            </w:pPr>
          </w:p>
        </w:tc>
        <w:tc>
          <w:tcPr>
            <w:tcW w:w="10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96"/>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10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33"/>
        </w:trPr>
        <w:tc>
          <w:tcPr>
            <w:tcW w:w="79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3"/>
        </w:trPr>
        <w:tc>
          <w:tcPr>
            <w:tcW w:w="79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Income</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w:t>
            </w:r>
          </w:p>
        </w:tc>
      </w:tr>
      <w:tr>
        <w:trPr>
          <w:trHeight w:val="210"/>
        </w:trPr>
        <w:tc>
          <w:tcPr>
            <w:tcW w:w="79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Adjustments to net income to derive net cash provided by operating activities:</w:t>
            </w:r>
          </w:p>
        </w:tc>
        <w:tc>
          <w:tcPr>
            <w:tcW w:w="10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79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3"/>
        </w:trPr>
        <w:tc>
          <w:tcPr>
            <w:tcW w:w="794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6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w:t>
            </w:r>
          </w:p>
        </w:tc>
      </w:tr>
      <w:tr>
        <w:trPr>
          <w:trHeight w:val="210"/>
        </w:trPr>
        <w:tc>
          <w:tcPr>
            <w:tcW w:w="794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10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r>
      <w:tr>
        <w:trPr>
          <w:trHeight w:val="33"/>
        </w:trPr>
        <w:tc>
          <w:tcPr>
            <w:tcW w:w="79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3"/>
        </w:trPr>
        <w:tc>
          <w:tcPr>
            <w:tcW w:w="794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Impairment of property, plant and equipment</w:t>
            </w:r>
          </w:p>
        </w:tc>
        <w:tc>
          <w:tcPr>
            <w:tcW w:w="106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r>
      <w:tr>
        <w:trPr>
          <w:trHeight w:val="210"/>
        </w:trPr>
        <w:tc>
          <w:tcPr>
            <w:tcW w:w="794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Gain on sale of certain intellectual property rights and long-lived assets</w:t>
            </w:r>
          </w:p>
        </w:tc>
        <w:tc>
          <w:tcPr>
            <w:tcW w:w="10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79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3"/>
        </w:trPr>
        <w:tc>
          <w:tcPr>
            <w:tcW w:w="794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Amortization of cloud computing arrangements</w:t>
            </w:r>
          </w:p>
        </w:tc>
        <w:tc>
          <w:tcPr>
            <w:tcW w:w="106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r>
      <w:tr>
        <w:trPr>
          <w:trHeight w:val="210"/>
        </w:trPr>
        <w:tc>
          <w:tcPr>
            <w:tcW w:w="794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w:t>
            </w:r>
          </w:p>
        </w:tc>
      </w:tr>
      <w:tr>
        <w:trPr>
          <w:trHeight w:val="33"/>
        </w:trPr>
        <w:tc>
          <w:tcPr>
            <w:tcW w:w="79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3"/>
        </w:trPr>
        <w:tc>
          <w:tcPr>
            <w:tcW w:w="794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Deferred income taxes</w:t>
            </w:r>
          </w:p>
        </w:tc>
        <w:tc>
          <w:tcPr>
            <w:tcW w:w="106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r>
      <w:tr>
        <w:trPr>
          <w:trHeight w:val="210"/>
        </w:trPr>
        <w:tc>
          <w:tcPr>
            <w:tcW w:w="794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Change in operating assets and liabilities:</w:t>
            </w:r>
          </w:p>
        </w:tc>
        <w:tc>
          <w:tcPr>
            <w:tcW w:w="10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79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3"/>
        </w:trPr>
        <w:tc>
          <w:tcPr>
            <w:tcW w:w="794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Trade receivables, net</w:t>
            </w:r>
          </w:p>
        </w:tc>
        <w:tc>
          <w:tcPr>
            <w:tcW w:w="106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r>
      <w:tr>
        <w:trPr>
          <w:trHeight w:val="210"/>
        </w:trPr>
        <w:tc>
          <w:tcPr>
            <w:tcW w:w="794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Inventories</w:t>
            </w:r>
          </w:p>
        </w:tc>
        <w:tc>
          <w:tcPr>
            <w:tcW w:w="10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33"/>
        </w:trPr>
        <w:tc>
          <w:tcPr>
            <w:tcW w:w="79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3"/>
        </w:trPr>
        <w:tc>
          <w:tcPr>
            <w:tcW w:w="794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Due from/due to Becton, Dickinson and Company</w:t>
            </w:r>
          </w:p>
        </w:tc>
        <w:tc>
          <w:tcPr>
            <w:tcW w:w="106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w:t>
            </w:r>
          </w:p>
        </w:tc>
      </w:tr>
      <w:tr>
        <w:trPr>
          <w:trHeight w:val="210"/>
        </w:trPr>
        <w:tc>
          <w:tcPr>
            <w:tcW w:w="794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Prepaid expenses and other</w:t>
            </w:r>
          </w:p>
        </w:tc>
        <w:tc>
          <w:tcPr>
            <w:tcW w:w="10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w:t>
            </w:r>
          </w:p>
        </w:tc>
      </w:tr>
      <w:tr>
        <w:trPr>
          <w:trHeight w:val="33"/>
        </w:trPr>
        <w:tc>
          <w:tcPr>
            <w:tcW w:w="79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3"/>
        </w:trPr>
        <w:tc>
          <w:tcPr>
            <w:tcW w:w="794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Accounts payable, accrued expenses and other current liabilities</w:t>
            </w:r>
          </w:p>
        </w:tc>
        <w:tc>
          <w:tcPr>
            <w:tcW w:w="106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w:t>
            </w:r>
          </w:p>
        </w:tc>
      </w:tr>
      <w:tr>
        <w:trPr>
          <w:trHeight w:val="210"/>
        </w:trPr>
        <w:tc>
          <w:tcPr>
            <w:tcW w:w="794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Income and other net taxes payable</w:t>
            </w:r>
          </w:p>
        </w:tc>
        <w:tc>
          <w:tcPr>
            <w:tcW w:w="10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w:t>
            </w:r>
          </w:p>
        </w:tc>
      </w:tr>
      <w:tr>
        <w:trPr>
          <w:trHeight w:val="33"/>
        </w:trPr>
        <w:tc>
          <w:tcPr>
            <w:tcW w:w="79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7940" w:type="dxa"/>
            <w:vAlign w:val="bottom"/>
            <w:tcBorders>
              <w:bottom w:val="single" w:sz="8" w:color="CCEEFF"/>
            </w:tcBorders>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Other assets and liabilities, net</w:t>
            </w:r>
          </w:p>
        </w:tc>
        <w:tc>
          <w:tcPr>
            <w:tcW w:w="10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04"/>
        </w:trPr>
        <w:tc>
          <w:tcPr>
            <w:tcW w:w="79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060" w:type="dxa"/>
            <w:vAlign w:val="bottom"/>
            <w:tcBorders>
              <w:top w:val="single" w:sz="8" w:color="auto"/>
            </w:tcBorders>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48.3</w:t>
            </w:r>
          </w:p>
        </w:tc>
        <w:tc>
          <w:tcPr>
            <w:tcW w:w="100" w:type="dxa"/>
            <w:vAlign w:val="bottom"/>
          </w:tcPr>
          <w:p>
            <w:pPr>
              <w:spacing w:after="0"/>
              <w:rPr>
                <w:sz w:val="17"/>
                <w:szCs w:val="17"/>
                <w:color w:val="auto"/>
              </w:rPr>
            </w:pPr>
          </w:p>
        </w:tc>
        <w:tc>
          <w:tcPr>
            <w:tcW w:w="38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w:t>
            </w:r>
          </w:p>
        </w:tc>
      </w:tr>
      <w:tr>
        <w:trPr>
          <w:trHeight w:val="33"/>
        </w:trPr>
        <w:tc>
          <w:tcPr>
            <w:tcW w:w="79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3"/>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10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r>
      <w:tr>
        <w:trPr>
          <w:trHeight w:val="210"/>
        </w:trPr>
        <w:tc>
          <w:tcPr>
            <w:tcW w:w="794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Capital expenditures</w:t>
            </w:r>
          </w:p>
        </w:tc>
        <w:tc>
          <w:tcPr>
            <w:tcW w:w="1060" w:type="dxa"/>
            <w:vAlign w:val="bottom"/>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33"/>
        </w:trPr>
        <w:tc>
          <w:tcPr>
            <w:tcW w:w="79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794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Proceeds from the sale of certain intellectual property rights and long-lived assets</w:t>
            </w:r>
          </w:p>
        </w:tc>
        <w:tc>
          <w:tcPr>
            <w:tcW w:w="10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79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cash provided by (used for) investing activities</w:t>
            </w:r>
          </w:p>
        </w:tc>
        <w:tc>
          <w:tcPr>
            <w:tcW w:w="1060" w:type="dxa"/>
            <w:vAlign w:val="bottom"/>
            <w:tcBorders>
              <w:top w:val="single" w:sz="8" w:color="auto"/>
            </w:tcBorders>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tcPr>
          <w:p>
            <w:pPr>
              <w:spacing w:after="0"/>
              <w:rPr>
                <w:sz w:val="17"/>
                <w:szCs w:val="17"/>
                <w:color w:val="auto"/>
              </w:rPr>
            </w:pPr>
          </w:p>
        </w:tc>
        <w:tc>
          <w:tcPr>
            <w:tcW w:w="38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33"/>
        </w:trPr>
        <w:tc>
          <w:tcPr>
            <w:tcW w:w="79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3"/>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10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r>
      <w:tr>
        <w:trPr>
          <w:trHeight w:val="210"/>
        </w:trPr>
        <w:tc>
          <w:tcPr>
            <w:tcW w:w="794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Payments on long-term debt</w:t>
            </w:r>
          </w:p>
        </w:tc>
        <w:tc>
          <w:tcPr>
            <w:tcW w:w="1060" w:type="dxa"/>
            <w:vAlign w:val="bottom"/>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(59.8)</w:t>
            </w:r>
          </w:p>
        </w:tc>
      </w:tr>
      <w:tr>
        <w:trPr>
          <w:trHeight w:val="33"/>
        </w:trPr>
        <w:tc>
          <w:tcPr>
            <w:tcW w:w="79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3"/>
        </w:trPr>
        <w:tc>
          <w:tcPr>
            <w:tcW w:w="794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Payments related to tax withholding for stock-based compensation</w:t>
            </w:r>
          </w:p>
        </w:tc>
        <w:tc>
          <w:tcPr>
            <w:tcW w:w="106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210"/>
        </w:trPr>
        <w:tc>
          <w:tcPr>
            <w:tcW w:w="794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Payments on finance lease</w:t>
            </w:r>
          </w:p>
        </w:tc>
        <w:tc>
          <w:tcPr>
            <w:tcW w:w="10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r>
      <w:tr>
        <w:trPr>
          <w:trHeight w:val="33"/>
        </w:trPr>
        <w:tc>
          <w:tcPr>
            <w:tcW w:w="79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3"/>
        </w:trPr>
        <w:tc>
          <w:tcPr>
            <w:tcW w:w="794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Dividend payments</w:t>
            </w:r>
          </w:p>
        </w:tc>
        <w:tc>
          <w:tcPr>
            <w:tcW w:w="106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w:t>
            </w:r>
          </w:p>
        </w:tc>
      </w:tr>
      <w:tr>
        <w:trPr>
          <w:trHeight w:val="210"/>
        </w:trPr>
        <w:tc>
          <w:tcPr>
            <w:tcW w:w="794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Change in unremitted cash collections from servicing factored receivables</w:t>
            </w:r>
          </w:p>
        </w:tc>
        <w:tc>
          <w:tcPr>
            <w:tcW w:w="10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79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79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cash used for financing activities</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(82.5)</w:t>
            </w:r>
          </w:p>
        </w:tc>
      </w:tr>
      <w:tr>
        <w:trPr>
          <w:trHeight w:val="204"/>
        </w:trPr>
        <w:tc>
          <w:tcPr>
            <w:tcW w:w="79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Effect of exchange rate changes on cash and equivalents and restricted cash</w:t>
            </w:r>
          </w:p>
        </w:tc>
        <w:tc>
          <w:tcPr>
            <w:tcW w:w="106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w:t>
            </w:r>
          </w:p>
        </w:tc>
      </w:tr>
      <w:tr>
        <w:trPr>
          <w:trHeight w:val="33"/>
        </w:trPr>
        <w:tc>
          <w:tcPr>
            <w:tcW w:w="79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79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Change in Cash and equivalents and restricted cash</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w:t>
            </w:r>
          </w:p>
        </w:tc>
      </w:tr>
      <w:tr>
        <w:trPr>
          <w:trHeight w:val="210"/>
        </w:trPr>
        <w:tc>
          <w:tcPr>
            <w:tcW w:w="79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Opening Cash and equivalents and restricted cash</w:t>
            </w:r>
          </w:p>
        </w:tc>
        <w:tc>
          <w:tcPr>
            <w:tcW w:w="10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274.2</w:t>
            </w:r>
          </w:p>
        </w:tc>
      </w:tr>
      <w:tr>
        <w:trPr>
          <w:trHeight w:val="33"/>
        </w:trPr>
        <w:tc>
          <w:tcPr>
            <w:tcW w:w="79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2"/>
        </w:trPr>
        <w:tc>
          <w:tcPr>
            <w:tcW w:w="79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Closing Cash and equivalents and restricted cash</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212.3</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the Unaudited Condensed Consolidated Financial Statements.</w:t>
      </w:r>
    </w:p>
    <w:p>
      <w:pPr>
        <w:spacing w:after="0" w:line="200" w:lineRule="exact"/>
        <w:rPr>
          <w:sz w:val="20"/>
          <w:szCs w:val="20"/>
          <w:color w:val="auto"/>
        </w:rPr>
      </w:pPr>
    </w:p>
    <w:p>
      <w:pPr>
        <w:spacing w:after="0" w:line="2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137795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Embecta Corp.</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Background</w:t>
      </w:r>
    </w:p>
    <w:p>
      <w:pPr>
        <w:spacing w:after="0" w:line="1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Embecta Corp. ("Embecta" or the "Company") is a leading global medical device company focused on providing solutions to improve the health and well-being of people living with diabetes. The Company has a broad portfolio of marketed products, including a variety of pen needles, syringes and safety devices. The Company primarily sells products to wholesalers and distributors that sell to retail and institutional channels who in turn sell to patients or use the products to deliver insulin injections to patients.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Basis of Presentation</w:t>
      </w:r>
    </w:p>
    <w:p>
      <w:pPr>
        <w:spacing w:after="0" w:line="10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accompanying unaudited financial statements have been prepared in accordance with U.S. Generally Accepted Accounting Principles (“GAAP”) and with the instructions to Form 10-Q and Article 10 of Regulation S-X. Accordingly, certain information and disclosures required by GAAP for complete consolidated financial statements are not included herein. The results of operations of any interim period are not necessarily indicative of the results of operations for the full year. In the Company's opinion, all adjustments necessary for a fair statement of these interim statements have been included and are of a normal and recurring nature. All intercompany transactions and accounts within Embecta have been eliminated. These interim statements should be read in conjunction with the audited financial statements and notes thereto included in Embecta's Annual Report on Form 10-K for the year ended September 30, 2025, filed with the Securities and Exchange Commission on November 25, 2025 (the “2025 Form 10-K”).</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1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These estimates or assumptions affect reported assets, liabilities, revenues and expenses, depreciable and amortizable lives, sales returns and allowances, rebate accruals, inventory reserves and taxes on income as reflected in the Condensed Consolidated Financial Statements. Actual results could differ from these estimates.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Standards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new material accounting standards adopted in the second quarter of fiscal year 2026.</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Standards Not Yet Adopted</w:t>
      </w:r>
    </w:p>
    <w:p>
      <w:pPr>
        <w:spacing w:after="0" w:line="11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Accounting Standards Update ("ASU") 2023-09, Income Taxes (Topic 740): Improvements to Income Tax Disclosures, to enhance the transparency and decision usefulness of income tax disclosures. This update is effective for the Company beginning with its annual fiscal year 2026 reporting. While this accounting standard will increase disclosures, it will not have a material impact on the Company’s Consolidated Financial Statements.</w:t>
      </w:r>
    </w:p>
    <w:p>
      <w:pPr>
        <w:spacing w:after="0" w:line="6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November 2024, the FASB issued ASU 2024-03, Disaggregation of Income Statement Expenses (Subtopic 220-40), to improve disclosures about an entity's expenses including more detailed information about the components of expenses in commonly presented expense captions. This update is effective for the Company beginning with its fiscal year 2028 reporting and for interim reporting beginning with its fiscal year 2029. While this accounting standard will increase disclosures, it is not expected to have a material impact on the Company’s Consolidated Financial Statements.</w:t>
      </w:r>
    </w:p>
    <w:p>
      <w:pPr>
        <w:spacing w:after="0" w:line="6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September 2025, the FASB issued ASU 2025-06, Intangibles - Goodwill and Other - Internal-Use Software (Subtopic 350-40): Targeted Improvements to the Accounting for Internal Use Software. This ASU eliminates accounting consideration of software project development stages and clarifies the threshold applied to begin capitalizing costs. This ASU is effective for the Company beginning with its fiscal 2029 reporting and permits prospective, modified prospective, or retrospective adoption. Early adoption is permitted. The Company is evaluating the impact of this ASU on its Consolidated Financial Statements and related disclosures.</w:t>
      </w:r>
    </w:p>
    <w:p>
      <w:pPr>
        <w:spacing w:after="0" w:line="6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In December 2025, the FASB issued ASU 2025-11, Interim Reporting (Topic 270): Narrow-Scope Improvements. This ASU clarifies and improves existing interim reporting guidance by consolidating disclosure requirements within Topic 270 and introducing a disclosure principle requiring entities to disclose events and changes occurring after the most recent annual reporting period that are expected to have a material effect on the entity’s financial condition or results of operations. The ASU does not introduce significant changes to recognition or measurement guidance. This ASU is effective for the Company beginning with its fiscal 2029 reporting and permits both prospective and retrospective adoption. The Company is currently evaluating the effect of adopting this pronouncement on its Consolidated Financial Statements and related disclosures.</w:t>
      </w:r>
    </w:p>
    <w:p>
      <w:pPr>
        <w:spacing w:after="0" w:line="200" w:lineRule="exact"/>
        <w:rPr>
          <w:sz w:val="20"/>
          <w:szCs w:val="20"/>
          <w:color w:val="auto"/>
        </w:rPr>
      </w:pPr>
    </w:p>
    <w:p>
      <w:pPr>
        <w:spacing w:after="0" w:line="2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Acquisition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Pending Acquisition</w:t>
      </w:r>
    </w:p>
    <w:p>
      <w:pPr>
        <w:spacing w:after="0" w:line="10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On March 19, 2026, the Company entered into a definitive agreement to acquire Owen Mumford Holdings Limited (the "Purchase Agreement") for approximately £150 million. Owen Mumford Holdings Limited (“OM”) is a privately held, UK-based innovator and manufacturer of medical devices and drug-delivery technologies. Under the terms of the Purchase Agreement, the Company will acquire OM for an upfront cash payment of £100 million at closing (subject to customary adjustments, including for closing net cash), and will pay up to an additional £50 million upon the achievement of certain commercial milestones related to sales of the Aidaptus® next-generation auto-injector platform through the period ending June 30, 2029. All closing conditions and regulatory approvals have been satisfied and the transaction is expected to close within the third fiscal quarter of 2026.</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Third Party Arrangements</w:t>
      </w:r>
    </w:p>
    <w:p>
      <w:pPr>
        <w:spacing w:after="0" w:line="1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2B2A29"/>
        </w:rPr>
        <w:t>On April 1, 2022, Embecta and Becton, Dickinson and Company ("BD") entered into a Separation and Distribution Agreement (the "Separation and Distribution Agreement"). Pursuant to the Separation and Distribution Agreement, BD agreed to spin off its diabetes care business (the "Diabetes Care Business") into Embecta, a new, publicly traded company (the "Separation").</w:t>
      </w:r>
    </w:p>
    <w:p>
      <w:pPr>
        <w:spacing w:after="0" w:line="8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 xml:space="preserve">In connection with the Separation, the Company entered into the Separation and Distribution Agreement, which contains provisions that, among other things, relate to (i) assets, liabilities and contracts to be transferred, assumed and assigned to each of Embecta and BD (including certain deferred assets and liabilities) as part of the Separation, (ii) cross-indemnities principally designed to place financial responsibility for the obligations and liabilities of Embecta's business with Embecta and financial responsibility for the obligations and liabilities of BD’s remaining businesses with BD, (iii) procedures with respect to claims subject to indemnification and related matters, (iv) the allocation among Embecta and BD of rights and obligations under existing insurance policies with respect to occurrences prior to completion of the Separation, as well as the right to proceeds and the obligation to incur certain deductibles under certain insurance policies, and (v) procedures governing Embecta’s and BD’s obligations and allocations of liabilities with respect to ongoing litigation matters that may implicate each of BD’s business and Embecta’s business. In addition, the Company entered into a series of agreements with BD that govern aspects of Embecta's relationship with BD following the Separation which include, but are not limited to the Transition Services Agreements ("TSA"), </w:t>
      </w:r>
      <w:r>
        <w:rPr>
          <w:rFonts w:ascii="Times New Roman" w:cs="Times New Roman" w:eastAsia="Times New Roman" w:hAnsi="Times New Roman"/>
          <w:sz w:val="18"/>
          <w:szCs w:val="18"/>
          <w:color w:val="2B2A29"/>
        </w:rPr>
        <w:t>Trade Receivables Factoring Agreements ("Factoring Agreements"),</w:t>
      </w:r>
      <w:r>
        <w:rPr>
          <w:rFonts w:ascii="Times New Roman" w:cs="Times New Roman" w:eastAsia="Times New Roman" w:hAnsi="Times New Roman"/>
          <w:sz w:val="18"/>
          <w:szCs w:val="18"/>
          <w:color w:val="auto"/>
        </w:rPr>
        <w:t xml:space="preserve"> Distribution Agreements, Cannula Supply Agreement, Tax Matters Agreement, Logistics Services Agreement ("LSA"), employee matters agreement, an intellectual property matters agreement, local support services agreements, certain other manufacturing arrangements and a process services agreement and lease agreement for a manufacturing facility located in Holdrege, Nebraska. Certain of these agreements have expired or terminated as disclosed in the 2025 Form 10-K.</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details on the rights and responsibilities of the parties under these agreements refer to Note 3 to the Consolidated Financial Statements in the 2025 Form 10-K.</w:t>
      </w:r>
    </w:p>
    <w:p>
      <w:pPr>
        <w:spacing w:after="0" w:line="5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 xml:space="preserve">Amounts associated with the above agreements are included in the Condensed Consolidated Balance Sheets. Certain amounts previously presented within Amounts due from Becton, Dickinson and Company and Amounts due to Becton, Dickinson and Company are presented within Trade receivables, net and Accounts Payable, respectively, beginning October 1, 2025. As of March 31, 2026, $6.1 million was in </w:t>
      </w:r>
      <w:r>
        <w:rPr>
          <w:rFonts w:ascii="Times New Roman" w:cs="Times New Roman" w:eastAsia="Times New Roman" w:hAnsi="Times New Roman"/>
          <w:sz w:val="18"/>
          <w:szCs w:val="18"/>
          <w:i w:val="1"/>
          <w:iCs w:val="1"/>
          <w:color w:val="auto"/>
        </w:rPr>
        <w:t>Trade receivables, net</w:t>
      </w:r>
      <w:r>
        <w:rPr>
          <w:rFonts w:ascii="Times New Roman" w:cs="Times New Roman" w:eastAsia="Times New Roman" w:hAnsi="Times New Roman"/>
          <w:sz w:val="18"/>
          <w:szCs w:val="18"/>
          <w:color w:val="auto"/>
        </w:rPr>
        <w:t xml:space="preserve"> and $20.4 million was in </w:t>
      </w:r>
      <w:r>
        <w:rPr>
          <w:rFonts w:ascii="Times New Roman" w:cs="Times New Roman" w:eastAsia="Times New Roman" w:hAnsi="Times New Roman"/>
          <w:sz w:val="18"/>
          <w:szCs w:val="18"/>
          <w:i w:val="1"/>
          <w:iCs w:val="1"/>
          <w:color w:val="auto"/>
        </w:rPr>
        <w:t>Accounts payable.</w:t>
      </w:r>
    </w:p>
    <w:p>
      <w:pPr>
        <w:spacing w:after="0" w:line="3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Business Restructuring Charges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November 22, 2024, the Company’s Board of Directors approved a plan to discontinue internal and external investment in the research and development of the Company's patch pump program (the "Patch Pump Restructuring Plan"). The actions under the Patch Pump Restructuring Plan were substantially complete as of September 30, 2025.</w:t>
      </w:r>
    </w:p>
    <w:p>
      <w:pPr>
        <w:spacing w:after="0" w:line="6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second quarter of fiscal year 2025, the Company initiated a restructuring plan (the "2025 Restructuring Plan") to streamline the organization and optimize resources. The actions under the 2025 Restructuring Plan were substantially complete as of September 30, 2025.</w:t>
      </w:r>
    </w:p>
    <w:p>
      <w:pPr>
        <w:spacing w:after="0" w:line="4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Charges incurred related to the restructuring programs for the three and six month periods ended March 31, 2026 were not material to the Company’s Condensed Consolidated Financial Statements.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charges related to the restructuring programs by type of cost for the periods ended: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gridSpan w:val="8"/>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Three Months Ended March 31, 2025</w:t>
            </w:r>
          </w:p>
        </w:tc>
        <w:tc>
          <w:tcPr>
            <w:tcW w:w="140" w:type="dxa"/>
            <w:vAlign w:val="bottom"/>
          </w:tcPr>
          <w:p>
            <w:pPr>
              <w:spacing w:after="0"/>
              <w:rPr>
                <w:sz w:val="18"/>
                <w:szCs w:val="18"/>
                <w:color w:val="auto"/>
              </w:rPr>
            </w:pPr>
          </w:p>
        </w:tc>
        <w:tc>
          <w:tcPr>
            <w:tcW w:w="3500" w:type="dxa"/>
            <w:vAlign w:val="bottom"/>
            <w:gridSpan w:val="7"/>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Six Months Ended March 31, 2025</w:t>
            </w:r>
          </w:p>
        </w:tc>
        <w:tc>
          <w:tcPr>
            <w:tcW w:w="0" w:type="dxa"/>
            <w:vAlign w:val="bottom"/>
          </w:tcPr>
          <w:p>
            <w:pPr>
              <w:spacing w:after="0"/>
              <w:rPr>
                <w:sz w:val="1"/>
                <w:szCs w:val="1"/>
                <w:color w:val="auto"/>
              </w:rPr>
            </w:pPr>
          </w:p>
        </w:tc>
      </w:tr>
      <w:tr>
        <w:trPr>
          <w:trHeight w:val="33"/>
        </w:trPr>
        <w:tc>
          <w:tcPr>
            <w:tcW w:w="38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3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200"/>
              <w:spacing w:after="0" w:line="181" w:lineRule="exact"/>
              <w:rPr>
                <w:sz w:val="20"/>
                <w:szCs w:val="20"/>
                <w:color w:val="auto"/>
              </w:rPr>
            </w:pPr>
            <w:r>
              <w:rPr>
                <w:rFonts w:ascii="Times New Roman" w:cs="Times New Roman" w:eastAsia="Times New Roman" w:hAnsi="Times New Roman"/>
                <w:sz w:val="16"/>
                <w:szCs w:val="16"/>
                <w:b w:val="1"/>
                <w:bCs w:val="1"/>
                <w:color w:val="auto"/>
              </w:rPr>
              <w:t>Employee</w:t>
            </w:r>
          </w:p>
        </w:tc>
        <w:tc>
          <w:tcPr>
            <w:tcW w:w="1240" w:type="dxa"/>
            <w:vAlign w:val="bottom"/>
            <w:gridSpan w:val="3"/>
          </w:tcPr>
          <w:p>
            <w:pPr>
              <w:jc w:val="right"/>
              <w:ind w:right="140"/>
              <w:spacing w:after="0" w:line="181" w:lineRule="exact"/>
              <w:rPr>
                <w:sz w:val="20"/>
                <w:szCs w:val="20"/>
                <w:color w:val="auto"/>
              </w:rPr>
            </w:pPr>
            <w:r>
              <w:rPr>
                <w:rFonts w:ascii="Times New Roman" w:cs="Times New Roman" w:eastAsia="Times New Roman" w:hAnsi="Times New Roman"/>
                <w:sz w:val="16"/>
                <w:szCs w:val="16"/>
                <w:b w:val="1"/>
                <w:bCs w:val="1"/>
                <w:color w:val="auto"/>
              </w:rPr>
              <w:t>Non-Employee</w:t>
            </w:r>
          </w:p>
        </w:tc>
        <w:tc>
          <w:tcPr>
            <w:tcW w:w="240" w:type="dxa"/>
            <w:vAlign w:val="bottom"/>
          </w:tcPr>
          <w:p>
            <w:pPr>
              <w:spacing w:after="0"/>
              <w:rPr>
                <w:sz w:val="15"/>
                <w:szCs w:val="15"/>
                <w:color w:val="auto"/>
              </w:rPr>
            </w:pPr>
          </w:p>
        </w:tc>
        <w:tc>
          <w:tcPr>
            <w:tcW w:w="10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40" w:type="dxa"/>
            <w:vAlign w:val="bottom"/>
          </w:tcPr>
          <w:p>
            <w:pPr>
              <w:spacing w:after="0"/>
              <w:rPr>
                <w:sz w:val="15"/>
                <w:szCs w:val="15"/>
                <w:color w:val="auto"/>
              </w:rPr>
            </w:pPr>
          </w:p>
        </w:tc>
        <w:tc>
          <w:tcPr>
            <w:tcW w:w="1120" w:type="dxa"/>
            <w:vAlign w:val="bottom"/>
            <w:gridSpan w:val="2"/>
          </w:tcPr>
          <w:p>
            <w:pPr>
              <w:jc w:val="center"/>
              <w:ind w:right="220"/>
              <w:spacing w:after="0" w:line="181" w:lineRule="exact"/>
              <w:rPr>
                <w:sz w:val="20"/>
                <w:szCs w:val="20"/>
                <w:color w:val="auto"/>
              </w:rPr>
            </w:pPr>
            <w:r>
              <w:rPr>
                <w:rFonts w:ascii="Times New Roman" w:cs="Times New Roman" w:eastAsia="Times New Roman" w:hAnsi="Times New Roman"/>
                <w:sz w:val="16"/>
                <w:szCs w:val="16"/>
                <w:b w:val="1"/>
                <w:bCs w:val="1"/>
                <w:color w:val="auto"/>
              </w:rPr>
              <w:t>Employee</w:t>
            </w:r>
          </w:p>
        </w:tc>
        <w:tc>
          <w:tcPr>
            <w:tcW w:w="1240" w:type="dxa"/>
            <w:vAlign w:val="bottom"/>
            <w:gridSpan w:val="3"/>
          </w:tcPr>
          <w:p>
            <w:pPr>
              <w:jc w:val="center"/>
              <w:ind w:right="100"/>
              <w:spacing w:after="0" w:line="181" w:lineRule="exact"/>
              <w:rPr>
                <w:sz w:val="20"/>
                <w:szCs w:val="20"/>
                <w:color w:val="auto"/>
              </w:rPr>
            </w:pPr>
            <w:r>
              <w:rPr>
                <w:rFonts w:ascii="Times New Roman" w:cs="Times New Roman" w:eastAsia="Times New Roman" w:hAnsi="Times New Roman"/>
                <w:sz w:val="16"/>
                <w:szCs w:val="16"/>
                <w:b w:val="1"/>
                <w:bCs w:val="1"/>
                <w:color w:val="auto"/>
              </w:rPr>
              <w:t>Non-Employee</w:t>
            </w:r>
          </w:p>
        </w:tc>
        <w:tc>
          <w:tcPr>
            <w:tcW w:w="240" w:type="dxa"/>
            <w:vAlign w:val="bottom"/>
          </w:tcPr>
          <w:p>
            <w:pPr>
              <w:spacing w:after="0"/>
              <w:rPr>
                <w:sz w:val="15"/>
                <w:szCs w:val="15"/>
                <w:color w:val="auto"/>
              </w:rPr>
            </w:pPr>
          </w:p>
        </w:tc>
        <w:tc>
          <w:tcPr>
            <w:tcW w:w="900" w:type="dxa"/>
            <w:vAlign w:val="bottom"/>
            <w:vMerge w:val="restart"/>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25"/>
        </w:trPr>
        <w:tc>
          <w:tcPr>
            <w:tcW w:w="3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Termination</w:t>
            </w:r>
          </w:p>
        </w:tc>
        <w:tc>
          <w:tcPr>
            <w:tcW w:w="200" w:type="dxa"/>
            <w:vAlign w:val="bottom"/>
          </w:tcPr>
          <w:p>
            <w:pPr>
              <w:spacing w:after="0"/>
              <w:rPr>
                <w:sz w:val="19"/>
                <w:szCs w:val="19"/>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Related</w:t>
            </w:r>
          </w:p>
        </w:tc>
        <w:tc>
          <w:tcPr>
            <w:tcW w:w="24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Termination</w:t>
            </w:r>
          </w:p>
        </w:tc>
        <w:tc>
          <w:tcPr>
            <w:tcW w:w="200" w:type="dxa"/>
            <w:vAlign w:val="bottom"/>
          </w:tcPr>
          <w:p>
            <w:pPr>
              <w:spacing w:after="0"/>
              <w:rPr>
                <w:sz w:val="19"/>
                <w:szCs w:val="19"/>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Related</w:t>
            </w:r>
          </w:p>
        </w:tc>
        <w:tc>
          <w:tcPr>
            <w:tcW w:w="24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products sold</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Borders>
              <w:top w:val="single" w:sz="8" w:color="auto"/>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80" w:type="dxa"/>
            <w:vAlign w:val="bottom"/>
            <w:tcBorders>
              <w:top w:val="single" w:sz="8" w:color="auto"/>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0" w:type="dxa"/>
            <w:vAlign w:val="bottom"/>
          </w:tcPr>
          <w:p>
            <w:pPr>
              <w:spacing w:after="0"/>
              <w:rPr>
                <w:sz w:val="1"/>
                <w:szCs w:val="1"/>
                <w:color w:val="auto"/>
              </w:rPr>
            </w:pPr>
          </w:p>
        </w:tc>
      </w:tr>
      <w:tr>
        <w:trPr>
          <w:trHeight w:val="210"/>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Selling and administrative expense</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0" w:type="dxa"/>
            <w:vAlign w:val="bottom"/>
          </w:tcPr>
          <w:p>
            <w:pPr>
              <w:spacing w:after="0"/>
              <w:rPr>
                <w:sz w:val="1"/>
                <w:szCs w:val="1"/>
                <w:color w:val="auto"/>
              </w:rPr>
            </w:pPr>
          </w:p>
        </w:tc>
      </w:tr>
      <w:tr>
        <w:trPr>
          <w:trHeight w:val="33"/>
        </w:trPr>
        <w:tc>
          <w:tcPr>
            <w:tcW w:w="3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 expense</w:t>
            </w: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0" w:type="dxa"/>
            <w:vAlign w:val="bottom"/>
          </w:tcPr>
          <w:p>
            <w:pPr>
              <w:spacing w:after="0"/>
              <w:rPr>
                <w:sz w:val="1"/>
                <w:szCs w:val="1"/>
                <w:color w:val="auto"/>
              </w:rPr>
            </w:pPr>
          </w:p>
        </w:tc>
      </w:tr>
      <w:tr>
        <w:trPr>
          <w:trHeight w:val="210"/>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operating expense, net</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0" w:type="dxa"/>
            <w:vAlign w:val="bottom"/>
          </w:tcPr>
          <w:p>
            <w:pPr>
              <w:spacing w:after="0"/>
              <w:rPr>
                <w:sz w:val="1"/>
                <w:szCs w:val="1"/>
                <w:color w:val="auto"/>
              </w:rPr>
            </w:pPr>
          </w:p>
        </w:tc>
      </w:tr>
      <w:tr>
        <w:trPr>
          <w:trHeight w:val="33"/>
        </w:trPr>
        <w:tc>
          <w:tcPr>
            <w:tcW w:w="38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3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Employee termination costs are associated with actual headcount reductions, including involuntary headcount reductions which were probable and could be reasonably estimated.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Non-employee related costs are associated with termination of contracts and long-lived asset impairments are discussed further in Note 17.</w:t>
      </w:r>
    </w:p>
    <w:p>
      <w:pPr>
        <w:spacing w:after="0" w:line="11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restructuring reserve balances as of March 31, 2026 and September 30, 2025 were not material to the Company’s Condensed Consolidated Financial Statements.</w:t>
      </w:r>
    </w:p>
    <w:p>
      <w:pPr>
        <w:spacing w:after="0" w:line="200" w:lineRule="exact"/>
        <w:rPr>
          <w:sz w:val="20"/>
          <w:szCs w:val="20"/>
          <w:color w:val="auto"/>
        </w:rPr>
      </w:pPr>
    </w:p>
    <w:p>
      <w:pPr>
        <w:spacing w:after="0" w:line="2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7980"/>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Other Operating Expense, Net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income and expenses recorded for the three months ended March 31, 2026 and 2025:</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600" w:type="dxa"/>
            <w:vAlign w:val="bottom"/>
          </w:tcPr>
          <w:p>
            <w:pPr>
              <w:spacing w:after="0"/>
              <w:rPr>
                <w:sz w:val="18"/>
                <w:szCs w:val="18"/>
                <w:color w:val="auto"/>
              </w:rPr>
            </w:pPr>
          </w:p>
        </w:tc>
        <w:tc>
          <w:tcPr>
            <w:tcW w:w="2820" w:type="dxa"/>
            <w:vAlign w:val="bottom"/>
            <w:gridSpan w:val="4"/>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00" w:type="dxa"/>
            <w:vAlign w:val="bottom"/>
            <w:gridSpan w:val="4"/>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Six months ended March 31,</w:t>
            </w:r>
          </w:p>
        </w:tc>
      </w:tr>
      <w:tr>
        <w:trPr>
          <w:trHeight w:val="33"/>
        </w:trPr>
        <w:tc>
          <w:tcPr>
            <w:tcW w:w="46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6"/>
        </w:trPr>
        <w:tc>
          <w:tcPr>
            <w:tcW w:w="4600" w:type="dxa"/>
            <w:vAlign w:val="bottom"/>
          </w:tcPr>
          <w:p>
            <w:pPr>
              <w:spacing w:after="0"/>
              <w:rPr>
                <w:sz w:val="17"/>
                <w:szCs w:val="17"/>
                <w:color w:val="auto"/>
              </w:rPr>
            </w:pPr>
          </w:p>
        </w:tc>
        <w:tc>
          <w:tcPr>
            <w:tcW w:w="110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31"/>
        </w:trPr>
        <w:tc>
          <w:tcPr>
            <w:tcW w:w="46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Costs related to the Separation</w:t>
            </w:r>
          </w:p>
        </w:tc>
        <w:tc>
          <w:tcPr>
            <w:tcW w:w="1100" w:type="dxa"/>
            <w:vAlign w:val="bottom"/>
            <w:tcBorders>
              <w:bottom w:val="single" w:sz="8" w:color="CCEEFF"/>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95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w:t>
            </w:r>
          </w:p>
        </w:tc>
      </w:tr>
      <w:tr>
        <w:trPr>
          <w:trHeight w:val="210"/>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cloud computing arrangements</w:t>
            </w:r>
          </w:p>
        </w:tc>
        <w:tc>
          <w:tcPr>
            <w:tcW w:w="1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r>
      <w:tr>
        <w:trPr>
          <w:trHeight w:val="33"/>
        </w:trPr>
        <w:tc>
          <w:tcPr>
            <w:tcW w:w="4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3"/>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Costs associated with the discontinued patch pump program</w:t>
            </w:r>
          </w:p>
        </w:tc>
        <w:tc>
          <w:tcPr>
            <w:tcW w:w="1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w:t>
            </w:r>
          </w:p>
        </w:tc>
      </w:tr>
      <w:tr>
        <w:trPr>
          <w:trHeight w:val="210"/>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Business optimization and severance related costs</w:t>
            </w:r>
          </w:p>
        </w:tc>
        <w:tc>
          <w:tcPr>
            <w:tcW w:w="110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33"/>
        </w:trPr>
        <w:tc>
          <w:tcPr>
            <w:tcW w:w="4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75"/>
        </w:trPr>
        <w:tc>
          <w:tcPr>
            <w:tcW w:w="460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Gain on sale of certain intellectual property rights and long-lived</w:t>
            </w:r>
          </w:p>
        </w:tc>
        <w:tc>
          <w:tcPr>
            <w:tcW w:w="1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37"/>
        </w:trPr>
        <w:tc>
          <w:tcPr>
            <w:tcW w:w="46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assets</w:t>
            </w:r>
          </w:p>
        </w:tc>
        <w:tc>
          <w:tcPr>
            <w:tcW w:w="1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Acquisition-related costs</w:t>
            </w:r>
          </w:p>
        </w:tc>
        <w:tc>
          <w:tcPr>
            <w:tcW w:w="1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4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04"/>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100" w:type="dxa"/>
            <w:vAlign w:val="bottom"/>
            <w:tcBorders>
              <w:top w:val="single" w:sz="8" w:color="auto"/>
            </w:tcBorders>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00" w:type="dxa"/>
            <w:vAlign w:val="bottom"/>
          </w:tcPr>
          <w:p>
            <w:pPr>
              <w:spacing w:after="0"/>
              <w:rPr>
                <w:sz w:val="17"/>
                <w:szCs w:val="17"/>
                <w:color w:val="auto"/>
              </w:rPr>
            </w:pPr>
          </w:p>
        </w:tc>
        <w:tc>
          <w:tcPr>
            <w:tcW w:w="1140" w:type="dxa"/>
            <w:vAlign w:val="bottom"/>
            <w:tcBorders>
              <w:top w:val="single" w:sz="8" w:color="auto"/>
            </w:tcBorders>
          </w:tcPr>
          <w:p>
            <w:pPr>
              <w:jc w:val="right"/>
              <w:ind w:right="95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20" w:type="dxa"/>
            <w:vAlign w:val="bottom"/>
          </w:tcPr>
          <w:p>
            <w:pPr>
              <w:spacing w:after="0"/>
              <w:rPr>
                <w:sz w:val="17"/>
                <w:szCs w:val="17"/>
                <w:color w:val="auto"/>
              </w:rPr>
            </w:pPr>
          </w:p>
        </w:tc>
        <w:tc>
          <w:tcPr>
            <w:tcW w:w="36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tcPr>
          <w:p>
            <w:pPr>
              <w:spacing w:after="0"/>
              <w:rPr>
                <w:sz w:val="17"/>
                <w:szCs w:val="17"/>
                <w:color w:val="auto"/>
              </w:rPr>
            </w:pPr>
          </w:p>
        </w:tc>
        <w:tc>
          <w:tcPr>
            <w:tcW w:w="36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40.6</w:t>
            </w:r>
          </w:p>
        </w:tc>
      </w:tr>
      <w:tr>
        <w:trPr>
          <w:trHeight w:val="33"/>
        </w:trPr>
        <w:tc>
          <w:tcPr>
            <w:tcW w:w="46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46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connection with the Separation, the Company incurred separation and stand-up costs. The costs incurred primarily consist of costs associated with accounting, auditing, legal services, marketing, supply chain, employee retention, brand transition, and certain other costs to establish certain systems and services, including but not limited to, information technology, procurement, quality and regulatory affairs, medical affairs, tax and treasury services, distribution logistics, and shared services infrastructure support for order-to-cash, source-to-pay, and record-to-report, which, for clarity, includes enterprise resource plan ("ERP") system (“Business Continuity Processes”) and stand-alone functions to assist with the transition to being a stand-alone entity.</w:t>
      </w:r>
    </w:p>
    <w:p>
      <w:pPr>
        <w:spacing w:after="0" w:line="6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For both the three and six months ended March 31, 2026 and 2025, the Company recognized costs associated with the amortization of cloud computing arrangements which is further discussed in Note 12.</w:t>
      </w:r>
    </w:p>
    <w:p>
      <w:pPr>
        <w:spacing w:after="0" w:line="6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For the three and six months ended March 31, 2026 and 2025, the Company recognized costs associated with the discontinuation of the patch pump program which is further discussed in Note 5.</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six months ended March 31, 2026, the Company executed an agreement with a third party to sell certain intellectual property rights and long-lived assets associated with the patch pump program and recorded a gain on sale of $10.1 million.</w:t>
      </w:r>
    </w:p>
    <w:p>
      <w:pPr>
        <w:spacing w:after="0" w:line="4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For the three and six months ended March 31, 2026, the Company recognized acquisition-related costs associated with the pending acquisition of Owen Mumford.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Contingencies</w:t>
      </w:r>
    </w:p>
    <w:p>
      <w:pPr>
        <w:spacing w:after="0" w:line="10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was not a party to any material legal proceedings at March 31, 2026 or September 30, 2025, nor is it a party to any material legal proceedings as of the date of issuance of these Condensed Consolidated Financial Statements.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Revenues</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Company’s policies for recognizing revenue have not changed from those described in the 2025 Form 10-K. The Company sells syringes, pen needles and other products used in the management of diabetes which are primarily sold to wholesalers and distributors that sell to retail and institutional channels who in turn sell to patients or use the products to deliver insulin injections to patients. End-users of the Company’s products include healthcare institutions, physicians, life science researchers, clinical laboratories, the pharmaceutical industry, and the general public.</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Measurement of Revenues</w:t>
      </w:r>
    </w:p>
    <w:p>
      <w:pPr>
        <w:spacing w:after="0" w:line="11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Payment terms extended to the Company’s customers are based upon commercially reasonable terms for the markets in which the Company’s products are sold and the Company generally expects to receive payment within one year or less from when control of a product is transferred to the customer. The Company’s allowance for doubtful accounts reflects the current estimate of credit losses expected to be incurred over the life of its trade receivables. Such estimated credit losses are determined based on historical loss experiences, customer specific credit risk, and reasonable and supportable forward-looking information, such as country or regional risks that are not captured in the historical loss information. Amounts are written off against the allowances for doubtful accounts when the Company determines that a customer account is uncollectible. The allowance for doubtful accounts for trade receivables is not material to the Company’s Condensed Consolidated Financial Statements.</w:t>
      </w:r>
    </w:p>
    <w:p>
      <w:pPr>
        <w:spacing w:after="0" w:line="200" w:lineRule="exact"/>
        <w:rPr>
          <w:sz w:val="20"/>
          <w:szCs w:val="20"/>
          <w:color w:val="auto"/>
        </w:rPr>
      </w:pPr>
    </w:p>
    <w:p>
      <w:pPr>
        <w:spacing w:after="0" w:line="2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The Company’s gross revenues are subject to a variety of gross-to-net deductions which are recorded in the same period that the underlying revenues are recognized. Such variable consideration includes rebates, sales discounts, and sales returns. Because these deductions represent estimates of the related obligations, judgment is required when determining the impact of these revenue deductions on gross revenues for a reporting period. Rebates provided by the Company are based upon prices determined under the Company’s agreements primarily with its end-user customers. Additional factors considered in the estimate of the Company’s variable consideration include the quantification of inventory that is either in stock at or in transit to the Company’s distributors, as well as the estimated lag time between the sale of product and the payment of corresponding variable consideration.</w:t>
      </w:r>
    </w:p>
    <w:p>
      <w:pPr>
        <w:spacing w:after="0" w:line="8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Company’s liability attributed to variable consideration at March 31, 2026 and September 30, 2025 was $126.2 million and $113.7 million, respectively. Sales deductions recorded as a reduction of gross revenues for the three months ended March 31, 2026 and 2025 were $156.8 million and $143.2 million, respectively. Sales deductions recorded as a reduction of gross revenues for the six months ended March 31, 2026 and 2025 were $316.7 million and $293.3 million, respectively.</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Disaggregation of revenue by geographic region and product line is provided within Note 9.</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Segment and Geographical Data</w:t>
      </w:r>
    </w:p>
    <w:p>
      <w:pPr>
        <w:spacing w:after="0" w:line="10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Company's operations include four product lines which constitute one operating segment engaged in providing solutions to improve the health and well-being of people living with diabetes. The Company's chief operation decision maker ("CODM") is the Chief Executive Officer. The CODM assesses performance and decides how to allocate resources for the Company's one operating segment based on consolidated net income that is reported on the Condensed Consolidated Statements of Income. The Company has also evaluated the significant segment expenses incurred by our single segment that are regularly provided to the CODM. The significant expenses provided to the CODM are consistent with those reported on the Condensed Consolidated Statements of Income and include cost of products sold, selling and administrative expense, research and development, other operating income and expense, interest expense, other income and expense, and income taxes. The CODM uses these metrics to make key operating decisions which include approving the design of key commercialization strategies, decisions about key personnel, and approving annual operating and capital budgets. The CODM considers budget-to-actual variances and year over year performance when making decisions supporting resource allocation. The Company manages assets on a consolidated basis as reported on the Condensed Consolidated Balance Sheets.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Revenues</w:t>
      </w:r>
    </w:p>
    <w:p>
      <w:pPr>
        <w:spacing w:after="0" w:line="10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The Company has distribution agreements with regional or national distributors (including wholesalers and medical suppliers) to ensure broad availability of its products as well as a direct sales force in certain countries and regions around the world. In the United States and Canada, the Company utilizes its key account managers that call on payers, retailers, wholesalers and institutional customers, and field-based territory managers that call on health care providers and pharmacies. In certain markets within Europe, the Company has dedicated sales representatives and in certain regions of the Middle East and Africa, the Company has distribution agreements. In Asia, the Company has distribution agreements, and in China the Company relies on its own commercial team to support sales execution. In Latin America, the Company maintains distribution agreements and direct sales representatives.</w:t>
      </w:r>
    </w:p>
    <w:p>
      <w:pPr>
        <w:spacing w:after="0" w:line="9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disaggregates its revenue by geography and product line as management believes these categories best depict how the nature, amount, and timing of revenues and cash flows are affected by economic factors.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by geographic region are as follows: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2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78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00" w:type="dxa"/>
            <w:vAlign w:val="bottom"/>
            <w:gridSpan w:val="4"/>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Six months ended March 31,</w:t>
            </w:r>
          </w:p>
        </w:tc>
      </w:tr>
      <w:tr>
        <w:trPr>
          <w:trHeight w:val="33"/>
        </w:trPr>
        <w:tc>
          <w:tcPr>
            <w:tcW w:w="122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6"/>
        </w:trPr>
        <w:tc>
          <w:tcPr>
            <w:tcW w:w="122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31"/>
        </w:trPr>
        <w:tc>
          <w:tcPr>
            <w:tcW w:w="1220" w:type="dxa"/>
            <w:vAlign w:val="bottom"/>
            <w:tcBorders>
              <w:bottom w:val="single" w:sz="8" w:color="CCEEFF"/>
            </w:tcBorders>
          </w:tcPr>
          <w:p>
            <w:pPr>
              <w:spacing w:after="0"/>
              <w:rPr>
                <w:sz w:val="2"/>
                <w:szCs w:val="2"/>
                <w:color w:val="auto"/>
              </w:rPr>
            </w:pPr>
          </w:p>
        </w:tc>
        <w:tc>
          <w:tcPr>
            <w:tcW w:w="33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6"/>
        </w:trPr>
        <w:tc>
          <w:tcPr>
            <w:tcW w:w="4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95.4</w:t>
            </w:r>
          </w:p>
        </w:tc>
        <w:tc>
          <w:tcPr>
            <w:tcW w:w="1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135.2</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226.3</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276.9</w:t>
            </w:r>
          </w:p>
        </w:tc>
      </w:tr>
      <w:tr>
        <w:trPr>
          <w:trHeight w:val="243"/>
        </w:trPr>
        <w:tc>
          <w:tcPr>
            <w:tcW w:w="46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 xml:space="preserve">International </w:t>
            </w:r>
            <w:r>
              <w:rPr>
                <w:rFonts w:ascii="Times New Roman" w:cs="Times New Roman" w:eastAsia="Times New Roman" w:hAnsi="Times New Roman"/>
                <w:sz w:val="21"/>
                <w:szCs w:val="21"/>
                <w:color w:val="auto"/>
                <w:vertAlign w:val="superscript"/>
              </w:rPr>
              <w:t>(1)</w:t>
            </w:r>
          </w:p>
        </w:tc>
        <w:tc>
          <w:tcPr>
            <w:tcW w:w="10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126.4</w:t>
            </w:r>
          </w:p>
        </w:tc>
        <w:tc>
          <w:tcPr>
            <w:tcW w:w="10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123.8</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256.7</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244.0</w:t>
            </w:r>
          </w:p>
        </w:tc>
      </w:tr>
      <w:tr>
        <w:trPr>
          <w:trHeight w:val="261"/>
        </w:trPr>
        <w:tc>
          <w:tcPr>
            <w:tcW w:w="4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221.8</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259.0</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520.9</w:t>
            </w:r>
          </w:p>
        </w:tc>
      </w:tr>
      <w:tr>
        <w:trPr>
          <w:trHeight w:val="20"/>
        </w:trPr>
        <w:tc>
          <w:tcPr>
            <w:tcW w:w="1220" w:type="dxa"/>
            <w:vAlign w:val="bottom"/>
            <w:tcBorders>
              <w:top w:val="single" w:sz="8" w:color="CCEEFF"/>
            </w:tcBorders>
          </w:tcPr>
          <w:p>
            <w:pPr>
              <w:spacing w:after="0" w:line="20" w:lineRule="exact"/>
              <w:rPr>
                <w:sz w:val="1"/>
                <w:szCs w:val="1"/>
                <w:color w:val="auto"/>
              </w:rPr>
            </w:pPr>
          </w:p>
        </w:tc>
        <w:tc>
          <w:tcPr>
            <w:tcW w:w="33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271"/>
        </w:trPr>
        <w:tc>
          <w:tcPr>
            <w:tcW w:w="1220" w:type="dxa"/>
            <w:vAlign w:val="bottom"/>
            <w:tcBorders>
              <w:bottom w:val="single" w:sz="8" w:color="auto"/>
            </w:tcBorders>
          </w:tcPr>
          <w:p>
            <w:pPr>
              <w:spacing w:after="0"/>
              <w:rPr>
                <w:sz w:val="23"/>
                <w:szCs w:val="23"/>
                <w:color w:val="auto"/>
              </w:rPr>
            </w:pPr>
          </w:p>
        </w:tc>
        <w:tc>
          <w:tcPr>
            <w:tcW w:w="33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r>
    </w:tbl>
    <w:p>
      <w:pPr>
        <w:spacing w:after="0" w:line="162" w:lineRule="exact"/>
        <w:rPr>
          <w:sz w:val="20"/>
          <w:szCs w:val="20"/>
          <w:color w:val="auto"/>
        </w:rPr>
      </w:pPr>
    </w:p>
    <w:p>
      <w:pPr>
        <w:ind w:left="340" w:hanging="332"/>
        <w:spacing w:after="0" w:line="225" w:lineRule="auto"/>
        <w:tabs>
          <w:tab w:leader="none" w:pos="328" w:val="left"/>
        </w:tabs>
        <w:numPr>
          <w:ilvl w:val="0"/>
          <w:numId w:val="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For the three and six months ended March 31, 2026 and 2025, no individual country outside of the United States generated net revenues that represented more than 10.0% of total revenues.</w:t>
      </w:r>
    </w:p>
    <w:p>
      <w:pPr>
        <w:spacing w:after="0" w:line="200" w:lineRule="exact"/>
        <w:rPr>
          <w:sz w:val="20"/>
          <w:szCs w:val="20"/>
          <w:color w:val="auto"/>
        </w:rPr>
      </w:pPr>
    </w:p>
    <w:p>
      <w:pPr>
        <w:spacing w:after="0" w:line="2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by product line are as follows:</w:t>
      </w:r>
    </w:p>
    <w:p>
      <w:pPr>
        <w:sectPr>
          <w:pgSz w:w="11900" w:h="16838" w:orient="portrait"/>
          <w:cols w:equalWidth="0" w:num="1">
            <w:col w:w="11240"/>
          </w:cols>
          <w:pgMar w:left="320" w:top="226" w:right="339" w:bottom="1440" w:gutter="0" w:footer="0" w:header="0"/>
        </w:sectPr>
      </w:pPr>
    </w:p>
    <w:p>
      <w:pPr>
        <w:spacing w:after="0" w:line="174"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21590</wp:posOffset>
            </wp:positionV>
            <wp:extent cx="208280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082800" cy="8255"/>
                    </a:xfrm>
                    <a:prstGeom prst="rect">
                      <a:avLst/>
                    </a:prstGeom>
                    <a:noFill/>
                  </pic:spPr>
                </pic:pic>
              </a:graphicData>
            </a:graphic>
          </wp:anchor>
        </w:drawing>
      </w:r>
    </w:p>
    <w:p>
      <w:pPr>
        <w:spacing w:after="0" w:line="26" w:lineRule="exact"/>
        <w:rPr>
          <w:sz w:val="20"/>
          <w:szCs w:val="20"/>
          <w:color w:val="auto"/>
        </w:rPr>
      </w:pPr>
    </w:p>
    <w:p>
      <w:pPr>
        <w:ind w:left="5080"/>
        <w:spacing w:after="0"/>
        <w:tabs>
          <w:tab w:leader="none" w:pos="6700" w:val="left"/>
        </w:tabs>
        <w:rPr>
          <w:sz w:val="20"/>
          <w:szCs w:val="20"/>
          <w:color w:val="auto"/>
        </w:rPr>
      </w:pPr>
      <w:r>
        <w:rPr>
          <w:rFonts w:ascii="Times New Roman" w:cs="Times New Roman" w:eastAsia="Times New Roman" w:hAnsi="Times New Roman"/>
          <w:sz w:val="16"/>
          <w:szCs w:val="16"/>
          <w:b w:val="1"/>
          <w:bCs w:val="1"/>
          <w:color w:val="auto"/>
        </w:rPr>
        <w:t>2026</w:t>
      </w:r>
      <w:r>
        <w:rPr>
          <w:sz w:val="20"/>
          <w:szCs w:val="20"/>
          <w:color w:val="auto"/>
        </w:rPr>
        <w:tab/>
      </w:r>
      <w:r>
        <w:rPr>
          <w:rFonts w:ascii="Times New Roman" w:cs="Times New Roman" w:eastAsia="Times New Roman" w:hAnsi="Times New Roman"/>
          <w:sz w:val="16"/>
          <w:szCs w:val="16"/>
          <w:b w:val="1"/>
          <w:bCs w:val="1"/>
          <w:color w:val="auto"/>
        </w:rPr>
        <w:t>2025</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Six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-462915</wp:posOffset>
            </wp:positionH>
            <wp:positionV relativeFrom="paragraph">
              <wp:posOffset>21590</wp:posOffset>
            </wp:positionV>
            <wp:extent cx="220281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26" w:lineRule="exact"/>
        <w:rPr>
          <w:sz w:val="20"/>
          <w:szCs w:val="20"/>
          <w:color w:val="auto"/>
        </w:rPr>
      </w:pPr>
    </w:p>
    <w:p>
      <w:pPr>
        <w:spacing w:after="0"/>
        <w:tabs>
          <w:tab w:leader="none" w:pos="1720" w:val="left"/>
        </w:tabs>
        <w:rPr>
          <w:sz w:val="20"/>
          <w:szCs w:val="20"/>
          <w:color w:val="auto"/>
        </w:rPr>
      </w:pPr>
      <w:r>
        <w:rPr>
          <w:rFonts w:ascii="Times New Roman" w:cs="Times New Roman" w:eastAsia="Times New Roman" w:hAnsi="Times New Roman"/>
          <w:sz w:val="16"/>
          <w:szCs w:val="16"/>
          <w:b w:val="1"/>
          <w:bCs w:val="1"/>
          <w:color w:val="auto"/>
        </w:rPr>
        <w:t>2026</w:t>
      </w:r>
      <w:r>
        <w:rPr>
          <w:sz w:val="20"/>
          <w:szCs w:val="20"/>
          <w:color w:val="auto"/>
        </w:rPr>
        <w:tab/>
      </w:r>
      <w:r>
        <w:rPr>
          <w:rFonts w:ascii="Times New Roman" w:cs="Times New Roman" w:eastAsia="Times New Roman" w:hAnsi="Times New Roman"/>
          <w:sz w:val="16"/>
          <w:szCs w:val="16"/>
          <w:b w:val="1"/>
          <w:bCs w:val="1"/>
          <w:color w:val="auto"/>
        </w:rPr>
        <w:t>2025</w:t>
      </w:r>
    </w:p>
    <w:p>
      <w:pPr>
        <w:spacing w:after="0" w:line="41" w:lineRule="exact"/>
        <w:rPr>
          <w:sz w:val="20"/>
          <w:szCs w:val="20"/>
          <w:color w:val="auto"/>
        </w:rPr>
      </w:pPr>
    </w:p>
    <w:p>
      <w:pPr>
        <w:sectPr>
          <w:pgSz w:w="11900" w:h="16838" w:orient="portrait"/>
          <w:cols w:equalWidth="0" w:num="2">
            <w:col w:w="7780" w:space="720"/>
            <w:col w:w="2740"/>
          </w:cols>
          <w:pgMar w:left="320" w:top="226" w:right="3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44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Pen Needles</w:t>
            </w:r>
          </w:p>
        </w:tc>
        <w:tc>
          <w:tcPr>
            <w:tcW w:w="620" w:type="dxa"/>
            <w:vAlign w:val="bottom"/>
            <w:tcBorders>
              <w:top w:val="single" w:sz="8" w:color="auto"/>
              <w:bottom w:val="single" w:sz="8" w:color="CCEEFF"/>
            </w:tcBorders>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154.7</w:t>
            </w:r>
          </w:p>
        </w:tc>
        <w:tc>
          <w:tcPr>
            <w:tcW w:w="100" w:type="dxa"/>
            <w:vAlign w:val="bottom"/>
            <w:tcBorders>
              <w:top w:val="single" w:sz="8" w:color="auto"/>
              <w:bottom w:val="single" w:sz="8" w:color="CCEEFF"/>
            </w:tcBorders>
            <w:shd w:val="clear" w:color="auto" w:fill="CCEEFF"/>
          </w:tcPr>
          <w:p>
            <w:pPr>
              <w:spacing w:after="0"/>
              <w:rPr>
                <w:sz w:val="20"/>
                <w:szCs w:val="20"/>
                <w:color w:val="auto"/>
              </w:rPr>
            </w:pPr>
          </w:p>
        </w:tc>
        <w:tc>
          <w:tcPr>
            <w:tcW w:w="640" w:type="dxa"/>
            <w:vAlign w:val="bottom"/>
            <w:tcBorders>
              <w:top w:val="single" w:sz="8" w:color="auto"/>
              <w:bottom w:val="single" w:sz="8" w:color="CCEEFF"/>
            </w:tcBorders>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660" w:type="dxa"/>
            <w:vAlign w:val="bottom"/>
            <w:tcBorders>
              <w:top w:val="single" w:sz="8" w:color="auto"/>
              <w:bottom w:val="single" w:sz="8" w:color="CCEEFF"/>
            </w:tcBorders>
            <w:shd w:val="clear" w:color="auto" w:fill="CCEEFF"/>
          </w:tcPr>
          <w:p>
            <w:pPr>
              <w:jc w:val="right"/>
              <w:ind w:right="49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340.2</w:t>
            </w:r>
          </w:p>
        </w:tc>
        <w:tc>
          <w:tcPr>
            <w:tcW w:w="100" w:type="dxa"/>
            <w:vAlign w:val="bottom"/>
            <w:tcBorders>
              <w:top w:val="single" w:sz="8" w:color="auto"/>
              <w:bottom w:val="single" w:sz="8" w:color="CCEEFF"/>
            </w:tcBorders>
            <w:shd w:val="clear" w:color="auto" w:fill="CCEEFF"/>
          </w:tcPr>
          <w:p>
            <w:pPr>
              <w:spacing w:after="0"/>
              <w:rPr>
                <w:sz w:val="20"/>
                <w:szCs w:val="20"/>
                <w:color w:val="auto"/>
              </w:rPr>
            </w:pPr>
          </w:p>
        </w:tc>
        <w:tc>
          <w:tcPr>
            <w:tcW w:w="660" w:type="dxa"/>
            <w:vAlign w:val="bottom"/>
            <w:tcBorders>
              <w:top w:val="single" w:sz="8" w:color="auto"/>
              <w:bottom w:val="single" w:sz="8" w:color="CCEEFF"/>
            </w:tcBorders>
            <w:shd w:val="clear" w:color="auto" w:fill="CCEEFF"/>
          </w:tcPr>
          <w:p>
            <w:pPr>
              <w:jc w:val="right"/>
              <w:ind w:right="4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379.4</w:t>
            </w:r>
          </w:p>
        </w:tc>
      </w:tr>
      <w:tr>
        <w:trPr>
          <w:trHeight w:val="210"/>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Syringes</w:t>
            </w:r>
          </w:p>
        </w:tc>
        <w:tc>
          <w:tcPr>
            <w:tcW w:w="6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57.0</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w:t>
            </w:r>
          </w:p>
        </w:tc>
      </w:tr>
      <w:tr>
        <w:trPr>
          <w:trHeight w:val="33"/>
        </w:trPr>
        <w:tc>
          <w:tcPr>
            <w:tcW w:w="12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3"/>
        </w:trPr>
        <w:tc>
          <w:tcPr>
            <w:tcW w:w="4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Safety</w:t>
            </w:r>
          </w:p>
        </w:tc>
        <w:tc>
          <w:tcPr>
            <w:tcW w:w="6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w:t>
            </w: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w:t>
            </w:r>
          </w:p>
        </w:tc>
        <w:tc>
          <w:tcPr>
            <w:tcW w:w="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71.6</w:t>
            </w:r>
          </w:p>
        </w:tc>
        <w:tc>
          <w:tcPr>
            <w:tcW w:w="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w:t>
            </w:r>
          </w:p>
        </w:tc>
      </w:tr>
      <w:tr>
        <w:trPr>
          <w:trHeight w:val="243"/>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1"/>
                <w:szCs w:val="21"/>
                <w:color w:val="auto"/>
                <w:vertAlign w:val="superscript"/>
              </w:rPr>
              <w:t>(2)</w:t>
            </w:r>
          </w:p>
        </w:tc>
        <w:tc>
          <w:tcPr>
            <w:tcW w:w="6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r>
      <w:tr>
        <w:trPr>
          <w:trHeight w:val="243"/>
        </w:trPr>
        <w:tc>
          <w:tcPr>
            <w:tcW w:w="4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Contract Manufacturing</w:t>
            </w:r>
          </w:p>
        </w:tc>
        <w:tc>
          <w:tcPr>
            <w:tcW w:w="6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r>
      <w:tr>
        <w:trPr>
          <w:trHeight w:val="204"/>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620" w:type="dxa"/>
            <w:vAlign w:val="bottom"/>
            <w:tcBorders>
              <w:top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221.8</w:t>
            </w:r>
          </w:p>
        </w:tc>
        <w:tc>
          <w:tcPr>
            <w:tcW w:w="100" w:type="dxa"/>
            <w:vAlign w:val="bottom"/>
          </w:tcPr>
          <w:p>
            <w:pPr>
              <w:spacing w:after="0"/>
              <w:rPr>
                <w:sz w:val="17"/>
                <w:szCs w:val="17"/>
                <w:color w:val="auto"/>
              </w:rPr>
            </w:pPr>
          </w:p>
        </w:tc>
        <w:tc>
          <w:tcPr>
            <w:tcW w:w="640" w:type="dxa"/>
            <w:vAlign w:val="bottom"/>
            <w:tcBorders>
              <w:top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259.0</w:t>
            </w:r>
          </w:p>
        </w:tc>
        <w:tc>
          <w:tcPr>
            <w:tcW w:w="100" w:type="dxa"/>
            <w:vAlign w:val="bottom"/>
          </w:tcPr>
          <w:p>
            <w:pPr>
              <w:spacing w:after="0"/>
              <w:rPr>
                <w:sz w:val="17"/>
                <w:szCs w:val="17"/>
                <w:color w:val="auto"/>
              </w:rPr>
            </w:pPr>
          </w:p>
        </w:tc>
        <w:tc>
          <w:tcPr>
            <w:tcW w:w="660" w:type="dxa"/>
            <w:vAlign w:val="bottom"/>
            <w:tcBorders>
              <w:top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483.0</w:t>
            </w:r>
          </w:p>
        </w:tc>
        <w:tc>
          <w:tcPr>
            <w:tcW w:w="100" w:type="dxa"/>
            <w:vAlign w:val="bottom"/>
          </w:tcPr>
          <w:p>
            <w:pPr>
              <w:spacing w:after="0"/>
              <w:rPr>
                <w:sz w:val="17"/>
                <w:szCs w:val="17"/>
                <w:color w:val="auto"/>
              </w:rPr>
            </w:pPr>
          </w:p>
        </w:tc>
        <w:tc>
          <w:tcPr>
            <w:tcW w:w="660" w:type="dxa"/>
            <w:vAlign w:val="bottom"/>
            <w:tcBorders>
              <w:top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520.9</w:t>
            </w:r>
          </w:p>
        </w:tc>
      </w:tr>
      <w:tr>
        <w:trPr>
          <w:trHeight w:val="33"/>
        </w:trPr>
        <w:tc>
          <w:tcPr>
            <w:tcW w:w="12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12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91"/>
        </w:trPr>
        <w:tc>
          <w:tcPr>
            <w:tcW w:w="1220" w:type="dxa"/>
            <w:vAlign w:val="bottom"/>
            <w:tcBorders>
              <w:bottom w:val="single" w:sz="8" w:color="auto"/>
            </w:tcBorders>
          </w:tcPr>
          <w:p>
            <w:pPr>
              <w:spacing w:after="0"/>
              <w:rPr>
                <w:sz w:val="24"/>
                <w:szCs w:val="24"/>
                <w:color w:val="auto"/>
              </w:rPr>
            </w:pPr>
          </w:p>
        </w:tc>
        <w:tc>
          <w:tcPr>
            <w:tcW w:w="3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pacing w:after="0" w:line="131" w:lineRule="exact"/>
        <w:rPr>
          <w:sz w:val="20"/>
          <w:szCs w:val="20"/>
          <w:color w:val="auto"/>
        </w:rPr>
      </w:pPr>
    </w:p>
    <w:p>
      <w:pPr>
        <w:ind w:left="320" w:hanging="312"/>
        <w:spacing w:after="0"/>
        <w:tabs>
          <w:tab w:leader="none" w:pos="320" w:val="left"/>
        </w:tabs>
        <w:numPr>
          <w:ilvl w:val="0"/>
          <w:numId w:val="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Other includes product sales for swabs and other accessories.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Stock-Based Compensation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 Expense</w:t>
      </w:r>
    </w:p>
    <w:p>
      <w:pPr>
        <w:spacing w:after="0" w:line="11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Total stock-based compensation expense for the three and six months ended March 31, 2026 and 2025 and the respective income tax benefits recognized by the Company in the Condensed Consolidated Statements of Income are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600" w:type="dxa"/>
            <w:vAlign w:val="bottom"/>
          </w:tcPr>
          <w:p>
            <w:pPr>
              <w:spacing w:after="0"/>
              <w:rPr>
                <w:sz w:val="18"/>
                <w:szCs w:val="18"/>
                <w:color w:val="auto"/>
              </w:rPr>
            </w:pPr>
          </w:p>
        </w:tc>
        <w:tc>
          <w:tcPr>
            <w:tcW w:w="2860" w:type="dxa"/>
            <w:vAlign w:val="bottom"/>
            <w:gridSpan w:val="4"/>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00" w:type="dxa"/>
            <w:vAlign w:val="bottom"/>
            <w:gridSpan w:val="4"/>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Six months ended March 31,</w:t>
            </w:r>
          </w:p>
        </w:tc>
        <w:tc>
          <w:tcPr>
            <w:tcW w:w="0" w:type="dxa"/>
            <w:vAlign w:val="bottom"/>
          </w:tcPr>
          <w:p>
            <w:pPr>
              <w:spacing w:after="0"/>
              <w:rPr>
                <w:sz w:val="1"/>
                <w:szCs w:val="1"/>
                <w:color w:val="auto"/>
              </w:rPr>
            </w:pPr>
          </w:p>
        </w:tc>
      </w:tr>
      <w:tr>
        <w:trPr>
          <w:trHeight w:val="33"/>
        </w:trPr>
        <w:tc>
          <w:tcPr>
            <w:tcW w:w="46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4600" w:type="dxa"/>
            <w:vAlign w:val="bottom"/>
          </w:tcPr>
          <w:p>
            <w:pPr>
              <w:spacing w:after="0"/>
              <w:rPr>
                <w:sz w:val="17"/>
                <w:szCs w:val="17"/>
                <w:color w:val="auto"/>
              </w:rPr>
            </w:pPr>
          </w:p>
        </w:tc>
        <w:tc>
          <w:tcPr>
            <w:tcW w:w="112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31"/>
        </w:trPr>
        <w:tc>
          <w:tcPr>
            <w:tcW w:w="46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products sold</w:t>
            </w:r>
          </w:p>
        </w:tc>
        <w:tc>
          <w:tcPr>
            <w:tcW w:w="1120" w:type="dxa"/>
            <w:vAlign w:val="bottom"/>
            <w:tcBorders>
              <w:bottom w:val="single" w:sz="8" w:color="CCEEFF"/>
            </w:tcBorders>
            <w:shd w:val="clear" w:color="auto" w:fill="CCEEFF"/>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ind w:right="99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10"/>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Selling and administrative expense</w:t>
            </w:r>
          </w:p>
        </w:tc>
        <w:tc>
          <w:tcPr>
            <w:tcW w:w="1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0" w:type="dxa"/>
            <w:vAlign w:val="bottom"/>
          </w:tcPr>
          <w:p>
            <w:pPr>
              <w:spacing w:after="0"/>
              <w:rPr>
                <w:sz w:val="1"/>
                <w:szCs w:val="1"/>
                <w:color w:val="auto"/>
              </w:rPr>
            </w:pPr>
          </w:p>
        </w:tc>
      </w:tr>
      <w:tr>
        <w:trPr>
          <w:trHeight w:val="33"/>
        </w:trPr>
        <w:tc>
          <w:tcPr>
            <w:tcW w:w="46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 expense</w:t>
            </w:r>
          </w:p>
        </w:tc>
        <w:tc>
          <w:tcPr>
            <w:tcW w:w="11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210"/>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operating expense, net</w:t>
            </w:r>
          </w:p>
        </w:tc>
        <w:tc>
          <w:tcPr>
            <w:tcW w:w="112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33"/>
        </w:trPr>
        <w:tc>
          <w:tcPr>
            <w:tcW w:w="46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Stock-Based Compensation Expense</w:t>
            </w:r>
          </w:p>
        </w:tc>
        <w:tc>
          <w:tcPr>
            <w:tcW w:w="1120" w:type="dxa"/>
            <w:vAlign w:val="bottom"/>
            <w:tcBorders>
              <w:bottom w:val="single" w:sz="8" w:color="CCEEFF"/>
            </w:tcBorders>
            <w:shd w:val="clear" w:color="auto" w:fill="CCEEFF"/>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99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0" w:type="dxa"/>
            <w:vAlign w:val="bottom"/>
          </w:tcPr>
          <w:p>
            <w:pPr>
              <w:spacing w:after="0"/>
              <w:rPr>
                <w:sz w:val="1"/>
                <w:szCs w:val="1"/>
                <w:color w:val="auto"/>
              </w:rPr>
            </w:pPr>
          </w:p>
        </w:tc>
      </w:tr>
      <w:tr>
        <w:trPr>
          <w:trHeight w:val="169"/>
        </w:trPr>
        <w:tc>
          <w:tcPr>
            <w:tcW w:w="4600" w:type="dxa"/>
            <w:vAlign w:val="bottom"/>
          </w:tcPr>
          <w:p>
            <w:pPr>
              <w:ind w:left="20"/>
              <w:spacing w:after="0" w:line="169" w:lineRule="exact"/>
              <w:rPr>
                <w:sz w:val="20"/>
                <w:szCs w:val="20"/>
                <w:color w:val="auto"/>
              </w:rPr>
            </w:pPr>
            <w:r>
              <w:rPr>
                <w:rFonts w:ascii="Times New Roman" w:cs="Times New Roman" w:eastAsia="Times New Roman" w:hAnsi="Times New Roman"/>
                <w:sz w:val="16"/>
                <w:szCs w:val="16"/>
                <w:color w:val="auto"/>
              </w:rPr>
              <w:t>Tax benefit associated with stock-based compensation costs</w:t>
            </w:r>
          </w:p>
        </w:tc>
        <w:tc>
          <w:tcPr>
            <w:tcW w:w="1120" w:type="dxa"/>
            <w:vAlign w:val="bottom"/>
            <w:tcBorders>
              <w:top w:val="single" w:sz="8" w:color="auto"/>
            </w:tcBorders>
            <w:vMerge w:val="restart"/>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tcPr>
          <w:p>
            <w:pPr>
              <w:spacing w:after="0"/>
              <w:rPr>
                <w:sz w:val="14"/>
                <w:szCs w:val="14"/>
                <w:color w:val="auto"/>
              </w:rPr>
            </w:pPr>
          </w:p>
        </w:tc>
        <w:tc>
          <w:tcPr>
            <w:tcW w:w="1180" w:type="dxa"/>
            <w:vAlign w:val="bottom"/>
            <w:tcBorders>
              <w:top w:val="single" w:sz="8" w:color="auto"/>
            </w:tcBorders>
            <w:vMerge w:val="restart"/>
          </w:tcPr>
          <w:p>
            <w:pPr>
              <w:jc w:val="right"/>
              <w:ind w:right="99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14"/>
                <w:szCs w:val="14"/>
                <w:color w:val="auto"/>
              </w:rPr>
            </w:pPr>
          </w:p>
        </w:tc>
        <w:tc>
          <w:tcPr>
            <w:tcW w:w="360" w:type="dxa"/>
            <w:vAlign w:val="bottom"/>
            <w:tcBorders>
              <w:top w:val="single" w:sz="8" w:color="auto"/>
            </w:tcBorders>
            <w:vMerge w:val="restart"/>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4"/>
                <w:szCs w:val="14"/>
                <w:color w:val="auto"/>
              </w:rPr>
            </w:pPr>
          </w:p>
        </w:tc>
        <w:tc>
          <w:tcPr>
            <w:tcW w:w="360" w:type="dxa"/>
            <w:vAlign w:val="bottom"/>
            <w:tcBorders>
              <w:top w:val="single" w:sz="8" w:color="auto"/>
            </w:tcBorders>
            <w:vMerge w:val="restart"/>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08"/>
        </w:trPr>
        <w:tc>
          <w:tcPr>
            <w:tcW w:w="46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recognized</w:t>
            </w:r>
          </w:p>
        </w:tc>
        <w:tc>
          <w:tcPr>
            <w:tcW w:w="1120" w:type="dxa"/>
            <w:vAlign w:val="bottom"/>
            <w:tcBorders>
              <w:bottom w:val="single" w:sz="8" w:color="auto"/>
            </w:tcBorders>
            <w:vMerge w:val="continue"/>
          </w:tcPr>
          <w:p>
            <w:pPr>
              <w:spacing w:after="0"/>
              <w:rPr>
                <w:sz w:val="17"/>
                <w:szCs w:val="17"/>
                <w:color w:val="auto"/>
              </w:rPr>
            </w:pPr>
          </w:p>
        </w:tc>
        <w:tc>
          <w:tcPr>
            <w:tcW w:w="4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40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bottom w:val="single" w:sz="8" w:color="auto"/>
            </w:tcBorders>
            <w:vMerge w:val="continue"/>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vMerge w:val="continue"/>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total stock-based compensation expense by classification of award for the three and six months ended</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2026 and 2025:</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600" w:type="dxa"/>
            <w:vAlign w:val="bottom"/>
          </w:tcPr>
          <w:p>
            <w:pPr>
              <w:spacing w:after="0"/>
              <w:rPr>
                <w:sz w:val="18"/>
                <w:szCs w:val="18"/>
                <w:color w:val="auto"/>
              </w:rPr>
            </w:pPr>
          </w:p>
        </w:tc>
        <w:tc>
          <w:tcPr>
            <w:tcW w:w="2860" w:type="dxa"/>
            <w:vAlign w:val="bottom"/>
            <w:gridSpan w:val="4"/>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80" w:type="dxa"/>
            <w:vAlign w:val="bottom"/>
            <w:gridSpan w:val="4"/>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Six Months Ended March 31,</w:t>
            </w:r>
          </w:p>
        </w:tc>
        <w:tc>
          <w:tcPr>
            <w:tcW w:w="480" w:type="dxa"/>
            <w:vAlign w:val="bottom"/>
          </w:tcPr>
          <w:p>
            <w:pPr>
              <w:spacing w:after="0"/>
              <w:rPr>
                <w:sz w:val="18"/>
                <w:szCs w:val="18"/>
                <w:color w:val="auto"/>
              </w:rPr>
            </w:pPr>
          </w:p>
        </w:tc>
      </w:tr>
      <w:tr>
        <w:trPr>
          <w:trHeight w:val="33"/>
        </w:trPr>
        <w:tc>
          <w:tcPr>
            <w:tcW w:w="46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06"/>
        </w:trPr>
        <w:tc>
          <w:tcPr>
            <w:tcW w:w="4600" w:type="dxa"/>
            <w:vAlign w:val="bottom"/>
          </w:tcPr>
          <w:p>
            <w:pPr>
              <w:spacing w:after="0"/>
              <w:rPr>
                <w:sz w:val="17"/>
                <w:szCs w:val="17"/>
                <w:color w:val="auto"/>
              </w:rPr>
            </w:pPr>
          </w:p>
        </w:tc>
        <w:tc>
          <w:tcPr>
            <w:tcW w:w="112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480" w:type="dxa"/>
            <w:vAlign w:val="bottom"/>
          </w:tcPr>
          <w:p>
            <w:pPr>
              <w:spacing w:after="0"/>
              <w:rPr>
                <w:sz w:val="17"/>
                <w:szCs w:val="17"/>
                <w:color w:val="auto"/>
              </w:rPr>
            </w:pPr>
          </w:p>
        </w:tc>
      </w:tr>
      <w:tr>
        <w:trPr>
          <w:trHeight w:val="31"/>
        </w:trPr>
        <w:tc>
          <w:tcPr>
            <w:tcW w:w="46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17"/>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Awards</w:t>
            </w:r>
          </w:p>
        </w:tc>
        <w:tc>
          <w:tcPr>
            <w:tcW w:w="1120" w:type="dxa"/>
            <w:vAlign w:val="bottom"/>
            <w:tcBorders>
              <w:bottom w:val="single" w:sz="8" w:color="CCEEFF"/>
            </w:tcBorders>
            <w:shd w:val="clear" w:color="auto" w:fill="CCEEFF"/>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ind w:right="99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w:t>
            </w:r>
          </w:p>
        </w:tc>
      </w:tr>
      <w:tr>
        <w:trPr>
          <w:trHeight w:val="210"/>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Liability Awards</w:t>
            </w:r>
          </w:p>
        </w:tc>
        <w:tc>
          <w:tcPr>
            <w:tcW w:w="112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spacing w:after="0"/>
              <w:rPr>
                <w:sz w:val="18"/>
                <w:szCs w:val="18"/>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33"/>
        </w:trPr>
        <w:tc>
          <w:tcPr>
            <w:tcW w:w="46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16"/>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120" w:type="dxa"/>
            <w:vAlign w:val="bottom"/>
            <w:tcBorders>
              <w:bottom w:val="single" w:sz="8" w:color="CCEEFF"/>
            </w:tcBorders>
            <w:shd w:val="clear" w:color="auto" w:fill="CCEEFF"/>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ind w:right="99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w:t>
            </w:r>
          </w:p>
        </w:tc>
      </w:tr>
      <w:tr>
        <w:trPr>
          <w:trHeight w:val="20"/>
        </w:trPr>
        <w:tc>
          <w:tcPr>
            <w:tcW w:w="46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3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Company's total stock-based compensation expense by award type for the three and six months ended March 31, 2026 and 2025:</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640" w:type="dxa"/>
            <w:vAlign w:val="bottom"/>
          </w:tcPr>
          <w:p>
            <w:pPr>
              <w:spacing w:after="0"/>
              <w:rPr>
                <w:sz w:val="18"/>
                <w:szCs w:val="18"/>
                <w:color w:val="auto"/>
              </w:rPr>
            </w:pPr>
          </w:p>
        </w:tc>
        <w:tc>
          <w:tcPr>
            <w:tcW w:w="2840" w:type="dxa"/>
            <w:vAlign w:val="bottom"/>
            <w:gridSpan w:val="4"/>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80" w:type="dxa"/>
            <w:vAlign w:val="bottom"/>
            <w:gridSpan w:val="4"/>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Six Months Ended March 31,</w:t>
            </w:r>
          </w:p>
        </w:tc>
        <w:tc>
          <w:tcPr>
            <w:tcW w:w="480" w:type="dxa"/>
            <w:vAlign w:val="bottom"/>
          </w:tcPr>
          <w:p>
            <w:pPr>
              <w:spacing w:after="0"/>
              <w:rPr>
                <w:sz w:val="18"/>
                <w:szCs w:val="18"/>
                <w:color w:val="auto"/>
              </w:rPr>
            </w:pPr>
          </w:p>
        </w:tc>
      </w:tr>
      <w:tr>
        <w:trPr>
          <w:trHeight w:val="33"/>
        </w:trPr>
        <w:tc>
          <w:tcPr>
            <w:tcW w:w="46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06"/>
        </w:trPr>
        <w:tc>
          <w:tcPr>
            <w:tcW w:w="4640" w:type="dxa"/>
            <w:vAlign w:val="bottom"/>
          </w:tcPr>
          <w:p>
            <w:pPr>
              <w:spacing w:after="0"/>
              <w:rPr>
                <w:sz w:val="17"/>
                <w:szCs w:val="17"/>
                <w:color w:val="auto"/>
              </w:rPr>
            </w:pPr>
          </w:p>
        </w:tc>
        <w:tc>
          <w:tcPr>
            <w:tcW w:w="112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480" w:type="dxa"/>
            <w:vAlign w:val="bottom"/>
          </w:tcPr>
          <w:p>
            <w:pPr>
              <w:spacing w:after="0"/>
              <w:rPr>
                <w:sz w:val="17"/>
                <w:szCs w:val="17"/>
                <w:color w:val="auto"/>
              </w:rPr>
            </w:pPr>
          </w:p>
        </w:tc>
      </w:tr>
      <w:tr>
        <w:trPr>
          <w:trHeight w:val="31"/>
        </w:trPr>
        <w:tc>
          <w:tcPr>
            <w:tcW w:w="46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16"/>
        </w:trPr>
        <w:tc>
          <w:tcPr>
            <w:tcW w:w="4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Time-Vested Restricted Stock Units (TVUs)</w:t>
            </w:r>
          </w:p>
        </w:tc>
        <w:tc>
          <w:tcPr>
            <w:tcW w:w="1120" w:type="dxa"/>
            <w:vAlign w:val="bottom"/>
            <w:tcBorders>
              <w:bottom w:val="single" w:sz="8" w:color="CCEEFF"/>
            </w:tcBorders>
            <w:shd w:val="clear" w:color="auto" w:fill="CCEEFF"/>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97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r>
      <w:tr>
        <w:trPr>
          <w:trHeight w:val="210"/>
        </w:trPr>
        <w:tc>
          <w:tcPr>
            <w:tcW w:w="4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Performance-Based Restricted Stock Units (PSUs)</w:t>
            </w:r>
          </w:p>
        </w:tc>
        <w:tc>
          <w:tcPr>
            <w:tcW w:w="1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33"/>
        </w:trPr>
        <w:tc>
          <w:tcPr>
            <w:tcW w:w="46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43"/>
        </w:trPr>
        <w:tc>
          <w:tcPr>
            <w:tcW w:w="4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Appreciation Rights (SARs)</w:t>
            </w:r>
          </w:p>
        </w:tc>
        <w:tc>
          <w:tcPr>
            <w:tcW w:w="1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04"/>
        </w:trPr>
        <w:tc>
          <w:tcPr>
            <w:tcW w:w="4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120" w:type="dxa"/>
            <w:vAlign w:val="bottom"/>
            <w:tcBorders>
              <w:top w:val="single" w:sz="8" w:color="auto"/>
            </w:tcBorders>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Pr>
          <w:p>
            <w:pPr>
              <w:spacing w:after="0"/>
              <w:rPr>
                <w:sz w:val="17"/>
                <w:szCs w:val="17"/>
                <w:color w:val="auto"/>
              </w:rPr>
            </w:pPr>
          </w:p>
        </w:tc>
        <w:tc>
          <w:tcPr>
            <w:tcW w:w="1160" w:type="dxa"/>
            <w:vAlign w:val="bottom"/>
            <w:tcBorders>
              <w:top w:val="single" w:sz="8" w:color="auto"/>
            </w:tcBorders>
          </w:tcPr>
          <w:p>
            <w:pPr>
              <w:jc w:val="right"/>
              <w:ind w:right="97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80" w:type="dxa"/>
            <w:vAlign w:val="bottom"/>
          </w:tcPr>
          <w:p>
            <w:pPr>
              <w:spacing w:after="0"/>
              <w:rPr>
                <w:sz w:val="17"/>
                <w:szCs w:val="17"/>
                <w:color w:val="auto"/>
              </w:rPr>
            </w:pPr>
          </w:p>
        </w:tc>
        <w:tc>
          <w:tcPr>
            <w:tcW w:w="1100" w:type="dxa"/>
            <w:vAlign w:val="bottom"/>
            <w:tcBorders>
              <w:top w:val="single" w:sz="8" w:color="auto"/>
            </w:tcBorders>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00" w:type="dxa"/>
            <w:vAlign w:val="bottom"/>
          </w:tcPr>
          <w:p>
            <w:pPr>
              <w:spacing w:after="0"/>
              <w:rPr>
                <w:sz w:val="17"/>
                <w:szCs w:val="17"/>
                <w:color w:val="auto"/>
              </w:rPr>
            </w:pPr>
          </w:p>
        </w:tc>
        <w:tc>
          <w:tcPr>
            <w:tcW w:w="1100" w:type="dxa"/>
            <w:vAlign w:val="bottom"/>
            <w:tcBorders>
              <w:top w:val="single" w:sz="8" w:color="auto"/>
            </w:tcBorders>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w:t>
            </w:r>
          </w:p>
        </w:tc>
      </w:tr>
      <w:tr>
        <w:trPr>
          <w:trHeight w:val="33"/>
        </w:trPr>
        <w:tc>
          <w:tcPr>
            <w:tcW w:w="46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B2A29"/>
        </w:rPr>
        <w:t>Time Vested Restricted Stock Units ("TVUs")</w:t>
      </w:r>
    </w:p>
    <w:p>
      <w:pPr>
        <w:spacing w:after="0" w:line="10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2B2A29"/>
        </w:rPr>
        <w:t xml:space="preserve">During the six </w:t>
      </w:r>
      <w:r>
        <w:rPr>
          <w:rFonts w:ascii="Times New Roman" w:cs="Times New Roman" w:eastAsia="Times New Roman" w:hAnsi="Times New Roman"/>
          <w:sz w:val="18"/>
          <w:szCs w:val="18"/>
          <w:color w:val="000000"/>
        </w:rPr>
        <w:t>months ended March 31, 2026</w:t>
      </w:r>
      <w:r>
        <w:rPr>
          <w:rFonts w:ascii="Times New Roman" w:cs="Times New Roman" w:eastAsia="Times New Roman" w:hAnsi="Times New Roman"/>
          <w:sz w:val="18"/>
          <w:szCs w:val="18"/>
          <w:color w:val="2B2A29"/>
        </w:rPr>
        <w:t>, Embecta granted 2,051,995 restricted stock units ("RSUs") in the form of TVUs to employees. TVUs vest on a graded basis over a period of three years. The related stock-based compensation expense is recorded over the requisite service period, which is the vesting period or is based on retirement eligibility. These awards accumulate dividend equivalents, which are provided as additional units and are subject to the same vesting requirements as the underlying grant.</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TVUs outstanding as of March 31, 2026 and changes during the six months ended March 31, 2026 are as follows: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40" w:type="dxa"/>
            <w:vAlign w:val="bottom"/>
          </w:tcPr>
          <w:p>
            <w:pPr>
              <w:spacing w:after="0"/>
              <w:rPr>
                <w:sz w:val="16"/>
                <w:szCs w:val="16"/>
                <w:color w:val="auto"/>
              </w:rPr>
            </w:pPr>
          </w:p>
        </w:tc>
        <w:tc>
          <w:tcPr>
            <w:tcW w:w="170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TVUs (in thousands)</w:t>
            </w:r>
          </w:p>
        </w:tc>
        <w:tc>
          <w:tcPr>
            <w:tcW w:w="140" w:type="dxa"/>
            <w:vAlign w:val="bottom"/>
          </w:tcPr>
          <w:p>
            <w:pPr>
              <w:spacing w:after="0"/>
              <w:rPr>
                <w:sz w:val="16"/>
                <w:szCs w:val="16"/>
                <w:color w:val="auto"/>
              </w:rPr>
            </w:pPr>
          </w:p>
        </w:tc>
        <w:tc>
          <w:tcPr>
            <w:tcW w:w="146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Weighted Average</w:t>
            </w:r>
          </w:p>
        </w:tc>
        <w:tc>
          <w:tcPr>
            <w:tcW w:w="0" w:type="dxa"/>
            <w:vAlign w:val="bottom"/>
          </w:tcPr>
          <w:p>
            <w:pPr>
              <w:spacing w:after="0"/>
              <w:rPr>
                <w:sz w:val="1"/>
                <w:szCs w:val="1"/>
                <w:color w:val="auto"/>
              </w:rPr>
            </w:pPr>
          </w:p>
        </w:tc>
      </w:tr>
      <w:tr>
        <w:trPr>
          <w:trHeight w:val="225"/>
        </w:trPr>
        <w:tc>
          <w:tcPr>
            <w:tcW w:w="7940" w:type="dxa"/>
            <w:vAlign w:val="bottom"/>
          </w:tcPr>
          <w:p>
            <w:pPr>
              <w:spacing w:after="0"/>
              <w:rPr>
                <w:sz w:val="19"/>
                <w:szCs w:val="19"/>
                <w:color w:val="auto"/>
              </w:rPr>
            </w:pPr>
          </w:p>
        </w:tc>
        <w:tc>
          <w:tcPr>
            <w:tcW w:w="1700" w:type="dxa"/>
            <w:vAlign w:val="bottom"/>
            <w:gridSpan w:val="2"/>
            <w:vMerge w:val="continue"/>
          </w:tcPr>
          <w:p>
            <w:pPr>
              <w:spacing w:after="0"/>
              <w:rPr>
                <w:sz w:val="19"/>
                <w:szCs w:val="19"/>
                <w:color w:val="auto"/>
              </w:rPr>
            </w:pPr>
          </w:p>
        </w:tc>
        <w:tc>
          <w:tcPr>
            <w:tcW w:w="16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Grant Date Fair Value</w:t>
            </w:r>
          </w:p>
        </w:tc>
        <w:tc>
          <w:tcPr>
            <w:tcW w:w="0" w:type="dxa"/>
            <w:vAlign w:val="bottom"/>
          </w:tcPr>
          <w:p>
            <w:pPr>
              <w:spacing w:after="0"/>
              <w:rPr>
                <w:sz w:val="1"/>
                <w:szCs w:val="1"/>
                <w:color w:val="auto"/>
              </w:rPr>
            </w:pPr>
          </w:p>
        </w:tc>
      </w:tr>
      <w:tr>
        <w:trPr>
          <w:trHeight w:val="223"/>
        </w:trPr>
        <w:tc>
          <w:tcPr>
            <w:tcW w:w="7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at October 1</w:t>
            </w:r>
          </w:p>
        </w:tc>
        <w:tc>
          <w:tcPr>
            <w:tcW w:w="1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2,055.4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18.97</w:t>
            </w:r>
          </w:p>
        </w:tc>
        <w:tc>
          <w:tcPr>
            <w:tcW w:w="0" w:type="dxa"/>
            <w:vAlign w:val="bottom"/>
          </w:tcPr>
          <w:p>
            <w:pPr>
              <w:spacing w:after="0"/>
              <w:rPr>
                <w:sz w:val="1"/>
                <w:szCs w:val="1"/>
                <w:color w:val="auto"/>
              </w:rPr>
            </w:pPr>
          </w:p>
        </w:tc>
      </w:tr>
      <w:tr>
        <w:trPr>
          <w:trHeight w:val="210"/>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Granted*</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12.37</w:t>
            </w:r>
          </w:p>
        </w:tc>
        <w:tc>
          <w:tcPr>
            <w:tcW w:w="0" w:type="dxa"/>
            <w:vAlign w:val="bottom"/>
          </w:tcPr>
          <w:p>
            <w:pPr>
              <w:spacing w:after="0"/>
              <w:rPr>
                <w:sz w:val="1"/>
                <w:szCs w:val="1"/>
                <w:color w:val="auto"/>
              </w:rPr>
            </w:pPr>
          </w:p>
        </w:tc>
      </w:tr>
      <w:tr>
        <w:trPr>
          <w:trHeight w:val="33"/>
        </w:trPr>
        <w:tc>
          <w:tcPr>
            <w:tcW w:w="79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Distributed**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(953.9)</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19.67</w:t>
            </w:r>
          </w:p>
        </w:tc>
        <w:tc>
          <w:tcPr>
            <w:tcW w:w="0" w:type="dxa"/>
            <w:vAlign w:val="bottom"/>
          </w:tcPr>
          <w:p>
            <w:pPr>
              <w:spacing w:after="0"/>
              <w:rPr>
                <w:sz w:val="1"/>
                <w:szCs w:val="1"/>
                <w:color w:val="auto"/>
              </w:rPr>
            </w:pPr>
          </w:p>
        </w:tc>
      </w:tr>
      <w:tr>
        <w:trPr>
          <w:trHeight w:val="210"/>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Forfeited, canceled or expired</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15.41</w:t>
            </w:r>
          </w:p>
        </w:tc>
        <w:tc>
          <w:tcPr>
            <w:tcW w:w="0" w:type="dxa"/>
            <w:vAlign w:val="bottom"/>
          </w:tcPr>
          <w:p>
            <w:pPr>
              <w:spacing w:after="0"/>
              <w:rPr>
                <w:sz w:val="1"/>
                <w:szCs w:val="1"/>
                <w:color w:val="auto"/>
              </w:rPr>
            </w:pPr>
          </w:p>
        </w:tc>
      </w:tr>
      <w:tr>
        <w:trPr>
          <w:trHeight w:val="33"/>
        </w:trPr>
        <w:tc>
          <w:tcPr>
            <w:tcW w:w="794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at March 31</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2,972.0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14.44</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Expected to vest at March 31</w:t>
            </w: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940" w:type="dxa"/>
            <w:vAlign w:val="bottom"/>
            <w:vMerge w:val="continue"/>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2,808.9</w:t>
            </w:r>
          </w:p>
        </w:tc>
        <w:tc>
          <w:tcPr>
            <w:tcW w:w="100" w:type="dxa"/>
            <w:vAlign w:val="bottom"/>
          </w:tcPr>
          <w:p>
            <w:pPr>
              <w:spacing w:after="0"/>
              <w:rPr>
                <w:sz w:val="16"/>
                <w:szCs w:val="16"/>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14.44</w:t>
            </w:r>
          </w:p>
        </w:tc>
        <w:tc>
          <w:tcPr>
            <w:tcW w:w="0" w:type="dxa"/>
            <w:vAlign w:val="bottom"/>
          </w:tcPr>
          <w:p>
            <w:pPr>
              <w:spacing w:after="0"/>
              <w:rPr>
                <w:sz w:val="1"/>
                <w:szCs w:val="1"/>
                <w:color w:val="auto"/>
              </w:rPr>
            </w:pPr>
          </w:p>
        </w:tc>
      </w:tr>
      <w:tr>
        <w:trPr>
          <w:trHeight w:val="33"/>
        </w:trPr>
        <w:tc>
          <w:tcPr>
            <w:tcW w:w="794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*Includes accumulated nonvested dividend equivalents</w:t>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**The TVUs distributed include shares withheld for taxes that are not formally issued to the market.</w:t>
      </w:r>
    </w:p>
    <w:p>
      <w:pPr>
        <w:spacing w:after="0" w:line="23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weighted average grant date fair value of TVUs granted during the six months ended March 31, 2026 is $12.37 and the total fair value of TVUs vested during the six months ended March 31, 2026 is $19.0 million.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March 31, 2026, the weighted average remaining vesting term of TVUs is 1.9 years.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B2A29"/>
        </w:rPr>
        <w:t>Performance Based Restricted Stock Units ("PSUs")</w:t>
      </w:r>
    </w:p>
    <w:p>
      <w:pPr>
        <w:spacing w:after="0" w:line="1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B2A29"/>
        </w:rPr>
        <w:t xml:space="preserve">During the </w:t>
      </w:r>
      <w:r>
        <w:rPr>
          <w:rFonts w:ascii="Times New Roman" w:cs="Times New Roman" w:eastAsia="Times New Roman" w:hAnsi="Times New Roman"/>
          <w:sz w:val="18"/>
          <w:szCs w:val="18"/>
          <w:color w:val="000000"/>
        </w:rPr>
        <w:t>six months ended March 31, 2026</w:t>
      </w:r>
      <w:r>
        <w:rPr>
          <w:rFonts w:ascii="Times New Roman" w:cs="Times New Roman" w:eastAsia="Times New Roman" w:hAnsi="Times New Roman"/>
          <w:sz w:val="18"/>
          <w:szCs w:val="18"/>
          <w:color w:val="2B2A29"/>
        </w:rPr>
        <w:t>, Embecta granted 1,292,948 RSUs in the form of PSUs to certain executive officers and employees which cliff vest after three years, subject to continued employment of the recipients and the achievement of certain performance metric targets.</w:t>
      </w:r>
    </w:p>
    <w:p>
      <w:pPr>
        <w:spacing w:after="0" w:line="5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2B2A29"/>
        </w:rPr>
        <w:t xml:space="preserve">For PSUs awarded in the prior fiscal year, certain performance metrics and targets will be fully established at a future date. The Company has determined that the service inception date precedes the grant date for these awards as (a) the awards were authorized prior to establishing an accounting grant date, (b) the recipients began providing services prior to the grant date, and (c) there are performance conditions that, if not met by the accounting grant date, will result in the forfeiture of the awards. As the service inception date precedes the accounting grant date, the Company recognizes stock-based compensation expense over the requisite service period based on the fair value at each reporting date. The requisite service period is equal to the vesting period or is based on retirement eligibility. These awards accumulate dividend equivalents, which are provided as additional units and are subject to the same vesting requirements as the underlying grant. As of </w:t>
      </w:r>
      <w:r>
        <w:rPr>
          <w:rFonts w:ascii="Times New Roman" w:cs="Times New Roman" w:eastAsia="Times New Roman" w:hAnsi="Times New Roman"/>
          <w:sz w:val="18"/>
          <w:szCs w:val="18"/>
          <w:color w:val="000000"/>
        </w:rPr>
        <w:t>March 31, 2026</w:t>
      </w:r>
      <w:r>
        <w:rPr>
          <w:rFonts w:ascii="Times New Roman" w:cs="Times New Roman" w:eastAsia="Times New Roman" w:hAnsi="Times New Roman"/>
          <w:sz w:val="18"/>
          <w:szCs w:val="18"/>
          <w:color w:val="2B2A29"/>
        </w:rPr>
        <w:t>, there were 468,922 RSUs in the form of PSUs that have been awarded, inclusive of accumulated dividend equivalents, for which a grant date has not yet been established.</w:t>
      </w:r>
    </w:p>
    <w:p>
      <w:pPr>
        <w:spacing w:after="0" w:line="200" w:lineRule="exact"/>
        <w:rPr>
          <w:sz w:val="20"/>
          <w:szCs w:val="20"/>
          <w:color w:val="auto"/>
        </w:rPr>
      </w:pPr>
    </w:p>
    <w:p>
      <w:pPr>
        <w:spacing w:after="0" w:line="2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PSUs outstanding as of March 31, 2026 and changes during the six months ended March 31, 2026 are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40" w:type="dxa"/>
            <w:vAlign w:val="bottom"/>
          </w:tcPr>
          <w:p>
            <w:pPr>
              <w:spacing w:after="0"/>
              <w:rPr>
                <w:sz w:val="16"/>
                <w:szCs w:val="16"/>
                <w:color w:val="auto"/>
              </w:rPr>
            </w:pP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Stock Units (in</w:t>
            </w:r>
          </w:p>
        </w:tc>
        <w:tc>
          <w:tcPr>
            <w:tcW w:w="140" w:type="dxa"/>
            <w:vAlign w:val="bottom"/>
          </w:tcPr>
          <w:p>
            <w:pPr>
              <w:spacing w:after="0"/>
              <w:rPr>
                <w:sz w:val="16"/>
                <w:szCs w:val="16"/>
                <w:color w:val="auto"/>
              </w:rPr>
            </w:pPr>
          </w:p>
        </w:tc>
        <w:tc>
          <w:tcPr>
            <w:tcW w:w="146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Weighted Average</w:t>
            </w:r>
          </w:p>
        </w:tc>
        <w:tc>
          <w:tcPr>
            <w:tcW w:w="0" w:type="dxa"/>
            <w:vAlign w:val="bottom"/>
          </w:tcPr>
          <w:p>
            <w:pPr>
              <w:spacing w:after="0"/>
              <w:rPr>
                <w:sz w:val="1"/>
                <w:szCs w:val="1"/>
                <w:color w:val="auto"/>
              </w:rPr>
            </w:pPr>
          </w:p>
        </w:tc>
      </w:tr>
      <w:tr>
        <w:trPr>
          <w:trHeight w:val="225"/>
        </w:trPr>
        <w:tc>
          <w:tcPr>
            <w:tcW w:w="7940" w:type="dxa"/>
            <w:vAlign w:val="bottom"/>
          </w:tcPr>
          <w:p>
            <w:pPr>
              <w:spacing w:after="0"/>
              <w:rPr>
                <w:sz w:val="19"/>
                <w:szCs w:val="19"/>
                <w:color w:val="auto"/>
              </w:rPr>
            </w:pP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thousands)</w:t>
            </w:r>
          </w:p>
        </w:tc>
        <w:tc>
          <w:tcPr>
            <w:tcW w:w="16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Grant Date Fair Value</w:t>
            </w:r>
          </w:p>
        </w:tc>
        <w:tc>
          <w:tcPr>
            <w:tcW w:w="0" w:type="dxa"/>
            <w:vAlign w:val="bottom"/>
          </w:tcPr>
          <w:p>
            <w:pPr>
              <w:spacing w:after="0"/>
              <w:rPr>
                <w:sz w:val="1"/>
                <w:szCs w:val="1"/>
                <w:color w:val="auto"/>
              </w:rPr>
            </w:pPr>
          </w:p>
        </w:tc>
      </w:tr>
      <w:tr>
        <w:trPr>
          <w:trHeight w:val="223"/>
        </w:trPr>
        <w:tc>
          <w:tcPr>
            <w:tcW w:w="7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at October 1</w:t>
            </w:r>
          </w:p>
        </w:tc>
        <w:tc>
          <w:tcPr>
            <w:tcW w:w="1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22.63</w:t>
            </w:r>
          </w:p>
        </w:tc>
        <w:tc>
          <w:tcPr>
            <w:tcW w:w="0" w:type="dxa"/>
            <w:vAlign w:val="bottom"/>
          </w:tcPr>
          <w:p>
            <w:pPr>
              <w:spacing w:after="0"/>
              <w:rPr>
                <w:sz w:val="1"/>
                <w:szCs w:val="1"/>
                <w:color w:val="auto"/>
              </w:rPr>
            </w:pPr>
          </w:p>
        </w:tc>
      </w:tr>
      <w:tr>
        <w:trPr>
          <w:trHeight w:val="210"/>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Granted*</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1,292.9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11.80</w:t>
            </w:r>
          </w:p>
        </w:tc>
        <w:tc>
          <w:tcPr>
            <w:tcW w:w="0" w:type="dxa"/>
            <w:vAlign w:val="bottom"/>
          </w:tcPr>
          <w:p>
            <w:pPr>
              <w:spacing w:after="0"/>
              <w:rPr>
                <w:sz w:val="1"/>
                <w:szCs w:val="1"/>
                <w:color w:val="auto"/>
              </w:rPr>
            </w:pPr>
          </w:p>
        </w:tc>
      </w:tr>
      <w:tr>
        <w:trPr>
          <w:trHeight w:val="33"/>
        </w:trPr>
        <w:tc>
          <w:tcPr>
            <w:tcW w:w="79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Distributed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18.80</w:t>
            </w:r>
          </w:p>
        </w:tc>
        <w:tc>
          <w:tcPr>
            <w:tcW w:w="0" w:type="dxa"/>
            <w:vAlign w:val="bottom"/>
          </w:tcPr>
          <w:p>
            <w:pPr>
              <w:spacing w:after="0"/>
              <w:rPr>
                <w:sz w:val="1"/>
                <w:szCs w:val="1"/>
                <w:color w:val="auto"/>
              </w:rPr>
            </w:pPr>
          </w:p>
        </w:tc>
      </w:tr>
      <w:tr>
        <w:trPr>
          <w:trHeight w:val="210"/>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Forfeited, canceled or expired</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10.86</w:t>
            </w:r>
          </w:p>
        </w:tc>
        <w:tc>
          <w:tcPr>
            <w:tcW w:w="0" w:type="dxa"/>
            <w:vAlign w:val="bottom"/>
          </w:tcPr>
          <w:p>
            <w:pPr>
              <w:spacing w:after="0"/>
              <w:rPr>
                <w:sz w:val="1"/>
                <w:szCs w:val="1"/>
                <w:color w:val="auto"/>
              </w:rPr>
            </w:pPr>
          </w:p>
        </w:tc>
      </w:tr>
      <w:tr>
        <w:trPr>
          <w:trHeight w:val="33"/>
        </w:trPr>
        <w:tc>
          <w:tcPr>
            <w:tcW w:w="794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at March 31</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1,213.4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10.97</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Expected to vest at March 31</w:t>
            </w: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940" w:type="dxa"/>
            <w:vAlign w:val="bottom"/>
            <w:vMerge w:val="continue"/>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1,146.6</w:t>
            </w:r>
          </w:p>
        </w:tc>
        <w:tc>
          <w:tcPr>
            <w:tcW w:w="100" w:type="dxa"/>
            <w:vAlign w:val="bottom"/>
          </w:tcPr>
          <w:p>
            <w:pPr>
              <w:spacing w:after="0"/>
              <w:rPr>
                <w:sz w:val="16"/>
                <w:szCs w:val="16"/>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11.79</w:t>
            </w:r>
          </w:p>
        </w:tc>
        <w:tc>
          <w:tcPr>
            <w:tcW w:w="0" w:type="dxa"/>
            <w:vAlign w:val="bottom"/>
          </w:tcPr>
          <w:p>
            <w:pPr>
              <w:spacing w:after="0"/>
              <w:rPr>
                <w:sz w:val="1"/>
                <w:szCs w:val="1"/>
                <w:color w:val="auto"/>
              </w:rPr>
            </w:pPr>
          </w:p>
        </w:tc>
      </w:tr>
      <w:tr>
        <w:trPr>
          <w:trHeight w:val="33"/>
        </w:trPr>
        <w:tc>
          <w:tcPr>
            <w:tcW w:w="794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79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*Includes accumulated nonvested dividend equivalents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March 31, 2026, the weighted average remaining vesting term of PSUs is 1.9 years.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Appreciation Rights</w:t>
      </w:r>
    </w:p>
    <w:p>
      <w:pPr>
        <w:spacing w:after="0" w:line="1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summary of stock appreciation rights ("SARs") outstanding as of March 31, 2026 and changes during the six months ended March 31, 2026 are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5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gridSpan w:val="2"/>
          </w:tcPr>
          <w:p>
            <w:pPr>
              <w:jc w:val="center"/>
              <w:ind w:right="100"/>
              <w:spacing w:after="0" w:line="175" w:lineRule="exact"/>
              <w:rPr>
                <w:sz w:val="20"/>
                <w:szCs w:val="20"/>
                <w:color w:val="auto"/>
              </w:rPr>
            </w:pPr>
            <w:r>
              <w:rPr>
                <w:rFonts w:ascii="Times New Roman" w:cs="Times New Roman" w:eastAsia="Times New Roman" w:hAnsi="Times New Roman"/>
                <w:sz w:val="16"/>
                <w:szCs w:val="16"/>
                <w:b w:val="1"/>
                <w:bCs w:val="1"/>
                <w:color w:val="auto"/>
              </w:rPr>
              <w:t>Remaining</w:t>
            </w:r>
          </w:p>
        </w:tc>
        <w:tc>
          <w:tcPr>
            <w:tcW w:w="1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5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Contractual Term</w:t>
            </w:r>
          </w:p>
        </w:tc>
        <w:tc>
          <w:tcPr>
            <w:tcW w:w="120" w:type="dxa"/>
            <w:vAlign w:val="bottom"/>
          </w:tcPr>
          <w:p>
            <w:pPr>
              <w:spacing w:after="0"/>
              <w:rPr>
                <w:sz w:val="16"/>
                <w:szCs w:val="16"/>
                <w:color w:val="auto"/>
              </w:rPr>
            </w:pPr>
          </w:p>
        </w:tc>
        <w:tc>
          <w:tcPr>
            <w:tcW w:w="148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Aggregate Intrinsic</w:t>
            </w:r>
          </w:p>
        </w:tc>
        <w:tc>
          <w:tcPr>
            <w:tcW w:w="0" w:type="dxa"/>
            <w:vAlign w:val="bottom"/>
          </w:tcPr>
          <w:p>
            <w:pPr>
              <w:spacing w:after="0"/>
              <w:rPr>
                <w:sz w:val="1"/>
                <w:szCs w:val="1"/>
                <w:color w:val="auto"/>
              </w:rPr>
            </w:pPr>
          </w:p>
        </w:tc>
      </w:tr>
      <w:tr>
        <w:trPr>
          <w:trHeight w:val="239"/>
        </w:trPr>
        <w:tc>
          <w:tcPr>
            <w:tcW w:w="4580" w:type="dxa"/>
            <w:vAlign w:val="bottom"/>
          </w:tcPr>
          <w:p>
            <w:pPr>
              <w:spacing w:after="0"/>
              <w:rPr>
                <w:sz w:val="20"/>
                <w:szCs w:val="20"/>
                <w:color w:val="auto"/>
              </w:rPr>
            </w:pPr>
          </w:p>
        </w:tc>
        <w:tc>
          <w:tcPr>
            <w:tcW w:w="16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SARs (in thousands)</w:t>
            </w:r>
          </w:p>
        </w:tc>
        <w:tc>
          <w:tcPr>
            <w:tcW w:w="120" w:type="dxa"/>
            <w:vAlign w:val="bottom"/>
          </w:tcPr>
          <w:p>
            <w:pPr>
              <w:spacing w:after="0"/>
              <w:rPr>
                <w:sz w:val="20"/>
                <w:szCs w:val="20"/>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4"/>
              </w:rPr>
              <w:t>(Years)</w:t>
            </w:r>
          </w:p>
        </w:tc>
        <w:tc>
          <w:tcPr>
            <w:tcW w:w="120" w:type="dxa"/>
            <w:vAlign w:val="bottom"/>
          </w:tcPr>
          <w:p>
            <w:pPr>
              <w:spacing w:after="0"/>
              <w:rPr>
                <w:sz w:val="20"/>
                <w:szCs w:val="20"/>
                <w:color w:val="auto"/>
              </w:rPr>
            </w:pPr>
          </w:p>
        </w:tc>
        <w:tc>
          <w:tcPr>
            <w:tcW w:w="148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0" w:type="dxa"/>
            <w:vAlign w:val="bottom"/>
          </w:tcPr>
          <w:p>
            <w:pPr>
              <w:spacing w:after="0"/>
              <w:rPr>
                <w:sz w:val="1"/>
                <w:szCs w:val="1"/>
                <w:color w:val="auto"/>
              </w:rPr>
            </w:pPr>
          </w:p>
        </w:tc>
      </w:tr>
      <w:tr>
        <w:trPr>
          <w:trHeight w:val="223"/>
        </w:trPr>
        <w:tc>
          <w:tcPr>
            <w:tcW w:w="4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October 1</w:t>
            </w:r>
          </w:p>
        </w:tc>
        <w:tc>
          <w:tcPr>
            <w:tcW w:w="1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1,443.3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CCEEFF"/>
            </w:tcBorders>
            <w:shd w:val="clear" w:color="auto" w:fill="CCEEFF"/>
          </w:tcPr>
          <w:p>
            <w:pPr>
              <w:spacing w:after="0"/>
              <w:rPr>
                <w:sz w:val="19"/>
                <w:szCs w:val="19"/>
                <w:color w:val="auto"/>
              </w:rPr>
            </w:pPr>
          </w:p>
        </w:tc>
        <w:tc>
          <w:tcPr>
            <w:tcW w:w="1480" w:type="dxa"/>
            <w:vAlign w:val="bottom"/>
            <w:tcBorders>
              <w:top w:val="single" w:sz="8" w:color="auto"/>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Forfeited, canceled or expired</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16.97</w:t>
            </w: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58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1"/>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March 31</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1,425.5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29.39</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CCEEFF"/>
            </w:tcBorders>
            <w:shd w:val="clear" w:color="auto" w:fill="CCEEFF"/>
          </w:tcPr>
          <w:p>
            <w:pPr>
              <w:ind w:left="12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Vested and expected to vest at March 31</w:t>
            </w: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580" w:type="dxa"/>
            <w:vAlign w:val="bottom"/>
            <w:vMerge w:val="continue"/>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1,423.7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29.39</w:t>
            </w:r>
          </w:p>
        </w:tc>
        <w:tc>
          <w:tcPr>
            <w:tcW w:w="1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ind w:left="12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458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Exercisable at March 31</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1,392.5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29.34</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CCEEFF"/>
            </w:tcBorders>
            <w:shd w:val="clear" w:color="auto" w:fill="CCEEFF"/>
          </w:tcPr>
          <w:p>
            <w:pPr>
              <w:ind w:left="12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*The amounts exercised include shares withheld for taxes that are not formally issued to the market.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SARs were exercised during the six months ended March 31, 2026.</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Unrecognized Stock-Based Compensation Expense and Other Stock Plans</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amount of unrecognized compensation expense for all non-vested stock-based awards granted as of March 31, 2026, is approximately $39.8 million which is expected to be recognized over a weighted-average remaining life of approximately 2.1 years. At March 31, 2026, 3.2 million shares were authorized for future grants under the Company's 2022 Employee and Director Equity Based Compensation Plan, as amended.</w:t>
      </w:r>
    </w:p>
    <w:p>
      <w:pPr>
        <w:spacing w:after="0" w:line="200" w:lineRule="exact"/>
        <w:rPr>
          <w:sz w:val="20"/>
          <w:szCs w:val="20"/>
          <w:color w:val="auto"/>
        </w:rPr>
      </w:pP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Goodwill and Other Intangible Assets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and Other Intangible Assets consisted of:</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3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0" w:type="dxa"/>
            <w:vAlign w:val="bottom"/>
          </w:tcPr>
          <w:p>
            <w:pPr>
              <w:spacing w:after="0"/>
              <w:rPr>
                <w:sz w:val="1"/>
                <w:szCs w:val="1"/>
                <w:color w:val="auto"/>
              </w:rPr>
            </w:pPr>
          </w:p>
        </w:tc>
      </w:tr>
      <w:tr>
        <w:trPr>
          <w:trHeight w:val="33"/>
        </w:trPr>
        <w:tc>
          <w:tcPr>
            <w:tcW w:w="73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Amortized intangible assets</w:t>
            </w:r>
          </w:p>
        </w:tc>
        <w:tc>
          <w:tcPr>
            <w:tcW w:w="15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300" w:type="dxa"/>
            <w:vAlign w:val="bottom"/>
            <w:vMerge w:val="continue"/>
          </w:tcPr>
          <w:p>
            <w:pPr>
              <w:spacing w:after="0"/>
              <w:rPr>
                <w:sz w:val="16"/>
                <w:szCs w:val="16"/>
                <w:color w:val="auto"/>
              </w:rPr>
            </w:pPr>
          </w:p>
        </w:tc>
        <w:tc>
          <w:tcPr>
            <w:tcW w:w="1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7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3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Patents – gross</w:t>
            </w:r>
          </w:p>
        </w:tc>
        <w:tc>
          <w:tcPr>
            <w:tcW w:w="1520" w:type="dxa"/>
            <w:vAlign w:val="bottom"/>
            <w:tcBorders>
              <w:bottom w:val="single" w:sz="8" w:color="CCEEFF"/>
            </w:tcBorders>
            <w:shd w:val="clear" w:color="auto" w:fill="CCEEFF"/>
          </w:tcPr>
          <w:p>
            <w:pPr>
              <w:jc w:val="right"/>
              <w:ind w:right="133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0" w:type="dxa"/>
            <w:vAlign w:val="bottom"/>
          </w:tcPr>
          <w:p>
            <w:pPr>
              <w:spacing w:after="0"/>
              <w:rPr>
                <w:sz w:val="1"/>
                <w:szCs w:val="1"/>
                <w:color w:val="auto"/>
              </w:rPr>
            </w:pPr>
          </w:p>
        </w:tc>
      </w:tr>
      <w:tr>
        <w:trPr>
          <w:trHeight w:val="210"/>
        </w:trPr>
        <w:tc>
          <w:tcPr>
            <w:tcW w:w="73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Less: accumulated amortization</w:t>
            </w:r>
          </w:p>
        </w:tc>
        <w:tc>
          <w:tcPr>
            <w:tcW w:w="15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0" w:type="dxa"/>
            <w:vAlign w:val="bottom"/>
          </w:tcPr>
          <w:p>
            <w:pPr>
              <w:spacing w:after="0"/>
              <w:rPr>
                <w:sz w:val="1"/>
                <w:szCs w:val="1"/>
                <w:color w:val="auto"/>
              </w:rPr>
            </w:pPr>
          </w:p>
        </w:tc>
      </w:tr>
      <w:tr>
        <w:trPr>
          <w:trHeight w:val="33"/>
        </w:trPr>
        <w:tc>
          <w:tcPr>
            <w:tcW w:w="73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Patents – net</w:t>
            </w:r>
          </w:p>
        </w:tc>
        <w:tc>
          <w:tcPr>
            <w:tcW w:w="1520" w:type="dxa"/>
            <w:vAlign w:val="bottom"/>
            <w:tcBorders>
              <w:bottom w:val="single" w:sz="8" w:color="CCEEFF"/>
            </w:tcBorders>
            <w:shd w:val="clear" w:color="auto" w:fill="CCEEFF"/>
          </w:tcPr>
          <w:p>
            <w:pPr>
              <w:jc w:val="right"/>
              <w:ind w:right="133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0" w:type="dxa"/>
            <w:vAlign w:val="bottom"/>
          </w:tcPr>
          <w:p>
            <w:pPr>
              <w:spacing w:after="0"/>
              <w:rPr>
                <w:sz w:val="1"/>
                <w:szCs w:val="1"/>
                <w:color w:val="auto"/>
              </w:rPr>
            </w:pPr>
          </w:p>
        </w:tc>
      </w:tr>
      <w:tr>
        <w:trPr>
          <w:trHeight w:val="204"/>
        </w:trPr>
        <w:tc>
          <w:tcPr>
            <w:tcW w:w="73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Customer Relationships and Other – gross</w:t>
            </w:r>
          </w:p>
        </w:tc>
        <w:tc>
          <w:tcPr>
            <w:tcW w:w="1520" w:type="dxa"/>
            <w:vAlign w:val="bottom"/>
            <w:tcBorders>
              <w:top w:val="single" w:sz="8" w:color="auto"/>
            </w:tcBorders>
          </w:tcPr>
          <w:p>
            <w:pPr>
              <w:jc w:val="right"/>
              <w:ind w:right="133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tcPr>
          <w:p>
            <w:pPr>
              <w:spacing w:after="0"/>
              <w:rPr>
                <w:sz w:val="17"/>
                <w:szCs w:val="17"/>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0" w:type="dxa"/>
            <w:vAlign w:val="bottom"/>
          </w:tcPr>
          <w:p>
            <w:pPr>
              <w:spacing w:after="0"/>
              <w:rPr>
                <w:sz w:val="1"/>
                <w:szCs w:val="1"/>
                <w:color w:val="auto"/>
              </w:rPr>
            </w:pPr>
          </w:p>
        </w:tc>
      </w:tr>
      <w:tr>
        <w:trPr>
          <w:trHeight w:val="33"/>
        </w:trPr>
        <w:tc>
          <w:tcPr>
            <w:tcW w:w="7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3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Less: accumulated amortization</w:t>
            </w:r>
          </w:p>
        </w:tc>
        <w:tc>
          <w:tcPr>
            <w:tcW w:w="15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204"/>
        </w:trPr>
        <w:tc>
          <w:tcPr>
            <w:tcW w:w="73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Customer Relationships and Other – net</w:t>
            </w:r>
          </w:p>
        </w:tc>
        <w:tc>
          <w:tcPr>
            <w:tcW w:w="1520" w:type="dxa"/>
            <w:vAlign w:val="bottom"/>
            <w:tcBorders>
              <w:top w:val="single" w:sz="8" w:color="auto"/>
            </w:tcBorders>
          </w:tcPr>
          <w:p>
            <w:pPr>
              <w:jc w:val="right"/>
              <w:ind w:right="133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7"/>
                <w:szCs w:val="17"/>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33"/>
        </w:trPr>
        <w:tc>
          <w:tcPr>
            <w:tcW w:w="73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amortized intangible assets</w:t>
            </w:r>
          </w:p>
        </w:tc>
        <w:tc>
          <w:tcPr>
            <w:tcW w:w="1520" w:type="dxa"/>
            <w:vAlign w:val="bottom"/>
            <w:tcBorders>
              <w:bottom w:val="single" w:sz="8" w:color="CCEEFF"/>
            </w:tcBorders>
            <w:shd w:val="clear" w:color="auto" w:fill="CCEEFF"/>
          </w:tcPr>
          <w:p>
            <w:pPr>
              <w:jc w:val="right"/>
              <w:ind w:right="133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0" w:type="dxa"/>
            <w:vAlign w:val="bottom"/>
          </w:tcPr>
          <w:p>
            <w:pPr>
              <w:spacing w:after="0"/>
              <w:rPr>
                <w:sz w:val="1"/>
                <w:szCs w:val="1"/>
                <w:color w:val="auto"/>
              </w:rPr>
            </w:pPr>
          </w:p>
        </w:tc>
      </w:tr>
      <w:tr>
        <w:trPr>
          <w:trHeight w:val="204"/>
        </w:trPr>
        <w:tc>
          <w:tcPr>
            <w:tcW w:w="7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52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0" w:type="dxa"/>
            <w:vAlign w:val="bottom"/>
          </w:tcPr>
          <w:p>
            <w:pPr>
              <w:spacing w:after="0"/>
              <w:rPr>
                <w:sz w:val="1"/>
                <w:szCs w:val="1"/>
                <w:color w:val="auto"/>
              </w:rPr>
            </w:pPr>
          </w:p>
        </w:tc>
      </w:tr>
      <w:tr>
        <w:trPr>
          <w:trHeight w:val="33"/>
        </w:trPr>
        <w:tc>
          <w:tcPr>
            <w:tcW w:w="73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7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Goodwill and Other Intangible Assets</w:t>
            </w:r>
          </w:p>
        </w:tc>
        <w:tc>
          <w:tcPr>
            <w:tcW w:w="1520" w:type="dxa"/>
            <w:vAlign w:val="bottom"/>
            <w:tcBorders>
              <w:bottom w:val="single" w:sz="8" w:color="CCEEFF"/>
            </w:tcBorders>
            <w:shd w:val="clear" w:color="auto" w:fill="CCEEFF"/>
          </w:tcPr>
          <w:p>
            <w:pPr>
              <w:jc w:val="right"/>
              <w:ind w:right="133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0" w:type="dxa"/>
            <w:vAlign w:val="bottom"/>
          </w:tcPr>
          <w:p>
            <w:pPr>
              <w:spacing w:after="0"/>
              <w:rPr>
                <w:sz w:val="1"/>
                <w:szCs w:val="1"/>
                <w:color w:val="auto"/>
              </w:rPr>
            </w:pP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Cloud Computing Arrangements</w:t>
      </w:r>
    </w:p>
    <w:p>
      <w:pPr>
        <w:spacing w:after="0" w:line="121"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 xml:space="preserve">The Company capitalizes costs associated with the development of cloud computing arrangements in a manner consistent with internally developed software. Capitalized costs are included in </w:t>
      </w:r>
      <w:r>
        <w:rPr>
          <w:rFonts w:ascii="Times New Roman" w:cs="Times New Roman" w:eastAsia="Times New Roman" w:hAnsi="Times New Roman"/>
          <w:sz w:val="18"/>
          <w:szCs w:val="18"/>
          <w:i w:val="1"/>
          <w:iCs w:val="1"/>
          <w:color w:val="auto"/>
        </w:rPr>
        <w:t>Prepaid expenses and other</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Deferred Income Taxes and Other Assets.</w:t>
      </w:r>
      <w:r>
        <w:rPr>
          <w:rFonts w:ascii="Times New Roman" w:cs="Times New Roman" w:eastAsia="Times New Roman" w:hAnsi="Times New Roman"/>
          <w:sz w:val="18"/>
          <w:szCs w:val="18"/>
          <w:color w:val="auto"/>
        </w:rPr>
        <w:t xml:space="preserve"> Capitalized costs to implement cloud computing arrangements at cost and accumulated amortization were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3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 2025</w:t>
            </w:r>
          </w:p>
        </w:tc>
      </w:tr>
      <w:tr>
        <w:trPr>
          <w:trHeight w:val="33"/>
        </w:trPr>
        <w:tc>
          <w:tcPr>
            <w:tcW w:w="73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17"/>
        </w:trPr>
        <w:tc>
          <w:tcPr>
            <w:tcW w:w="7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Short-term portion</w:t>
            </w:r>
          </w:p>
        </w:tc>
        <w:tc>
          <w:tcPr>
            <w:tcW w:w="1500" w:type="dxa"/>
            <w:vAlign w:val="bottom"/>
            <w:tcBorders>
              <w:bottom w:val="single" w:sz="8" w:color="CCEEFF"/>
            </w:tcBorders>
            <w:shd w:val="clear" w:color="auto" w:fill="CCEEFF"/>
          </w:tcPr>
          <w:p>
            <w:pPr>
              <w:jc w:val="right"/>
              <w:ind w:right="131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10.5</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CCEEFF"/>
            </w:tcBorders>
            <w:shd w:val="clear" w:color="auto" w:fill="CCEEFF"/>
          </w:tcPr>
          <w:p>
            <w:pPr>
              <w:jc w:val="center"/>
              <w:ind w:left="1219"/>
              <w:spacing w:after="0"/>
              <w:rPr>
                <w:sz w:val="20"/>
                <w:szCs w:val="20"/>
                <w:color w:val="auto"/>
              </w:rPr>
            </w:pPr>
            <w:r>
              <w:rPr>
                <w:rFonts w:ascii="Times New Roman" w:cs="Times New Roman" w:eastAsia="Times New Roman" w:hAnsi="Times New Roman"/>
                <w:sz w:val="16"/>
                <w:szCs w:val="16"/>
                <w:color w:val="auto"/>
              </w:rPr>
              <w:t>10.4</w:t>
            </w:r>
          </w:p>
        </w:tc>
      </w:tr>
      <w:tr>
        <w:trPr>
          <w:trHeight w:val="210"/>
        </w:trPr>
        <w:tc>
          <w:tcPr>
            <w:tcW w:w="7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portion</w:t>
            </w:r>
          </w:p>
        </w:tc>
        <w:tc>
          <w:tcPr>
            <w:tcW w:w="150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61.6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jc w:val="center"/>
              <w:ind w:left="1219"/>
              <w:spacing w:after="0"/>
              <w:rPr>
                <w:sz w:val="20"/>
                <w:szCs w:val="20"/>
                <w:color w:val="auto"/>
              </w:rPr>
            </w:pPr>
            <w:r>
              <w:rPr>
                <w:rFonts w:ascii="Times New Roman" w:cs="Times New Roman" w:eastAsia="Times New Roman" w:hAnsi="Times New Roman"/>
                <w:sz w:val="16"/>
                <w:szCs w:val="16"/>
                <w:color w:val="auto"/>
              </w:rPr>
              <w:t>61.3</w:t>
            </w:r>
          </w:p>
        </w:tc>
      </w:tr>
      <w:tr>
        <w:trPr>
          <w:trHeight w:val="33"/>
        </w:trPr>
        <w:tc>
          <w:tcPr>
            <w:tcW w:w="73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16"/>
        </w:trPr>
        <w:tc>
          <w:tcPr>
            <w:tcW w:w="7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Capitalized implementation costs</w:t>
            </w:r>
          </w:p>
        </w:tc>
        <w:tc>
          <w:tcPr>
            <w:tcW w:w="1500" w:type="dxa"/>
            <w:vAlign w:val="bottom"/>
            <w:tcBorders>
              <w:bottom w:val="single" w:sz="8" w:color="CCEEFF"/>
            </w:tcBorders>
            <w:shd w:val="clear" w:color="auto" w:fill="CCEEFF"/>
          </w:tcPr>
          <w:p>
            <w:pPr>
              <w:jc w:val="right"/>
              <w:ind w:right="131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72.1</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CCEEFF"/>
            </w:tcBorders>
            <w:shd w:val="clear" w:color="auto" w:fill="CCEEFF"/>
          </w:tcPr>
          <w:p>
            <w:pPr>
              <w:jc w:val="center"/>
              <w:ind w:left="1219"/>
              <w:spacing w:after="0"/>
              <w:rPr>
                <w:sz w:val="20"/>
                <w:szCs w:val="20"/>
                <w:color w:val="auto"/>
              </w:rPr>
            </w:pPr>
            <w:r>
              <w:rPr>
                <w:rFonts w:ascii="Times New Roman" w:cs="Times New Roman" w:eastAsia="Times New Roman" w:hAnsi="Times New Roman"/>
                <w:sz w:val="16"/>
                <w:szCs w:val="16"/>
                <w:color w:val="auto"/>
              </w:rPr>
              <w:t>71.7</w:t>
            </w:r>
          </w:p>
        </w:tc>
      </w:tr>
      <w:tr>
        <w:trPr>
          <w:trHeight w:val="210"/>
        </w:trPr>
        <w:tc>
          <w:tcPr>
            <w:tcW w:w="7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accumulated amortization</w:t>
            </w:r>
          </w:p>
        </w:tc>
        <w:tc>
          <w:tcPr>
            <w:tcW w:w="150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(22.0)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jc w:val="center"/>
              <w:ind w:left="1199"/>
              <w:spacing w:after="0"/>
              <w:rPr>
                <w:sz w:val="20"/>
                <w:szCs w:val="20"/>
                <w:color w:val="auto"/>
              </w:rPr>
            </w:pPr>
            <w:r>
              <w:rPr>
                <w:rFonts w:ascii="Times New Roman" w:cs="Times New Roman" w:eastAsia="Times New Roman" w:hAnsi="Times New Roman"/>
                <w:sz w:val="16"/>
                <w:szCs w:val="16"/>
                <w:color w:val="auto"/>
              </w:rPr>
              <w:t>(16.8)</w:t>
            </w:r>
          </w:p>
        </w:tc>
      </w:tr>
      <w:tr>
        <w:trPr>
          <w:trHeight w:val="33"/>
        </w:trPr>
        <w:tc>
          <w:tcPr>
            <w:tcW w:w="73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04"/>
        </w:trPr>
        <w:tc>
          <w:tcPr>
            <w:tcW w:w="7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Capitalized implementation costs, net</w:t>
            </w:r>
          </w:p>
        </w:tc>
        <w:tc>
          <w:tcPr>
            <w:tcW w:w="1500" w:type="dxa"/>
            <w:vAlign w:val="bottom"/>
            <w:shd w:val="clear" w:color="auto" w:fill="CCEEFF"/>
          </w:tcPr>
          <w:p>
            <w:pPr>
              <w:jc w:val="right"/>
              <w:ind w:right="131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50.1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shd w:val="clear" w:color="auto" w:fill="CCEEFF"/>
          </w:tcPr>
          <w:p>
            <w:pPr>
              <w:jc w:val="center"/>
              <w:ind w:left="1219"/>
              <w:spacing w:after="0"/>
              <w:rPr>
                <w:sz w:val="20"/>
                <w:szCs w:val="20"/>
                <w:color w:val="auto"/>
              </w:rPr>
            </w:pPr>
            <w:r>
              <w:rPr>
                <w:rFonts w:ascii="Times New Roman" w:cs="Times New Roman" w:eastAsia="Times New Roman" w:hAnsi="Times New Roman"/>
                <w:sz w:val="16"/>
                <w:szCs w:val="16"/>
                <w:color w:val="auto"/>
              </w:rPr>
              <w:t>54.9</w:t>
            </w:r>
          </w:p>
        </w:tc>
      </w:tr>
      <w:tr>
        <w:trPr>
          <w:trHeight w:val="33"/>
        </w:trPr>
        <w:tc>
          <w:tcPr>
            <w:tcW w:w="730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Costs amortized during the </w:t>
      </w:r>
      <w:r>
        <w:rPr>
          <w:rFonts w:ascii="Times New Roman" w:cs="Times New Roman" w:eastAsia="Times New Roman" w:hAnsi="Times New Roman"/>
          <w:sz w:val="18"/>
          <w:szCs w:val="18"/>
          <w:color w:val="2B2A29"/>
        </w:rPr>
        <w:t>three and six months ended March 31, 2026 and</w:t>
      </w:r>
      <w:r>
        <w:rPr>
          <w:rFonts w:ascii="Times New Roman" w:cs="Times New Roman" w:eastAsia="Times New Roman" w:hAnsi="Times New Roman"/>
          <w:sz w:val="18"/>
          <w:szCs w:val="18"/>
          <w:color w:val="auto"/>
        </w:rPr>
        <w:t xml:space="preserve"> 2025 are included in </w:t>
      </w:r>
      <w:r>
        <w:rPr>
          <w:rFonts w:ascii="Times New Roman" w:cs="Times New Roman" w:eastAsia="Times New Roman" w:hAnsi="Times New Roman"/>
          <w:sz w:val="18"/>
          <w:szCs w:val="18"/>
          <w:i w:val="1"/>
          <w:iCs w:val="1"/>
          <w:color w:val="auto"/>
        </w:rPr>
        <w:t>Other operating expense, net</w:t>
      </w:r>
      <w:r>
        <w:rPr>
          <w:rFonts w:ascii="Times New Roman" w:cs="Times New Roman" w:eastAsia="Times New Roman" w:hAnsi="Times New Roman"/>
          <w:sz w:val="18"/>
          <w:szCs w:val="18"/>
          <w:color w:val="auto"/>
        </w:rPr>
        <w:t xml:space="preserve"> and were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600" w:type="dxa"/>
            <w:vAlign w:val="bottom"/>
          </w:tcPr>
          <w:p>
            <w:pPr>
              <w:spacing w:after="0"/>
              <w:rPr>
                <w:sz w:val="18"/>
                <w:szCs w:val="18"/>
                <w:color w:val="auto"/>
              </w:rPr>
            </w:pPr>
          </w:p>
        </w:tc>
        <w:tc>
          <w:tcPr>
            <w:tcW w:w="2860" w:type="dxa"/>
            <w:vAlign w:val="bottom"/>
            <w:gridSpan w:val="3"/>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900" w:type="dxa"/>
            <w:vAlign w:val="bottom"/>
            <w:gridSpan w:val="3"/>
          </w:tcPr>
          <w:p>
            <w:pPr>
              <w:ind w:left="280"/>
              <w:spacing w:after="0"/>
              <w:rPr>
                <w:sz w:val="20"/>
                <w:szCs w:val="20"/>
                <w:color w:val="auto"/>
              </w:rPr>
            </w:pPr>
            <w:r>
              <w:rPr>
                <w:rFonts w:ascii="Times New Roman" w:cs="Times New Roman" w:eastAsia="Times New Roman" w:hAnsi="Times New Roman"/>
                <w:sz w:val="16"/>
                <w:szCs w:val="16"/>
                <w:b w:val="1"/>
                <w:bCs w:val="1"/>
                <w:color w:val="auto"/>
              </w:rPr>
              <w:t>Six months ended March 31,</w:t>
            </w:r>
          </w:p>
        </w:tc>
      </w:tr>
      <w:tr>
        <w:trPr>
          <w:trHeight w:val="33"/>
        </w:trPr>
        <w:tc>
          <w:tcPr>
            <w:tcW w:w="46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6"/>
        </w:trPr>
        <w:tc>
          <w:tcPr>
            <w:tcW w:w="4600" w:type="dxa"/>
            <w:vAlign w:val="bottom"/>
          </w:tcPr>
          <w:p>
            <w:pPr>
              <w:spacing w:after="0"/>
              <w:rPr>
                <w:sz w:val="17"/>
                <w:szCs w:val="17"/>
                <w:color w:val="auto"/>
              </w:rPr>
            </w:pPr>
          </w:p>
        </w:tc>
        <w:tc>
          <w:tcPr>
            <w:tcW w:w="112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480" w:type="dxa"/>
            <w:vAlign w:val="bottom"/>
          </w:tcPr>
          <w:p>
            <w:pPr>
              <w:spacing w:after="0"/>
              <w:rPr>
                <w:sz w:val="17"/>
                <w:szCs w:val="17"/>
                <w:color w:val="auto"/>
              </w:rPr>
            </w:pPr>
          </w:p>
        </w:tc>
        <w:tc>
          <w:tcPr>
            <w:tcW w:w="126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4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2026</w:t>
            </w:r>
          </w:p>
        </w:tc>
        <w:tc>
          <w:tcPr>
            <w:tcW w:w="440" w:type="dxa"/>
            <w:vAlign w:val="bottom"/>
          </w:tcPr>
          <w:p>
            <w:pPr>
              <w:spacing w:after="0"/>
              <w:rPr>
                <w:sz w:val="17"/>
                <w:szCs w:val="17"/>
                <w:color w:val="auto"/>
              </w:rPr>
            </w:pPr>
          </w:p>
        </w:tc>
        <w:tc>
          <w:tcPr>
            <w:tcW w:w="122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31"/>
        </w:trPr>
        <w:tc>
          <w:tcPr>
            <w:tcW w:w="46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4"/>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cloud computing arrangements</w:t>
            </w:r>
          </w:p>
        </w:tc>
        <w:tc>
          <w:tcPr>
            <w:tcW w:w="1120" w:type="dxa"/>
            <w:vAlign w:val="bottom"/>
            <w:shd w:val="clear" w:color="auto" w:fill="CCEEFF"/>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260" w:type="dxa"/>
            <w:vAlign w:val="bottom"/>
            <w:shd w:val="clear" w:color="auto" w:fill="CCEEFF"/>
          </w:tcPr>
          <w:p>
            <w:pPr>
              <w:jc w:val="right"/>
              <w:ind w:right="999"/>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w:t>
            </w:r>
          </w:p>
        </w:tc>
        <w:tc>
          <w:tcPr>
            <w:tcW w:w="44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5.2</w:t>
            </w:r>
          </w:p>
        </w:tc>
        <w:tc>
          <w:tcPr>
            <w:tcW w:w="44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r>
      <w:tr>
        <w:trPr>
          <w:trHeight w:val="33"/>
        </w:trPr>
        <w:tc>
          <w:tcPr>
            <w:tcW w:w="46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cloud computing arrangement assets in-service have remaining useful lives of up to six years.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Long-Term Debt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March 31, 2022, Embecta entered into a credit agreement (the “Credit Agreement”), providing for:</w:t>
      </w:r>
    </w:p>
    <w:p>
      <w:pPr>
        <w:spacing w:after="0" w:line="117" w:lineRule="exact"/>
        <w:rPr>
          <w:sz w:val="20"/>
          <w:szCs w:val="20"/>
          <w:color w:val="auto"/>
        </w:rPr>
      </w:pPr>
    </w:p>
    <w:p>
      <w:pPr>
        <w:jc w:val="both"/>
        <w:ind w:left="900" w:hanging="568"/>
        <w:spacing w:after="0" w:line="250" w:lineRule="auto"/>
        <w:tabs>
          <w:tab w:leader="none" w:pos="895" w:val="left"/>
        </w:tabs>
        <w:numPr>
          <w:ilvl w:val="0"/>
          <w:numId w:val="5"/>
        </w:numPr>
        <w:rPr>
          <w:rFonts w:ascii="Times New Roman" w:cs="Times New Roman" w:eastAsia="Times New Roman" w:hAnsi="Times New Roman"/>
          <w:sz w:val="18"/>
          <w:szCs w:val="18"/>
          <w:color w:val="2B2A29"/>
        </w:rPr>
      </w:pPr>
      <w:r>
        <w:rPr>
          <w:rFonts w:ascii="Times New Roman" w:cs="Times New Roman" w:eastAsia="Times New Roman" w:hAnsi="Times New Roman"/>
          <w:sz w:val="18"/>
          <w:szCs w:val="18"/>
          <w:color w:val="auto"/>
        </w:rPr>
        <w:t xml:space="preserve">a Term Loan B Facility (the "Term Loan") in the amount of $950.0 million, with a </w:t>
      </w:r>
      <w:r>
        <w:rPr>
          <w:rFonts w:ascii="Times New Roman" w:cs="Times New Roman" w:eastAsia="Times New Roman" w:hAnsi="Times New Roman"/>
          <w:sz w:val="18"/>
          <w:szCs w:val="18"/>
          <w:color w:val="2B2A29"/>
        </w:rPr>
        <w:t>seven</w:t>
      </w:r>
      <w:r>
        <w:rPr>
          <w:rFonts w:ascii="Times New Roman" w:cs="Times New Roman" w:eastAsia="Times New Roman" w:hAnsi="Times New Roman"/>
          <w:sz w:val="18"/>
          <w:szCs w:val="18"/>
          <w:color w:val="auto"/>
        </w:rPr>
        <w:t xml:space="preserve">-year </w:t>
      </w:r>
      <w:r>
        <w:rPr>
          <w:rFonts w:ascii="Times New Roman" w:cs="Times New Roman" w:eastAsia="Times New Roman" w:hAnsi="Times New Roman"/>
          <w:sz w:val="18"/>
          <w:szCs w:val="18"/>
          <w:color w:val="2B2A29"/>
        </w:rPr>
        <w:t>term that matures in March 2029. The interest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B2A29"/>
        </w:rPr>
        <w:t xml:space="preserve">rate is 300 basis points over the secured overnight financing rate (“SOFR”), with a 0.50% SOFR floor. The Term Loan was issued at a discount of 0.50%. Principal and interest payments on the Term Loan commenced on June 30, 2022. Such quarterly principal payments are calculated as 0.25% of the initial principal amount, with the remaining balance payable upon maturity; </w:t>
      </w:r>
      <w:r>
        <w:rPr>
          <w:rFonts w:ascii="Times New Roman" w:cs="Times New Roman" w:eastAsia="Times New Roman" w:hAnsi="Times New Roman"/>
          <w:sz w:val="18"/>
          <w:szCs w:val="18"/>
          <w:color w:val="000000"/>
        </w:rPr>
        <w:t>and</w:t>
      </w:r>
    </w:p>
    <w:p>
      <w:pPr>
        <w:spacing w:after="0" w:line="69" w:lineRule="exact"/>
        <w:rPr>
          <w:rFonts w:ascii="Times New Roman" w:cs="Times New Roman" w:eastAsia="Times New Roman" w:hAnsi="Times New Roman"/>
          <w:sz w:val="18"/>
          <w:szCs w:val="18"/>
          <w:color w:val="2B2A29"/>
        </w:rPr>
      </w:pPr>
    </w:p>
    <w:p>
      <w:pPr>
        <w:jc w:val="both"/>
        <w:ind w:left="900" w:hanging="568"/>
        <w:spacing w:after="0" w:line="247" w:lineRule="auto"/>
        <w:tabs>
          <w:tab w:leader="none" w:pos="895" w:val="left"/>
        </w:tabs>
        <w:numPr>
          <w:ilvl w:val="0"/>
          <w:numId w:val="5"/>
        </w:numPr>
        <w:rPr>
          <w:rFonts w:ascii="Times New Roman" w:cs="Times New Roman" w:eastAsia="Times New Roman" w:hAnsi="Times New Roman"/>
          <w:sz w:val="18"/>
          <w:szCs w:val="18"/>
          <w:color w:val="2B2A29"/>
        </w:rPr>
      </w:pPr>
      <w:r>
        <w:rPr>
          <w:rFonts w:ascii="Times New Roman" w:cs="Times New Roman" w:eastAsia="Times New Roman" w:hAnsi="Times New Roman"/>
          <w:sz w:val="18"/>
          <w:szCs w:val="18"/>
          <w:color w:val="auto"/>
        </w:rPr>
        <w:t xml:space="preserve">a Revolving Credit Facility (the "Revolving Credit Facility") in an aggregate principal amount of up to $500.0 million, with a </w:t>
      </w:r>
      <w:r>
        <w:rPr>
          <w:rFonts w:ascii="Times New Roman" w:cs="Times New Roman" w:eastAsia="Times New Roman" w:hAnsi="Times New Roman"/>
          <w:sz w:val="18"/>
          <w:szCs w:val="18"/>
          <w:color w:val="2B2A29"/>
        </w:rPr>
        <w:t>five</w:t>
      </w:r>
      <w:r>
        <w:rPr>
          <w:rFonts w:ascii="Times New Roman" w:cs="Times New Roman" w:eastAsia="Times New Roman" w:hAnsi="Times New Roman"/>
          <w:sz w:val="18"/>
          <w:szCs w:val="18"/>
          <w:color w:val="auto"/>
        </w:rPr>
        <w:t xml:space="preserve">-year term that matures in March 2027. </w:t>
      </w:r>
      <w:r>
        <w:rPr>
          <w:rFonts w:ascii="Times New Roman" w:cs="Times New Roman" w:eastAsia="Times New Roman" w:hAnsi="Times New Roman"/>
          <w:sz w:val="18"/>
          <w:szCs w:val="18"/>
          <w:color w:val="2B2A29"/>
        </w:rPr>
        <w:t>Borrowings under the Revolving Credit Facility bear interest, at Embecta’s option, at an annual rate equal to (a)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B2A29"/>
        </w:rPr>
        <w:t xml:space="preserve">the case of loans denominated in United States dollars (i) the SOFR or (ii) the alternate base rate or (b) in the case of loans denominated in Euros, the EURIBOR rate, in each case plus an applicable margin specified in the credit agreement. A commitment fee applies to the unused portion of the Revolving Credit Facility, equal to 0.25% per annum. </w:t>
      </w:r>
      <w:r>
        <w:rPr>
          <w:rFonts w:ascii="Times New Roman" w:cs="Times New Roman" w:eastAsia="Times New Roman" w:hAnsi="Times New Roman"/>
          <w:sz w:val="18"/>
          <w:szCs w:val="18"/>
          <w:color w:val="000000"/>
        </w:rPr>
        <w:t>As of March 31, 2026, no amount has been drawn on the Revolving Credit</w:t>
      </w:r>
      <w:r>
        <w:rPr>
          <w:rFonts w:ascii="Times New Roman" w:cs="Times New Roman" w:eastAsia="Times New Roman" w:hAnsi="Times New Roman"/>
          <w:sz w:val="18"/>
          <w:szCs w:val="18"/>
          <w:color w:val="2B2A29"/>
        </w:rPr>
        <w:t xml:space="preserve"> </w:t>
      </w:r>
      <w:r>
        <w:rPr>
          <w:rFonts w:ascii="Times New Roman" w:cs="Times New Roman" w:eastAsia="Times New Roman" w:hAnsi="Times New Roman"/>
          <w:sz w:val="18"/>
          <w:szCs w:val="18"/>
          <w:color w:val="000000"/>
        </w:rPr>
        <w:t>Facility.</w:t>
      </w:r>
    </w:p>
    <w:p>
      <w:pPr>
        <w:sectPr>
          <w:pgSz w:w="11900" w:h="16838" w:orient="portrait"/>
          <w:cols w:equalWidth="0" w:num="1">
            <w:col w:w="11240"/>
          </w:cols>
          <w:pgMar w:left="320" w:top="226" w:right="339" w:bottom="1440" w:gutter="0" w:footer="0" w:header="0"/>
        </w:sectPr>
      </w:pPr>
    </w:p>
    <w:p>
      <w:pPr>
        <w:spacing w:after="0" w:line="200" w:lineRule="exact"/>
        <w:rPr>
          <w:sz w:val="20"/>
          <w:szCs w:val="20"/>
          <w:color w:val="auto"/>
        </w:rPr>
      </w:pPr>
    </w:p>
    <w:p>
      <w:pPr>
        <w:spacing w:after="0" w:line="2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jc w:val="right"/>
        <w:ind w:right="220"/>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 xml:space="preserve">The Credit Agreement and the indentures for Embecta's outstanding 5.00% senior secured notes due February 2030 (the "5.00% Notes") and </w:t>
      </w:r>
      <w:r>
        <w:rPr>
          <w:rFonts w:ascii="Times New Roman" w:cs="Times New Roman" w:eastAsia="Times New Roman" w:hAnsi="Times New Roman"/>
          <w:sz w:val="18"/>
          <w:szCs w:val="18"/>
          <w:color w:val="2B2A29"/>
        </w:rPr>
        <w:t>6.75%</w:t>
      </w:r>
      <w:r>
        <w:rPr>
          <w:rFonts w:ascii="Times New Roman" w:cs="Times New Roman" w:eastAsia="Times New Roman" w:hAnsi="Times New Roman"/>
          <w:sz w:val="18"/>
          <w:szCs w:val="18"/>
          <w:color w:val="auto"/>
        </w:rPr>
        <w:t xml:space="preserve"> senior secured notes due February 2030 (the "</w:t>
      </w:r>
      <w:r>
        <w:rPr>
          <w:rFonts w:ascii="Times New Roman" w:cs="Times New Roman" w:eastAsia="Times New Roman" w:hAnsi="Times New Roman"/>
          <w:sz w:val="18"/>
          <w:szCs w:val="18"/>
          <w:color w:val="2B2A29"/>
        </w:rPr>
        <w:t>6.75%</w:t>
      </w:r>
      <w:r>
        <w:rPr>
          <w:rFonts w:ascii="Times New Roman" w:cs="Times New Roman" w:eastAsia="Times New Roman" w:hAnsi="Times New Roman"/>
          <w:sz w:val="18"/>
          <w:szCs w:val="18"/>
          <w:color w:val="auto"/>
        </w:rPr>
        <w:t xml:space="preserve"> Notes") contain customary financial covenants, including a total net leverage ratio covenant, which measures the ratio of (i) consolidated total net debt to (ii) consolidated earnings before interest, taxes, depreciation and amortization, and subject to other adjustments, must meet certain defined limits which are tested on a quarterly basis in accordance with the terms of the Credit Agreement and the 5.00% Notes and </w:t>
      </w:r>
      <w:r>
        <w:rPr>
          <w:rFonts w:ascii="Times New Roman" w:cs="Times New Roman" w:eastAsia="Times New Roman" w:hAnsi="Times New Roman"/>
          <w:sz w:val="18"/>
          <w:szCs w:val="18"/>
          <w:color w:val="2B2A29"/>
        </w:rPr>
        <w:t xml:space="preserve">6.75% </w:t>
      </w:r>
      <w:r>
        <w:rPr>
          <w:rFonts w:ascii="Times New Roman" w:cs="Times New Roman" w:eastAsia="Times New Roman" w:hAnsi="Times New Roman"/>
          <w:sz w:val="18"/>
          <w:szCs w:val="18"/>
          <w:color w:val="000000"/>
        </w:rPr>
        <w:t>Notes. In addition, the Credit Agreement contains covenants that will limit, among other things, Embecta’s ability to prepay, redeem or repurchase</w:t>
      </w:r>
      <w:r>
        <w:rPr>
          <w:rFonts w:ascii="Times New Roman" w:cs="Times New Roman" w:eastAsia="Times New Roman" w:hAnsi="Times New Roman"/>
          <w:sz w:val="18"/>
          <w:szCs w:val="18"/>
          <w:color w:val="2B2A29"/>
        </w:rPr>
        <w:t xml:space="preserve"> </w:t>
      </w:r>
      <w:r>
        <w:rPr>
          <w:rFonts w:ascii="Times New Roman" w:cs="Times New Roman" w:eastAsia="Times New Roman" w:hAnsi="Times New Roman"/>
          <w:sz w:val="18"/>
          <w:szCs w:val="18"/>
          <w:color w:val="000000"/>
        </w:rPr>
        <w:t>its subordinated and junior lien debt, incur additional debt, make acquisitions, merge with other entities, pay dividends or distributions, redeem or repurchase equity interests, and create or become subject to liens. As of March 31, 2026, we were in compliance with all of such covenants. The credit agreement and the senior secured notes are secured by substantially all assets of Embecta and each subsidiary guarantor, subject to certain exceptions.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Embecta's total debt outstanding as of March 31, 2026:</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Term Loan due March 2029</w:t>
            </w:r>
          </w:p>
        </w:tc>
        <w:tc>
          <w:tcPr>
            <w:tcW w:w="54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641.8</w:t>
            </w:r>
          </w:p>
        </w:tc>
      </w:tr>
      <w:tr>
        <w:trPr>
          <w:trHeight w:val="210"/>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5.00% Notes due February 2030</w:t>
            </w:r>
          </w:p>
        </w:tc>
        <w:tc>
          <w:tcPr>
            <w:tcW w:w="54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500.0</w:t>
            </w:r>
          </w:p>
        </w:tc>
      </w:tr>
      <w:tr>
        <w:trPr>
          <w:trHeight w:val="33"/>
        </w:trPr>
        <w:tc>
          <w:tcPr>
            <w:tcW w:w="9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351"/>
        </w:trPr>
        <w:tc>
          <w:tcPr>
            <w:tcW w:w="9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2B2A29"/>
              </w:rPr>
              <w:t xml:space="preserve">6.75% </w:t>
            </w:r>
            <w:r>
              <w:rPr>
                <w:rFonts w:ascii="Times New Roman" w:cs="Times New Roman" w:eastAsia="Times New Roman" w:hAnsi="Times New Roman"/>
                <w:sz w:val="16"/>
                <w:szCs w:val="16"/>
                <w:color w:val="000000"/>
              </w:rPr>
              <w:t>Notes due February 2030</w:t>
            </w:r>
          </w:p>
        </w:tc>
        <w:tc>
          <w:tcPr>
            <w:tcW w:w="54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200.0</w:t>
            </w:r>
          </w:p>
        </w:tc>
      </w:tr>
      <w:tr>
        <w:trPr>
          <w:trHeight w:val="204"/>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principal debt issued</w:t>
            </w:r>
          </w:p>
        </w:tc>
        <w:tc>
          <w:tcPr>
            <w:tcW w:w="540" w:type="dxa"/>
            <w:vAlign w:val="bottom"/>
            <w:tcBorders>
              <w:top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1,341.8</w:t>
            </w:r>
          </w:p>
        </w:tc>
      </w:tr>
      <w:tr>
        <w:trPr>
          <w:trHeight w:val="33"/>
        </w:trPr>
        <w:tc>
          <w:tcPr>
            <w:tcW w:w="9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3"/>
        </w:trPr>
        <w:tc>
          <w:tcPr>
            <w:tcW w:w="9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current debt obligations</w:t>
            </w:r>
          </w:p>
        </w:tc>
        <w:tc>
          <w:tcPr>
            <w:tcW w:w="5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(9.5)</w:t>
            </w:r>
          </w:p>
        </w:tc>
      </w:tr>
      <w:tr>
        <w:trPr>
          <w:trHeight w:val="210"/>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debt issuance costs and discounts</w:t>
            </w:r>
          </w:p>
        </w:tc>
        <w:tc>
          <w:tcPr>
            <w:tcW w:w="54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(15.4)</w:t>
            </w:r>
          </w:p>
        </w:tc>
      </w:tr>
      <w:tr>
        <w:trPr>
          <w:trHeight w:val="33"/>
        </w:trPr>
        <w:tc>
          <w:tcPr>
            <w:tcW w:w="96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2"/>
        </w:trPr>
        <w:tc>
          <w:tcPr>
            <w:tcW w:w="9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1,316.9</w:t>
            </w:r>
          </w:p>
        </w:tc>
      </w:tr>
      <w:tr>
        <w:trPr>
          <w:trHeight w:val="20"/>
        </w:trPr>
        <w:tc>
          <w:tcPr>
            <w:tcW w:w="96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2B2A29"/>
        </w:rPr>
        <w:t xml:space="preserve">The debt issuance costs on the Term Loan, </w:t>
      </w:r>
      <w:r>
        <w:rPr>
          <w:rFonts w:ascii="Times New Roman" w:cs="Times New Roman" w:eastAsia="Times New Roman" w:hAnsi="Times New Roman"/>
          <w:sz w:val="18"/>
          <w:szCs w:val="18"/>
          <w:color w:val="000000"/>
        </w:rPr>
        <w:t>5.00%</w:t>
      </w:r>
      <w:r>
        <w:rPr>
          <w:rFonts w:ascii="Times New Roman" w:cs="Times New Roman" w:eastAsia="Times New Roman" w:hAnsi="Times New Roman"/>
          <w:sz w:val="18"/>
          <w:szCs w:val="18"/>
          <w:color w:val="2B2A29"/>
        </w:rPr>
        <w:t xml:space="preserve"> Notes, 6.75% </w:t>
      </w:r>
      <w:r>
        <w:rPr>
          <w:rFonts w:ascii="Times New Roman" w:cs="Times New Roman" w:eastAsia="Times New Roman" w:hAnsi="Times New Roman"/>
          <w:sz w:val="18"/>
          <w:szCs w:val="18"/>
          <w:color w:val="000000"/>
        </w:rPr>
        <w:t>Notes</w:t>
      </w:r>
      <w:r>
        <w:rPr>
          <w:rFonts w:ascii="Times New Roman" w:cs="Times New Roman" w:eastAsia="Times New Roman" w:hAnsi="Times New Roman"/>
          <w:sz w:val="18"/>
          <w:szCs w:val="18"/>
          <w:color w:val="2B2A29"/>
        </w:rPr>
        <w:t xml:space="preserve"> and the discount on the Term Loan are reported in the Condensed Consolidated Balance Sheets as a reduction of debt and are amortized as a component of </w:t>
      </w:r>
      <w:r>
        <w:rPr>
          <w:rFonts w:ascii="Times New Roman" w:cs="Times New Roman" w:eastAsia="Times New Roman" w:hAnsi="Times New Roman"/>
          <w:sz w:val="18"/>
          <w:szCs w:val="18"/>
          <w:i w:val="1"/>
          <w:iCs w:val="1"/>
          <w:color w:val="2B2A29"/>
        </w:rPr>
        <w:t>Interest expense, net</w:t>
      </w:r>
      <w:r>
        <w:rPr>
          <w:rFonts w:ascii="Times New Roman" w:cs="Times New Roman" w:eastAsia="Times New Roman" w:hAnsi="Times New Roman"/>
          <w:sz w:val="18"/>
          <w:szCs w:val="18"/>
          <w:color w:val="2B2A29"/>
        </w:rPr>
        <w:t xml:space="preserve"> over the term of the related debt using the effective interest method. During the </w:t>
      </w:r>
      <w:r>
        <w:rPr>
          <w:rFonts w:ascii="Times New Roman" w:cs="Times New Roman" w:eastAsia="Times New Roman" w:hAnsi="Times New Roman"/>
          <w:sz w:val="18"/>
          <w:szCs w:val="18"/>
          <w:color w:val="000000"/>
        </w:rPr>
        <w:t>six</w:t>
      </w:r>
      <w:r>
        <w:rPr>
          <w:rFonts w:ascii="Times New Roman" w:cs="Times New Roman" w:eastAsia="Times New Roman" w:hAnsi="Times New Roman"/>
          <w:sz w:val="18"/>
          <w:szCs w:val="18"/>
          <w:color w:val="2B2A29"/>
        </w:rPr>
        <w:t xml:space="preserve"> months ended </w:t>
      </w:r>
      <w:r>
        <w:rPr>
          <w:rFonts w:ascii="Times New Roman" w:cs="Times New Roman" w:eastAsia="Times New Roman" w:hAnsi="Times New Roman"/>
          <w:sz w:val="18"/>
          <w:szCs w:val="18"/>
          <w:color w:val="000000"/>
        </w:rPr>
        <w:t>March 31, 2026, the Company recorded approximately $3.8 million of amortization on deferred debt issuance costs</w:t>
      </w:r>
      <w:r>
        <w:rPr>
          <w:rFonts w:ascii="Times New Roman" w:cs="Times New Roman" w:eastAsia="Times New Roman" w:hAnsi="Times New Roman"/>
          <w:sz w:val="18"/>
          <w:szCs w:val="18"/>
          <w:color w:val="2B2A29"/>
        </w:rPr>
        <w:t xml:space="preserve"> </w:t>
      </w:r>
      <w:r>
        <w:rPr>
          <w:rFonts w:ascii="Times New Roman" w:cs="Times New Roman" w:eastAsia="Times New Roman" w:hAnsi="Times New Roman"/>
          <w:sz w:val="18"/>
          <w:szCs w:val="18"/>
          <w:color w:val="000000"/>
        </w:rPr>
        <w:t>and discounts.</w:t>
      </w:r>
    </w:p>
    <w:p>
      <w:pPr>
        <w:spacing w:after="0" w:line="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During the six months ended </w:t>
      </w:r>
      <w:r>
        <w:rPr>
          <w:rFonts w:ascii="Times New Roman" w:cs="Times New Roman" w:eastAsia="Times New Roman" w:hAnsi="Times New Roman"/>
          <w:sz w:val="18"/>
          <w:szCs w:val="18"/>
          <w:color w:val="2B2A29"/>
        </w:rPr>
        <w:t>March 31, 2026</w:t>
      </w:r>
      <w:r>
        <w:rPr>
          <w:rFonts w:ascii="Times New Roman" w:cs="Times New Roman" w:eastAsia="Times New Roman" w:hAnsi="Times New Roman"/>
          <w:sz w:val="18"/>
          <w:szCs w:val="18"/>
          <w:color w:val="auto"/>
        </w:rPr>
        <w:t xml:space="preserve">, the Company made interest payments of $44.1 million on debt outstanding. The weighted-average interest rate on total borrowings as of </w:t>
      </w:r>
      <w:r>
        <w:rPr>
          <w:rFonts w:ascii="Times New Roman" w:cs="Times New Roman" w:eastAsia="Times New Roman" w:hAnsi="Times New Roman"/>
          <w:sz w:val="18"/>
          <w:szCs w:val="18"/>
          <w:color w:val="2B2A29"/>
        </w:rPr>
        <w:t>March 31, 2026</w:t>
      </w:r>
      <w:r>
        <w:rPr>
          <w:rFonts w:ascii="Times New Roman" w:cs="Times New Roman" w:eastAsia="Times New Roman" w:hAnsi="Times New Roman"/>
          <w:sz w:val="18"/>
          <w:szCs w:val="18"/>
          <w:color w:val="auto"/>
        </w:rPr>
        <w:t xml:space="preserve"> is 6.1%.</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B2A29"/>
        </w:rPr>
        <w:t xml:space="preserve">During the </w:t>
      </w:r>
      <w:r>
        <w:rPr>
          <w:rFonts w:ascii="Times New Roman" w:cs="Times New Roman" w:eastAsia="Times New Roman" w:hAnsi="Times New Roman"/>
          <w:sz w:val="18"/>
          <w:szCs w:val="18"/>
          <w:color w:val="000000"/>
        </w:rPr>
        <w:t>six months ended</w:t>
      </w:r>
      <w:r>
        <w:rPr>
          <w:rFonts w:ascii="Times New Roman" w:cs="Times New Roman" w:eastAsia="Times New Roman" w:hAnsi="Times New Roman"/>
          <w:sz w:val="18"/>
          <w:szCs w:val="18"/>
          <w:color w:val="2B2A29"/>
        </w:rPr>
        <w:t xml:space="preserve"> March 31, 2026, the Company paid an aggregate principal amount of approximately </w:t>
      </w:r>
      <w:r>
        <w:rPr>
          <w:rFonts w:ascii="Times New Roman" w:cs="Times New Roman" w:eastAsia="Times New Roman" w:hAnsi="Times New Roman"/>
          <w:sz w:val="18"/>
          <w:szCs w:val="18"/>
          <w:color w:val="000000"/>
        </w:rPr>
        <w:t>$75.0 million</w:t>
      </w:r>
      <w:r>
        <w:rPr>
          <w:rFonts w:ascii="Times New Roman" w:cs="Times New Roman" w:eastAsia="Times New Roman" w:hAnsi="Times New Roman"/>
          <w:sz w:val="18"/>
          <w:szCs w:val="18"/>
          <w:color w:val="2B2A29"/>
        </w:rPr>
        <w:t xml:space="preserve"> on the Term Loan, of which </w:t>
      </w:r>
      <w:r>
        <w:rPr>
          <w:rFonts w:ascii="Times New Roman" w:cs="Times New Roman" w:eastAsia="Times New Roman" w:hAnsi="Times New Roman"/>
          <w:sz w:val="18"/>
          <w:szCs w:val="18"/>
          <w:color w:val="000000"/>
        </w:rPr>
        <w:t>$70.3 million</w:t>
      </w:r>
      <w:r>
        <w:rPr>
          <w:rFonts w:ascii="Times New Roman" w:cs="Times New Roman" w:eastAsia="Times New Roman" w:hAnsi="Times New Roman"/>
          <w:sz w:val="18"/>
          <w:szCs w:val="18"/>
          <w:color w:val="2B2A29"/>
        </w:rPr>
        <w:t xml:space="preserve"> was discretionary. Debt extinguishment charges as a result of these discretionary prepayments were not material to the Company's Condensed Consolidated Statements of Income.</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schedule of principal payments required on long-term debt for the next five fiscal years and thereafter is as follows:</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2026</w:t>
            </w:r>
          </w:p>
        </w:tc>
        <w:tc>
          <w:tcPr>
            <w:tcW w:w="5080" w:type="dxa"/>
            <w:vAlign w:val="bottom"/>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r>
      <w:tr>
        <w:trPr>
          <w:trHeight w:val="213"/>
        </w:trPr>
        <w:tc>
          <w:tcPr>
            <w:tcW w:w="5140" w:type="dxa"/>
            <w:vAlign w:val="bottom"/>
          </w:tcPr>
          <w:p>
            <w:pPr>
              <w:spacing w:after="0"/>
              <w:rPr>
                <w:sz w:val="20"/>
                <w:szCs w:val="20"/>
                <w:color w:val="auto"/>
              </w:rPr>
            </w:pPr>
            <w:r>
              <w:rPr>
                <w:rFonts w:ascii="Times New Roman" w:cs="Times New Roman" w:eastAsia="Times New Roman" w:hAnsi="Times New Roman"/>
                <w:sz w:val="16"/>
                <w:szCs w:val="16"/>
                <w:color w:val="auto"/>
              </w:rPr>
              <w:t>2027</w:t>
            </w:r>
          </w:p>
        </w:tc>
        <w:tc>
          <w:tcPr>
            <w:tcW w:w="50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19"/>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2028</w:t>
            </w:r>
          </w:p>
        </w:tc>
        <w:tc>
          <w:tcPr>
            <w:tcW w:w="50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13"/>
        </w:trPr>
        <w:tc>
          <w:tcPr>
            <w:tcW w:w="5140" w:type="dxa"/>
            <w:vAlign w:val="bottom"/>
          </w:tcPr>
          <w:p>
            <w:pPr>
              <w:spacing w:after="0"/>
              <w:rPr>
                <w:sz w:val="20"/>
                <w:szCs w:val="20"/>
                <w:color w:val="auto"/>
              </w:rPr>
            </w:pPr>
            <w:r>
              <w:rPr>
                <w:rFonts w:ascii="Times New Roman" w:cs="Times New Roman" w:eastAsia="Times New Roman" w:hAnsi="Times New Roman"/>
                <w:sz w:val="16"/>
                <w:szCs w:val="16"/>
                <w:color w:val="auto"/>
              </w:rPr>
              <w:t>2029</w:t>
            </w:r>
          </w:p>
        </w:tc>
        <w:tc>
          <w:tcPr>
            <w:tcW w:w="50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618.0</w:t>
            </w:r>
          </w:p>
        </w:tc>
      </w:tr>
      <w:tr>
        <w:trPr>
          <w:trHeight w:val="219"/>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2030</w:t>
            </w:r>
          </w:p>
        </w:tc>
        <w:tc>
          <w:tcPr>
            <w:tcW w:w="50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700.0</w:t>
            </w:r>
          </w:p>
        </w:tc>
      </w:tr>
      <w:tr>
        <w:trPr>
          <w:trHeight w:val="210"/>
        </w:trPr>
        <w:tc>
          <w:tcPr>
            <w:tcW w:w="5140" w:type="dxa"/>
            <w:vAlign w:val="bottom"/>
          </w:tcPr>
          <w:p>
            <w:pPr>
              <w:spacing w:after="0"/>
              <w:rPr>
                <w:sz w:val="20"/>
                <w:szCs w:val="20"/>
                <w:color w:val="auto"/>
              </w:rPr>
            </w:pPr>
            <w:r>
              <w:rPr>
                <w:rFonts w:ascii="Times New Roman" w:cs="Times New Roman" w:eastAsia="Times New Roman" w:hAnsi="Times New Roman"/>
                <w:sz w:val="16"/>
                <w:szCs w:val="16"/>
                <w:color w:val="auto"/>
              </w:rPr>
              <w:t>Thereafter</w:t>
            </w:r>
          </w:p>
        </w:tc>
        <w:tc>
          <w:tcPr>
            <w:tcW w:w="50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17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2B2A29"/>
        </w:rPr>
        <w:t>The estimated fair value of long-term debt (including current portion) at March 31, 2026 was $1,294.8 million compared with a carrying value (which includes a reduction for unamortized debt issuance costs and discounts) of $1,326.4 million. Fair value was estimated using inputs other than quoted prices in active markets for identical assets and liabilities that are observable either directly or indirectly for substantially the full term of the asset or liability and would be considered Level 2 in the fair value hierarchy.</w:t>
      </w:r>
    </w:p>
    <w:p>
      <w:pPr>
        <w:spacing w:after="0" w:line="200" w:lineRule="exact"/>
        <w:rPr>
          <w:sz w:val="20"/>
          <w:szCs w:val="20"/>
          <w:color w:val="auto"/>
        </w:rPr>
      </w:pPr>
    </w:p>
    <w:p>
      <w:pPr>
        <w:spacing w:after="0" w:line="2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137795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(Loss) Earnings per Share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calculation of (Loss) Earnings per basic and diluted common share for the </w:t>
      </w:r>
      <w:r>
        <w:rPr>
          <w:rFonts w:ascii="Times New Roman" w:cs="Times New Roman" w:eastAsia="Times New Roman" w:hAnsi="Times New Roman"/>
          <w:sz w:val="18"/>
          <w:szCs w:val="18"/>
          <w:color w:val="2B2A29"/>
        </w:rPr>
        <w:t>three and six months ended March 31, 2026 and</w:t>
      </w:r>
      <w:r>
        <w:rPr>
          <w:rFonts w:ascii="Times New Roman" w:cs="Times New Roman" w:eastAsia="Times New Roman" w:hAnsi="Times New Roman"/>
          <w:sz w:val="18"/>
          <w:szCs w:val="18"/>
          <w:color w:val="auto"/>
        </w:rPr>
        <w:t xml:space="preserve"> 2025 </w:t>
      </w:r>
      <w:r>
        <w:rPr>
          <w:rFonts w:ascii="Times New Roman" w:cs="Times New Roman" w:eastAsia="Times New Roman" w:hAnsi="Times New Roman"/>
          <w:sz w:val="18"/>
          <w:szCs w:val="18"/>
          <w:color w:val="2B2A29"/>
        </w:rPr>
        <w:t>was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20" w:type="dxa"/>
            <w:vAlign w:val="bottom"/>
            <w:gridSpan w:val="5"/>
          </w:tcPr>
          <w:p>
            <w:pPr>
              <w:ind w:left="5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60" w:type="dxa"/>
            <w:vAlign w:val="bottom"/>
          </w:tcPr>
          <w:p>
            <w:pPr>
              <w:spacing w:after="0"/>
              <w:rPr>
                <w:sz w:val="16"/>
                <w:szCs w:val="16"/>
                <w:color w:val="auto"/>
              </w:rPr>
            </w:pP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980" w:type="dxa"/>
            <w:vAlign w:val="bottom"/>
          </w:tcPr>
          <w:p>
            <w:pPr>
              <w:spacing w:after="0"/>
              <w:rPr>
                <w:sz w:val="16"/>
                <w:szCs w:val="16"/>
                <w:color w:val="auto"/>
              </w:rPr>
            </w:pPr>
          </w:p>
        </w:tc>
      </w:tr>
      <w:tr>
        <w:trPr>
          <w:trHeight w:val="214"/>
        </w:trPr>
        <w:tc>
          <w:tcPr>
            <w:tcW w:w="46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3"/>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980" w:type="dxa"/>
            <w:vAlign w:val="bottom"/>
            <w:tcBorders>
              <w:bottom w:val="single" w:sz="8" w:color="auto"/>
            </w:tcBorders>
          </w:tcPr>
          <w:p>
            <w:pPr>
              <w:spacing w:after="0"/>
              <w:rPr>
                <w:sz w:val="18"/>
                <w:szCs w:val="18"/>
                <w:color w:val="auto"/>
              </w:rPr>
            </w:pPr>
          </w:p>
        </w:tc>
      </w:tr>
      <w:tr>
        <w:trPr>
          <w:trHeight w:val="235"/>
        </w:trPr>
        <w:tc>
          <w:tcPr>
            <w:tcW w:w="4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i w:val="1"/>
                <w:iCs w:val="1"/>
                <w:color w:val="auto"/>
              </w:rPr>
              <w:t>($ in millions and shares in thousands, except per share amounts)</w:t>
            </w: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40"/>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Income</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w:t>
            </w:r>
          </w:p>
        </w:tc>
      </w:tr>
      <w:tr>
        <w:trPr>
          <w:trHeight w:val="162"/>
        </w:trPr>
        <w:tc>
          <w:tcPr>
            <w:tcW w:w="4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43"/>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weighted average number of shares outstanding</w:t>
            </w: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59,299</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58,290</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59,044</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58,119</w:t>
            </w:r>
          </w:p>
        </w:tc>
      </w:tr>
      <w:tr>
        <w:trPr>
          <w:trHeight w:val="240"/>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awards and equity units (share equivalent)</w:t>
            </w:r>
          </w:p>
        </w:tc>
        <w:tc>
          <w:tcPr>
            <w:tcW w:w="360" w:type="dxa"/>
            <w:vAlign w:val="bottom"/>
          </w:tcPr>
          <w:p>
            <w:pPr>
              <w:spacing w:after="0"/>
              <w:rPr>
                <w:sz w:val="20"/>
                <w:szCs w:val="20"/>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682</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537</w:t>
            </w:r>
          </w:p>
        </w:tc>
      </w:tr>
      <w:tr>
        <w:trPr>
          <w:trHeight w:val="246"/>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weighted average shares outstanding</w:t>
            </w: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59,299</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58,547</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59,726</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58,656</w:t>
            </w:r>
          </w:p>
        </w:tc>
      </w:tr>
      <w:tr>
        <w:trPr>
          <w:trHeight w:val="162"/>
        </w:trPr>
        <w:tc>
          <w:tcPr>
            <w:tcW w:w="4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43"/>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Earnings per common share - Basic</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(0.07)</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0.40</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0.68</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0.40</w:t>
            </w:r>
          </w:p>
        </w:tc>
      </w:tr>
      <w:tr>
        <w:trPr>
          <w:trHeight w:val="240"/>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Earnings per common share - Diluted</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(0.07)</w:t>
            </w:r>
          </w:p>
        </w:tc>
        <w:tc>
          <w:tcPr>
            <w:tcW w:w="100" w:type="dxa"/>
            <w:vAlign w:val="bottom"/>
          </w:tcPr>
          <w:p>
            <w:pPr>
              <w:spacing w:after="0"/>
              <w:rPr>
                <w:sz w:val="20"/>
                <w:szCs w:val="20"/>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0.40</w:t>
            </w:r>
          </w:p>
        </w:tc>
        <w:tc>
          <w:tcPr>
            <w:tcW w:w="12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0.67</w:t>
            </w:r>
          </w:p>
        </w:tc>
        <w:tc>
          <w:tcPr>
            <w:tcW w:w="100" w:type="dxa"/>
            <w:vAlign w:val="bottom"/>
          </w:tcPr>
          <w:p>
            <w:pPr>
              <w:spacing w:after="0"/>
              <w:rPr>
                <w:sz w:val="20"/>
                <w:szCs w:val="20"/>
                <w:color w:val="auto"/>
              </w:rPr>
            </w:pPr>
          </w:p>
        </w:tc>
        <w:tc>
          <w:tcPr>
            <w:tcW w:w="60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0.40</w:t>
            </w:r>
          </w:p>
        </w:tc>
      </w:tr>
      <w:tr>
        <w:trPr>
          <w:trHeight w:val="165"/>
        </w:trPr>
        <w:tc>
          <w:tcPr>
            <w:tcW w:w="46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237"/>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Antidilutive Shares (millions)</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r>
    </w:tbl>
    <w:p>
      <w:pPr>
        <w:spacing w:after="0" w:line="23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(Loss) Earnings per diluted share is computed by giving effect to all potentially dilutive stock awards that are outstanding. The computation of (Loss) Earnings per diluted share excludes the effect of the potential exercise of stock-based awards, when the effect of the potential exercise would be anti-dilutive. PSUs vest based upon achievement of performance targets and are excluded from the diluted shares outstanding unless the performance targets have been met as of the end of the applicable reporting period regardless of whether such performance targets are probable of achievement.</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Income Taxes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subject to income tax in the various jurisdictions in which it operates. A significant portion of the Company's earnings are taxed in jurisdictions with tax rates that are lower than the statutory tax rate of the United States. The effective tax rate can change from quarter to quarter because of variability in global pretax income or geographical mix of the Company's earnings, changes in tax laws and matters related to tax audits.</w:t>
      </w:r>
    </w:p>
    <w:p>
      <w:pPr>
        <w:spacing w:after="0" w:line="6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effective tax rates were 143.2% and 34.4% for the three months ended March 31, 2026 and 2025, respectively. The increase in the Company's effective tax rate compared to the prior period is primarily due to the tax impacts from changes in the level and mix of earnings and higher non-deductible costs.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effective tax rates were 41.5% and 33.0% for the six months ended March 31, 2026 and 2025, respectively. The increase in the Company's effective tax rate compared to the prior period is primarily due to the change in mix of earnings and higher non-deductible costs.</w:t>
      </w:r>
    </w:p>
    <w:p>
      <w:pPr>
        <w:spacing w:after="0" w:line="5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Organization for Economic Cooperation and Development ("OECD") has developed major reform of the international tax system with respect to a global minimum 15% tax rate. European Union member states agreed to adopt the OECD’s minimum tax rules, which went into effect for tax years beginning on January 1, 2024 or later. Certain countries have enacted the law changes and other countries are considering changes to their tax laws. The impact of the changes went into effect for the Company beginning in fiscal year 2025. The global minimum tax rules did not have a material impact to the Company's provision for income taxes for the three and six month periods ended March 31, 2026 and 2025.</w:t>
      </w:r>
    </w:p>
    <w:p>
      <w:pPr>
        <w:spacing w:after="0" w:line="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5, 2026, the OECD released the Pillar 2 Side-by-Side Package, which addresses how subsidiaries of U.S. listed companies are taxed under Pillar 2, including the addition of some safe harbors. As countries adopt these rules, the Company will continue to evaluate the future impact of these changes.</w:t>
      </w:r>
    </w:p>
    <w:p>
      <w:pPr>
        <w:spacing w:after="0" w:line="6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On July 4, 2025, the U.S. One Big Beautiful Bill Act ("OBBBA") was enacted which includes permanent extensions of certain expiring provisions of the Tax Cuts and Jobs Act and makes significant modifications to the U.S. international tax framework. The legislation has multiple effective dates, with certain provisions effective beginning in the fiscal year ended September 30, 2025 and others becoming effective through the fiscal year ending September 30, 2027. OBBBA did not have a material impact to the Company's provision for income taxes for the three and six month periods ended March 31, 2026 and 2025.</w:t>
      </w:r>
    </w:p>
    <w:p>
      <w:pPr>
        <w:spacing w:after="0" w:line="200" w:lineRule="exact"/>
        <w:rPr>
          <w:sz w:val="20"/>
          <w:szCs w:val="20"/>
          <w:color w:val="auto"/>
        </w:rPr>
      </w:pPr>
    </w:p>
    <w:p>
      <w:pPr>
        <w:spacing w:after="0" w:line="2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137795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Receivables Sale Agreement</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established a trade receivables sale agreement with a third-party financial institution to sell certain trade receivables of the Company at a discount on an uncommitted basis. These trade receivable sales are accounted for as a sale of assets, as the Company's continuing involvement is limited to servicing the accounts receivables. The Company receives the sales price, equal to the trade receivable less the applicable discount, at the time of sale.</w:t>
      </w:r>
    </w:p>
    <w:p>
      <w:pPr>
        <w:spacing w:after="0" w:line="6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 xml:space="preserve">In connection with the Company's receivables sale agreement, $120.3 million of trade receivables were sold during the six months ended March 31, 2026, resulting in derecognition of the receivables from the Company's Condensed Consolidated Balance Sheets. Discounts recognized on the sale of trade receivables were not material to the Company's Condensed Consolidated Statements of Income. The cash received on the sale of trade receivables during the six months ended March 31, 2026 is presented in changes in trade receivables, net within operating activities in the Condensed Consolidated Statement of Cash Flows. As of March 31, 2026, the Company had collected $5.4 million, on behalf of the financial institution, which is reflected as </w:t>
      </w:r>
      <w:r>
        <w:rPr>
          <w:rFonts w:ascii="Times New Roman" w:cs="Times New Roman" w:eastAsia="Times New Roman" w:hAnsi="Times New Roman"/>
          <w:sz w:val="18"/>
          <w:szCs w:val="18"/>
          <w:i w:val="1"/>
          <w:iCs w:val="1"/>
          <w:color w:val="auto"/>
        </w:rPr>
        <w:t>Restricted cash</w:t>
      </w:r>
      <w:r>
        <w:rPr>
          <w:rFonts w:ascii="Times New Roman" w:cs="Times New Roman" w:eastAsia="Times New Roman" w:hAnsi="Times New Roman"/>
          <w:sz w:val="18"/>
          <w:szCs w:val="18"/>
          <w:color w:val="auto"/>
        </w:rPr>
        <w:t xml:space="preserve"> and the related obligation to remit the cash within </w:t>
      </w:r>
      <w:r>
        <w:rPr>
          <w:rFonts w:ascii="Times New Roman" w:cs="Times New Roman" w:eastAsia="Times New Roman" w:hAnsi="Times New Roman"/>
          <w:sz w:val="18"/>
          <w:szCs w:val="18"/>
          <w:i w:val="1"/>
          <w:iCs w:val="1"/>
          <w:color w:val="auto"/>
        </w:rPr>
        <w:t>Accrued expenses</w:t>
      </w:r>
      <w:r>
        <w:rPr>
          <w:rFonts w:ascii="Times New Roman" w:cs="Times New Roman" w:eastAsia="Times New Roman" w:hAnsi="Times New Roman"/>
          <w:sz w:val="18"/>
          <w:szCs w:val="18"/>
          <w:color w:val="auto"/>
        </w:rPr>
        <w:t>. The net cash flows related to these collections are reported as financing activities in the Condensed Consolidated Statement of Cash Flows.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Financial Instruments and Fair Value Measurements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following reconciles </w:t>
      </w:r>
      <w:r>
        <w:rPr>
          <w:rFonts w:ascii="Times New Roman" w:cs="Times New Roman" w:eastAsia="Times New Roman" w:hAnsi="Times New Roman"/>
          <w:sz w:val="18"/>
          <w:szCs w:val="18"/>
          <w:i w:val="1"/>
          <w:iCs w:val="1"/>
          <w:color w:val="auto"/>
        </w:rPr>
        <w:t>Cash and equivalents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Restricted cash</w:t>
      </w:r>
      <w:r>
        <w:rPr>
          <w:rFonts w:ascii="Times New Roman" w:cs="Times New Roman" w:eastAsia="Times New Roman" w:hAnsi="Times New Roman"/>
          <w:sz w:val="18"/>
          <w:szCs w:val="18"/>
          <w:color w:val="auto"/>
        </w:rPr>
        <w:t xml:space="preserve"> reported within the Condensed Consolidated Balance Sheets as of March 31, 2026 and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2025, to the total amounts shown in the Condensed Consolidated Statements of Cash Flows: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80" w:type="dxa"/>
            <w:vAlign w:val="bottom"/>
          </w:tcPr>
          <w:p>
            <w:pPr>
              <w:spacing w:after="0"/>
              <w:rPr>
                <w:sz w:val="18"/>
                <w:szCs w:val="18"/>
                <w:color w:val="auto"/>
              </w:rPr>
            </w:pPr>
          </w:p>
        </w:tc>
        <w:tc>
          <w:tcPr>
            <w:tcW w:w="16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September 30, 2025</w:t>
            </w:r>
          </w:p>
        </w:tc>
      </w:tr>
      <w:tr>
        <w:trPr>
          <w:trHeight w:val="213"/>
        </w:trPr>
        <w:tc>
          <w:tcPr>
            <w:tcW w:w="7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equivalents</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184.9</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225.5</w:t>
            </w:r>
          </w:p>
        </w:tc>
      </w:tr>
      <w:tr>
        <w:trPr>
          <w:trHeight w:val="213"/>
        </w:trPr>
        <w:tc>
          <w:tcPr>
            <w:tcW w:w="7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2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37"/>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equivalents and restricted cash</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228.6</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 xml:space="preserve">Cash and equivalents as of March 31, 2026 includes cash held in money market funds and other cash equivalents. All cash and equivalents are Level 1 in the fair value hierarchy. Interest income on </w:t>
      </w:r>
      <w:r>
        <w:rPr>
          <w:rFonts w:ascii="Times New Roman" w:cs="Times New Roman" w:eastAsia="Times New Roman" w:hAnsi="Times New Roman"/>
          <w:sz w:val="18"/>
          <w:szCs w:val="18"/>
          <w:i w:val="1"/>
          <w:iCs w:val="1"/>
          <w:color w:val="auto"/>
        </w:rPr>
        <w:t>Cash and equivalents</w:t>
      </w:r>
      <w:r>
        <w:rPr>
          <w:rFonts w:ascii="Times New Roman" w:cs="Times New Roman" w:eastAsia="Times New Roman" w:hAnsi="Times New Roman"/>
          <w:sz w:val="18"/>
          <w:szCs w:val="18"/>
          <w:color w:val="auto"/>
        </w:rPr>
        <w:t xml:space="preserve"> was $0.7 million and $1.6 million for the three and six months ended March 31, 2026, and $1.3 million and $3.1 million for the three and six months ended March 31, 2025, respectively, and is included as a component of </w:t>
      </w:r>
      <w:r>
        <w:rPr>
          <w:rFonts w:ascii="Times New Roman" w:cs="Times New Roman" w:eastAsia="Times New Roman" w:hAnsi="Times New Roman"/>
          <w:sz w:val="18"/>
          <w:szCs w:val="18"/>
          <w:i w:val="1"/>
          <w:iCs w:val="1"/>
          <w:color w:val="auto"/>
        </w:rPr>
        <w:t>Interest expense, net</w:t>
      </w:r>
      <w:r>
        <w:rPr>
          <w:rFonts w:ascii="Times New Roman" w:cs="Times New Roman" w:eastAsia="Times New Roman" w:hAnsi="Times New Roman"/>
          <w:sz w:val="18"/>
          <w:szCs w:val="18"/>
          <w:color w:val="auto"/>
        </w:rPr>
        <w:t>. Restricted cash consists of cash not readily available for use in the Company's operating activities. The Company's restricted cash balance consists of amounts pledged as collateral for bank guarantees related to certain customer performance guarantees, international property leases, and amounts collected on behalf of the financial institution, which have yet to be remitted associated with the Company's trade receivables sale agreement.</w:t>
      </w:r>
    </w:p>
    <w:p>
      <w:pPr>
        <w:spacing w:after="0" w:line="3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Risks and Related Strategies</w:t>
      </w:r>
    </w:p>
    <w:p>
      <w:pPr>
        <w:spacing w:after="0" w:line="1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foreign currency exposures throughout Europe, Asia, Canada and Latin America. Transactional currency exposures that arise from entering into transactions, generally on an intercompany basis, in non-hyperinflationary countries that are denominated in currencies other than the functional currency are mitigated, in part, through the use of forward contracts.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notional amounts of the Company’s foreign currency-related derivative instruments were as follows as of March 31, 2026 and September 30, 2025:</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80" w:type="dxa"/>
            <w:vAlign w:val="bottom"/>
          </w:tcPr>
          <w:p>
            <w:pPr>
              <w:spacing w:after="0"/>
              <w:rPr>
                <w:sz w:val="18"/>
                <w:szCs w:val="18"/>
                <w:color w:val="auto"/>
              </w:rPr>
            </w:pP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Hedge Designation</w:t>
            </w:r>
          </w:p>
        </w:tc>
        <w:tc>
          <w:tcPr>
            <w:tcW w:w="260" w:type="dxa"/>
            <w:vAlign w:val="bottom"/>
          </w:tcPr>
          <w:p>
            <w:pPr>
              <w:spacing w:after="0"/>
              <w:rPr>
                <w:sz w:val="18"/>
                <w:szCs w:val="18"/>
                <w:color w:val="auto"/>
              </w:rPr>
            </w:pPr>
          </w:p>
        </w:tc>
        <w:tc>
          <w:tcPr>
            <w:tcW w:w="17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80" w:type="dxa"/>
            <w:vAlign w:val="bottom"/>
          </w:tcPr>
          <w:p>
            <w:pPr>
              <w:spacing w:after="0"/>
              <w:rPr>
                <w:sz w:val="18"/>
                <w:szCs w:val="18"/>
                <w:color w:val="auto"/>
              </w:rPr>
            </w:pPr>
          </w:p>
        </w:tc>
        <w:tc>
          <w:tcPr>
            <w:tcW w:w="16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September 30, 2025</w:t>
            </w:r>
          </w:p>
        </w:tc>
      </w:tr>
      <w:tr>
        <w:trPr>
          <w:trHeight w:val="213"/>
        </w:trPr>
        <w:tc>
          <w:tcPr>
            <w:tcW w:w="5480" w:type="dxa"/>
            <w:vAlign w:val="bottom"/>
            <w:tcBorders>
              <w:top w:val="single" w:sz="8" w:color="CCEEFF"/>
            </w:tcBorders>
            <w:shd w:val="clear" w:color="auto" w:fill="CCEEFF"/>
          </w:tcPr>
          <w:p>
            <w:pPr>
              <w:ind w:left="20"/>
              <w:spacing w:after="0" w:line="213" w:lineRule="exact"/>
              <w:rPr>
                <w:sz w:val="20"/>
                <w:szCs w:val="20"/>
                <w:color w:val="auto"/>
              </w:rPr>
            </w:pPr>
            <w:r>
              <w:rPr>
                <w:rFonts w:ascii="Times New Roman" w:cs="Times New Roman" w:eastAsia="Times New Roman" w:hAnsi="Times New Roman"/>
                <w:sz w:val="16"/>
                <w:szCs w:val="16"/>
                <w:color w:val="auto"/>
              </w:rPr>
              <w:t>Foreign exchange contracts</w:t>
            </w:r>
            <w:r>
              <w:rPr>
                <w:rFonts w:ascii="Times New Roman" w:cs="Times New Roman" w:eastAsia="Times New Roman" w:hAnsi="Times New Roman"/>
                <w:sz w:val="21"/>
                <w:szCs w:val="21"/>
                <w:color w:val="auto"/>
                <w:vertAlign w:val="superscript"/>
              </w:rPr>
              <w:t>(a)</w:t>
            </w:r>
          </w:p>
        </w:tc>
        <w:tc>
          <w:tcPr>
            <w:tcW w:w="1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Undesignated</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r>
      <w:tr>
        <w:trPr>
          <w:trHeight w:val="281"/>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Foreign exchange contracts</w:t>
            </w:r>
            <w:r>
              <w:rPr>
                <w:rFonts w:ascii="Times New Roman" w:cs="Times New Roman" w:eastAsia="Times New Roman" w:hAnsi="Times New Roman"/>
                <w:sz w:val="21"/>
                <w:szCs w:val="21"/>
                <w:color w:val="auto"/>
                <w:vertAlign w:val="superscript"/>
              </w:rPr>
              <w:t>(b)</w:t>
            </w: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Undesignated</w:t>
            </w:r>
          </w:p>
        </w:tc>
        <w:tc>
          <w:tcPr>
            <w:tcW w:w="26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167.9</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181610</wp:posOffset>
            </wp:positionV>
            <wp:extent cx="7715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jc w:val="both"/>
        <w:ind w:left="340" w:hanging="332"/>
        <w:spacing w:after="0" w:line="252" w:lineRule="auto"/>
        <w:tabs>
          <w:tab w:leader="none" w:pos="331"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Represents hedges of transactional foreign exchange exposures resulting primarily from intercompany payables and third-party transactions. Gains and losses on these instruments are recognized immediately in </w:t>
      </w:r>
      <w:r>
        <w:rPr>
          <w:rFonts w:ascii="Times New Roman" w:cs="Times New Roman" w:eastAsia="Times New Roman" w:hAnsi="Times New Roman"/>
          <w:sz w:val="16"/>
          <w:szCs w:val="16"/>
          <w:i w:val="1"/>
          <w:iCs w:val="1"/>
          <w:color w:val="auto"/>
        </w:rPr>
        <w:t>Other income (expense), net</w:t>
      </w:r>
      <w:r>
        <w:rPr>
          <w:rFonts w:ascii="Times New Roman" w:cs="Times New Roman" w:eastAsia="Times New Roman" w:hAnsi="Times New Roman"/>
          <w:sz w:val="16"/>
          <w:szCs w:val="16"/>
          <w:color w:val="auto"/>
        </w:rPr>
        <w:t>. These gains and losses are largely offset by gains and losses on the underlying hedged items, as well as the hedging costs associated with the derivative instruments. Gains and losses recognized to date on these instruments were not material to the Company's Condensed Consolidated Financial Statements.</w:t>
      </w:r>
    </w:p>
    <w:p>
      <w:pPr>
        <w:spacing w:after="0" w:line="77" w:lineRule="exact"/>
        <w:rPr>
          <w:rFonts w:ascii="Times New Roman" w:cs="Times New Roman" w:eastAsia="Times New Roman" w:hAnsi="Times New Roman"/>
          <w:sz w:val="16"/>
          <w:szCs w:val="16"/>
          <w:color w:val="auto"/>
        </w:rPr>
      </w:pPr>
    </w:p>
    <w:p>
      <w:pPr>
        <w:jc w:val="both"/>
        <w:ind w:left="340" w:hanging="332"/>
        <w:spacing w:after="0" w:line="254" w:lineRule="auto"/>
        <w:tabs>
          <w:tab w:leader="none" w:pos="3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Represents hedges of the British pound sterling denominated purchase price of the pending acquisition of Owen Mumford entered during the second quarter of fiscal year 2026. Gains and losses on these instruments are recognized immediately in </w:t>
      </w:r>
      <w:r>
        <w:rPr>
          <w:rFonts w:ascii="Times New Roman" w:cs="Times New Roman" w:eastAsia="Times New Roman" w:hAnsi="Times New Roman"/>
          <w:sz w:val="16"/>
          <w:szCs w:val="16"/>
          <w:i w:val="1"/>
          <w:iCs w:val="1"/>
          <w:color w:val="auto"/>
        </w:rPr>
        <w:t>Other income (expense), net</w:t>
      </w:r>
      <w:r>
        <w:rPr>
          <w:rFonts w:ascii="Times New Roman" w:cs="Times New Roman" w:eastAsia="Times New Roman" w:hAnsi="Times New Roman"/>
          <w:sz w:val="16"/>
          <w:szCs w:val="16"/>
          <w:color w:val="auto"/>
        </w:rPr>
        <w:t>. Gains and losses recognized to date on these instruments were not material to the Company's Condensed Consolidated Financial Statements.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Nonrecurring Fair Value Measurements</w:t>
      </w:r>
    </w:p>
    <w:p>
      <w:pPr>
        <w:spacing w:after="0" w:line="11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Non-financial assets, including property, plant and equipment as well as intangible assets, are measured at fair value when there are indicators of impairment and these assets are recorded at fair value only when an impairment is recognized. These measurements of fair value are generally based upon Level 3 inputs, including values estimated using the income approach.</w:t>
      </w:r>
    </w:p>
    <w:p>
      <w:pPr>
        <w:spacing w:after="0" w:line="8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 xml:space="preserve">In the first half of fiscal year 2025, the Company recorded non-cash asset impairment charges of $10.4 million to write down the carrying value of certain property and equipment as a result of the Company's plan to discontinue the patch pump program. $6.1 million was recorded to </w:t>
      </w:r>
      <w:r>
        <w:rPr>
          <w:rFonts w:ascii="Times New Roman" w:cs="Times New Roman" w:eastAsia="Times New Roman" w:hAnsi="Times New Roman"/>
          <w:sz w:val="18"/>
          <w:szCs w:val="18"/>
          <w:i w:val="1"/>
          <w:iCs w:val="1"/>
          <w:color w:val="auto"/>
        </w:rPr>
        <w:t>Cost of products sold</w:t>
      </w:r>
      <w:r>
        <w:rPr>
          <w:rFonts w:ascii="Times New Roman" w:cs="Times New Roman" w:eastAsia="Times New Roman" w:hAnsi="Times New Roman"/>
          <w:sz w:val="18"/>
          <w:szCs w:val="18"/>
          <w:color w:val="auto"/>
        </w:rPr>
        <w:t xml:space="preserve"> and $4.3 million was recorded to </w:t>
      </w:r>
      <w:r>
        <w:rPr>
          <w:rFonts w:ascii="Times New Roman" w:cs="Times New Roman" w:eastAsia="Times New Roman" w:hAnsi="Times New Roman"/>
          <w:sz w:val="18"/>
          <w:szCs w:val="18"/>
          <w:i w:val="1"/>
          <w:iCs w:val="1"/>
          <w:color w:val="auto"/>
        </w:rPr>
        <w:t>Research and development expense</w:t>
      </w:r>
      <w:r>
        <w:rPr>
          <w:rFonts w:ascii="Times New Roman" w:cs="Times New Roman" w:eastAsia="Times New Roman" w:hAnsi="Times New Roman"/>
          <w:sz w:val="18"/>
          <w:szCs w:val="18"/>
          <w:color w:val="auto"/>
        </w:rPr>
        <w:t>. The amount recognized was recorded to adjust the carrying amount of assets to the assets' fair values, which were estimated, based upon a market participant's perspective, using Level 3 measurements, including values estimated using the income approach.</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 of Credit Risk</w:t>
      </w:r>
    </w:p>
    <w:p>
      <w:pPr>
        <w:spacing w:after="0" w:line="9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Three of the Company’s customers represented at least 10.0% of total gross revenues individually and, in the aggregate, represented approximately 39.1% for the three months ended March 31, 2026, and three of the Company's customers represented at least 10.0% of total gross revenues individually and, in the aggregate, represented approximately 38.0% of total revenues for the six months ended March 31, 2026.</w:t>
      </w:r>
    </w:p>
    <w:p>
      <w:pPr>
        <w:spacing w:after="0" w:line="6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One of the Company's customers represented at least 10.0% of total gross trade receivables individually and represented approximately 14.8% as of March 31, 2026.</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Substantially all of the Company’s trade receivables are due from public and private entities involved in the healthcare industry. The Company does not normally require collateral from its customers.</w:t>
      </w:r>
    </w:p>
    <w:p>
      <w:pPr>
        <w:spacing w:after="0" w:line="200" w:lineRule="exact"/>
        <w:rPr>
          <w:sz w:val="20"/>
          <w:szCs w:val="20"/>
          <w:color w:val="auto"/>
        </w:rPr>
      </w:pPr>
    </w:p>
    <w:p>
      <w:pPr>
        <w:spacing w:after="0" w:line="2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Property, Plant and Equipment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Plant and Equipment, Net consisted of:</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00" w:type="dxa"/>
            <w:vAlign w:val="bottom"/>
            <w:tcBorders>
              <w:bottom w:val="single" w:sz="8" w:color="CCEEFF"/>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September 30, 2025</w:t>
            </w:r>
          </w:p>
        </w:tc>
      </w:tr>
      <w:tr>
        <w:trPr>
          <w:trHeight w:val="219"/>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Land</w:t>
            </w:r>
          </w:p>
        </w:tc>
        <w:tc>
          <w:tcPr>
            <w:tcW w:w="1780" w:type="dxa"/>
            <w:vAlign w:val="bottom"/>
            <w:tcBorders>
              <w:bottom w:val="single" w:sz="8" w:color="CCEEFF"/>
            </w:tcBorders>
            <w:shd w:val="clear" w:color="auto" w:fill="CCEEFF"/>
          </w:tcPr>
          <w:p>
            <w:pPr>
              <w:jc w:val="right"/>
              <w:ind w:right="159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10"/>
        </w:trPr>
        <w:tc>
          <w:tcPr>
            <w:tcW w:w="6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Buildings</w:t>
            </w:r>
          </w:p>
        </w:tc>
        <w:tc>
          <w:tcPr>
            <w:tcW w:w="17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121.0</w:t>
            </w:r>
          </w:p>
        </w:tc>
      </w:tr>
      <w:tr>
        <w:trPr>
          <w:trHeight w:val="33"/>
        </w:trPr>
        <w:tc>
          <w:tcPr>
            <w:tcW w:w="64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23"/>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Machinery, equipment and fixtures</w:t>
            </w:r>
          </w:p>
        </w:tc>
        <w:tc>
          <w:tcPr>
            <w:tcW w:w="17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569.9</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2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595.4</w:t>
            </w:r>
          </w:p>
        </w:tc>
      </w:tr>
      <w:tr>
        <w:trPr>
          <w:trHeight w:val="210"/>
        </w:trPr>
        <w:tc>
          <w:tcPr>
            <w:tcW w:w="6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Leasehold improvements</w:t>
            </w:r>
          </w:p>
        </w:tc>
        <w:tc>
          <w:tcPr>
            <w:tcW w:w="17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w:t>
            </w:r>
          </w:p>
        </w:tc>
      </w:tr>
      <w:tr>
        <w:trPr>
          <w:trHeight w:val="33"/>
        </w:trPr>
        <w:tc>
          <w:tcPr>
            <w:tcW w:w="64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43"/>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Construction in progress</w:t>
            </w:r>
          </w:p>
        </w:tc>
        <w:tc>
          <w:tcPr>
            <w:tcW w:w="17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w:t>
            </w:r>
          </w:p>
        </w:tc>
      </w:tr>
      <w:tr>
        <w:trPr>
          <w:trHeight w:val="204"/>
        </w:trPr>
        <w:tc>
          <w:tcPr>
            <w:tcW w:w="6400" w:type="dxa"/>
            <w:vAlign w:val="bottom"/>
          </w:tcPr>
          <w:p>
            <w:pPr>
              <w:spacing w:after="0"/>
              <w:rPr>
                <w:sz w:val="17"/>
                <w:szCs w:val="17"/>
                <w:color w:val="auto"/>
              </w:rPr>
            </w:pPr>
          </w:p>
        </w:tc>
        <w:tc>
          <w:tcPr>
            <w:tcW w:w="1780" w:type="dxa"/>
            <w:vAlign w:val="bottom"/>
            <w:tcBorders>
              <w:top w:val="single" w:sz="8" w:color="auto"/>
            </w:tcBorders>
          </w:tcPr>
          <w:p>
            <w:pPr>
              <w:jc w:val="right"/>
              <w:ind w:right="159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752.3</w:t>
            </w:r>
          </w:p>
        </w:tc>
        <w:tc>
          <w:tcPr>
            <w:tcW w:w="100" w:type="dxa"/>
            <w:vAlign w:val="bottom"/>
          </w:tcPr>
          <w:p>
            <w:pPr>
              <w:spacing w:after="0"/>
              <w:rPr>
                <w:sz w:val="17"/>
                <w:szCs w:val="17"/>
                <w:color w:val="auto"/>
              </w:rPr>
            </w:pPr>
          </w:p>
        </w:tc>
        <w:tc>
          <w:tcPr>
            <w:tcW w:w="30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2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791.3</w:t>
            </w:r>
          </w:p>
        </w:tc>
      </w:tr>
      <w:tr>
        <w:trPr>
          <w:trHeight w:val="33"/>
        </w:trPr>
        <w:tc>
          <w:tcPr>
            <w:tcW w:w="64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43"/>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17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(534.1)</w:t>
            </w:r>
          </w:p>
        </w:tc>
      </w:tr>
      <w:tr>
        <w:trPr>
          <w:trHeight w:val="204"/>
        </w:trPr>
        <w:tc>
          <w:tcPr>
            <w:tcW w:w="6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Property, Plant and Equipment, Net</w:t>
            </w:r>
          </w:p>
        </w:tc>
        <w:tc>
          <w:tcPr>
            <w:tcW w:w="1780" w:type="dxa"/>
            <w:vAlign w:val="bottom"/>
            <w:tcBorders>
              <w:top w:val="single" w:sz="8" w:color="auto"/>
            </w:tcBorders>
          </w:tcPr>
          <w:p>
            <w:pPr>
              <w:jc w:val="right"/>
              <w:ind w:right="159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237.5</w:t>
            </w:r>
          </w:p>
        </w:tc>
        <w:tc>
          <w:tcPr>
            <w:tcW w:w="100" w:type="dxa"/>
            <w:vAlign w:val="bottom"/>
          </w:tcPr>
          <w:p>
            <w:pPr>
              <w:spacing w:after="0"/>
              <w:rPr>
                <w:sz w:val="17"/>
                <w:szCs w:val="17"/>
                <w:color w:val="auto"/>
              </w:rPr>
            </w:pPr>
          </w:p>
        </w:tc>
        <w:tc>
          <w:tcPr>
            <w:tcW w:w="30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2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257.2</w:t>
            </w:r>
          </w:p>
        </w:tc>
      </w:tr>
      <w:tr>
        <w:trPr>
          <w:trHeight w:val="33"/>
        </w:trPr>
        <w:tc>
          <w:tcPr>
            <w:tcW w:w="640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0"/>
        </w:trPr>
        <w:tc>
          <w:tcPr>
            <w:tcW w:w="640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 Leases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Finance Leases</w:t>
      </w:r>
    </w:p>
    <w:p>
      <w:pPr>
        <w:spacing w:after="0" w:line="1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finance lease assets and liabilities are attributed to its manufacturing site in Holdrege, Nebraska, which has an initial term of ten years and an option for the Company to extend the lease term for an additional period of up to five years. This lease is classified as a finance lease because the present value of the sum of the lease payments associated with the lease exceeds substantially all of the fair value of the manufacturing site.</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Leases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operating leases primarily relate to its real estate leases that are not classified as finance leases.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Aggregate Lease Information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leases are included in its Condensed Consolidated Balance Sheets as follows:</w:t>
      </w:r>
    </w:p>
    <w:p>
      <w:pPr>
        <w:spacing w:after="0" w:line="228"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6200" w:type="dxa"/>
            <w:vAlign w:val="bottom"/>
          </w:tcPr>
          <w:p>
            <w:pPr>
              <w:spacing w:after="0"/>
              <w:rPr>
                <w:sz w:val="18"/>
                <w:szCs w:val="18"/>
                <w:color w:val="auto"/>
              </w:rPr>
            </w:pPr>
          </w:p>
        </w:tc>
        <w:tc>
          <w:tcPr>
            <w:tcW w:w="18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September 30, 2025</w:t>
            </w:r>
          </w:p>
        </w:tc>
      </w:tr>
      <w:tr>
        <w:trPr>
          <w:trHeight w:val="196"/>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Finance Leases</w:t>
            </w:r>
          </w:p>
        </w:tc>
        <w:tc>
          <w:tcPr>
            <w:tcW w:w="18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33"/>
        </w:trPr>
        <w:tc>
          <w:tcPr>
            <w:tcW w:w="6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43"/>
        </w:trPr>
        <w:tc>
          <w:tcPr>
            <w:tcW w:w="6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1860" w:type="dxa"/>
            <w:vAlign w:val="bottom"/>
            <w:tcBorders>
              <w:bottom w:val="single" w:sz="8" w:color="CCEEFF"/>
            </w:tcBorders>
            <w:shd w:val="clear" w:color="auto" w:fill="CCEEFF"/>
          </w:tcPr>
          <w:p>
            <w:pPr>
              <w:jc w:val="right"/>
              <w:ind w:right="167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27.1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21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28.3</w:t>
            </w:r>
          </w:p>
        </w:tc>
      </w:tr>
      <w:tr>
        <w:trPr>
          <w:trHeight w:val="204"/>
        </w:trPr>
        <w:tc>
          <w:tcPr>
            <w:tcW w:w="62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Finance Lease Assets</w:t>
            </w:r>
          </w:p>
        </w:tc>
        <w:tc>
          <w:tcPr>
            <w:tcW w:w="1860" w:type="dxa"/>
            <w:vAlign w:val="bottom"/>
            <w:tcBorders>
              <w:top w:val="single" w:sz="8" w:color="auto"/>
            </w:tcBorders>
          </w:tcPr>
          <w:p>
            <w:pPr>
              <w:jc w:val="right"/>
              <w:ind w:right="167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27.1</w:t>
            </w:r>
          </w:p>
        </w:tc>
        <w:tc>
          <w:tcPr>
            <w:tcW w:w="100" w:type="dxa"/>
            <w:vAlign w:val="bottom"/>
          </w:tcPr>
          <w:p>
            <w:pPr>
              <w:spacing w:after="0"/>
              <w:rPr>
                <w:sz w:val="17"/>
                <w:szCs w:val="17"/>
                <w:color w:val="auto"/>
              </w:rPr>
            </w:pPr>
          </w:p>
        </w:tc>
        <w:tc>
          <w:tcPr>
            <w:tcW w:w="3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212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28.3</w:t>
            </w:r>
          </w:p>
        </w:tc>
      </w:tr>
      <w:tr>
        <w:trPr>
          <w:trHeight w:val="33"/>
        </w:trPr>
        <w:tc>
          <w:tcPr>
            <w:tcW w:w="620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0"/>
        </w:trPr>
        <w:tc>
          <w:tcPr>
            <w:tcW w:w="620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r>
      <w:tr>
        <w:trPr>
          <w:trHeight w:val="75"/>
        </w:trPr>
        <w:tc>
          <w:tcPr>
            <w:tcW w:w="6200" w:type="dxa"/>
            <w:vAlign w:val="bottom"/>
            <w:shd w:val="clear" w:color="auto" w:fill="CCEEFF"/>
          </w:tcPr>
          <w:p>
            <w:pPr>
              <w:spacing w:after="0"/>
              <w:rPr>
                <w:sz w:val="6"/>
                <w:szCs w:val="6"/>
                <w:color w:val="auto"/>
              </w:rPr>
            </w:pPr>
          </w:p>
        </w:tc>
        <w:tc>
          <w:tcPr>
            <w:tcW w:w="186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2120" w:type="dxa"/>
            <w:vAlign w:val="bottom"/>
            <w:shd w:val="clear" w:color="auto" w:fill="CCEEFF"/>
          </w:tcPr>
          <w:p>
            <w:pPr>
              <w:spacing w:after="0"/>
              <w:rPr>
                <w:sz w:val="6"/>
                <w:szCs w:val="6"/>
                <w:color w:val="auto"/>
              </w:rPr>
            </w:pPr>
          </w:p>
        </w:tc>
      </w:tr>
      <w:tr>
        <w:trPr>
          <w:trHeight w:val="210"/>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finance lease liabilities</w:t>
            </w:r>
          </w:p>
        </w:tc>
        <w:tc>
          <w:tcPr>
            <w:tcW w:w="1860" w:type="dxa"/>
            <w:vAlign w:val="bottom"/>
          </w:tcPr>
          <w:p>
            <w:pPr>
              <w:jc w:val="right"/>
              <w:ind w:right="167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21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3.4</w:t>
            </w:r>
          </w:p>
        </w:tc>
      </w:tr>
      <w:tr>
        <w:trPr>
          <w:trHeight w:val="33"/>
        </w:trPr>
        <w:tc>
          <w:tcPr>
            <w:tcW w:w="6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43"/>
        </w:trPr>
        <w:tc>
          <w:tcPr>
            <w:tcW w:w="6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 Current Finance Lease Liabilities</w:t>
            </w:r>
          </w:p>
        </w:tc>
        <w:tc>
          <w:tcPr>
            <w:tcW w:w="18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27.8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28.7</w:t>
            </w:r>
          </w:p>
        </w:tc>
      </w:tr>
      <w:tr>
        <w:trPr>
          <w:trHeight w:val="204"/>
        </w:trPr>
        <w:tc>
          <w:tcPr>
            <w:tcW w:w="62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Finance Lease Liabilities</w:t>
            </w:r>
          </w:p>
        </w:tc>
        <w:tc>
          <w:tcPr>
            <w:tcW w:w="1860" w:type="dxa"/>
            <w:vAlign w:val="bottom"/>
            <w:tcBorders>
              <w:top w:val="single" w:sz="8" w:color="auto"/>
            </w:tcBorders>
          </w:tcPr>
          <w:p>
            <w:pPr>
              <w:jc w:val="right"/>
              <w:ind w:right="167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31.3</w:t>
            </w:r>
          </w:p>
        </w:tc>
        <w:tc>
          <w:tcPr>
            <w:tcW w:w="100" w:type="dxa"/>
            <w:vAlign w:val="bottom"/>
          </w:tcPr>
          <w:p>
            <w:pPr>
              <w:spacing w:after="0"/>
              <w:rPr>
                <w:sz w:val="17"/>
                <w:szCs w:val="17"/>
                <w:color w:val="auto"/>
              </w:rPr>
            </w:pPr>
          </w:p>
        </w:tc>
        <w:tc>
          <w:tcPr>
            <w:tcW w:w="3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212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32.1</w:t>
            </w:r>
          </w:p>
        </w:tc>
      </w:tr>
      <w:tr>
        <w:trPr>
          <w:trHeight w:val="33"/>
        </w:trPr>
        <w:tc>
          <w:tcPr>
            <w:tcW w:w="620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0"/>
        </w:trPr>
        <w:tc>
          <w:tcPr>
            <w:tcW w:w="620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r>
      <w:tr>
        <w:trPr>
          <w:trHeight w:val="237"/>
        </w:trPr>
        <w:tc>
          <w:tcPr>
            <w:tcW w:w="6200" w:type="dxa"/>
            <w:vAlign w:val="bottom"/>
            <w:shd w:val="clear" w:color="auto" w:fill="CCEEFF"/>
          </w:tcPr>
          <w:p>
            <w:pPr>
              <w:spacing w:after="0"/>
              <w:rPr>
                <w:sz w:val="20"/>
                <w:szCs w:val="20"/>
                <w:color w:val="auto"/>
              </w:rPr>
            </w:pPr>
          </w:p>
        </w:tc>
        <w:tc>
          <w:tcPr>
            <w:tcW w:w="18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120" w:type="dxa"/>
            <w:vAlign w:val="bottom"/>
            <w:shd w:val="clear" w:color="auto" w:fill="CCEEFF"/>
          </w:tcPr>
          <w:p>
            <w:pPr>
              <w:spacing w:after="0"/>
              <w:rPr>
                <w:sz w:val="20"/>
                <w:szCs w:val="20"/>
                <w:color w:val="auto"/>
              </w:rPr>
            </w:pPr>
          </w:p>
        </w:tc>
      </w:tr>
      <w:tr>
        <w:trPr>
          <w:trHeight w:val="210"/>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Weighted-average remaining lease term (years)</w:t>
            </w:r>
          </w:p>
        </w:tc>
        <w:tc>
          <w:tcPr>
            <w:tcW w:w="1860" w:type="dxa"/>
            <w:vAlign w:val="bottom"/>
          </w:tcPr>
          <w:p>
            <w:pPr>
              <w:spacing w:after="0"/>
              <w:rPr>
                <w:sz w:val="18"/>
                <w:szCs w:val="18"/>
                <w:color w:val="auto"/>
              </w:rPr>
            </w:pPr>
          </w:p>
        </w:tc>
        <w:tc>
          <w:tcPr>
            <w:tcW w:w="5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11.5</w:t>
            </w:r>
          </w:p>
        </w:tc>
      </w:tr>
      <w:tr>
        <w:trPr>
          <w:trHeight w:val="33"/>
        </w:trPr>
        <w:tc>
          <w:tcPr>
            <w:tcW w:w="6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23"/>
        </w:trPr>
        <w:tc>
          <w:tcPr>
            <w:tcW w:w="6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discount rate</w:t>
            </w:r>
          </w:p>
        </w:tc>
        <w:tc>
          <w:tcPr>
            <w:tcW w:w="186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6.8 %</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6.8 %</w:t>
            </w:r>
          </w:p>
        </w:tc>
      </w:tr>
      <w:tr>
        <w:trPr>
          <w:trHeight w:val="318"/>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Leases</w:t>
            </w:r>
          </w:p>
        </w:tc>
        <w:tc>
          <w:tcPr>
            <w:tcW w:w="1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33"/>
        </w:trPr>
        <w:tc>
          <w:tcPr>
            <w:tcW w:w="6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43"/>
        </w:trPr>
        <w:tc>
          <w:tcPr>
            <w:tcW w:w="6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860" w:type="dxa"/>
            <w:vAlign w:val="bottom"/>
            <w:tcBorders>
              <w:bottom w:val="single" w:sz="8" w:color="CCEEFF"/>
            </w:tcBorders>
            <w:shd w:val="clear" w:color="auto" w:fill="CCEEFF"/>
          </w:tcPr>
          <w:p>
            <w:pPr>
              <w:jc w:val="right"/>
              <w:ind w:right="167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21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20.2</w:t>
            </w:r>
          </w:p>
        </w:tc>
      </w:tr>
      <w:tr>
        <w:trPr>
          <w:trHeight w:val="204"/>
        </w:trPr>
        <w:tc>
          <w:tcPr>
            <w:tcW w:w="62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Operating Lease Assets</w:t>
            </w:r>
          </w:p>
        </w:tc>
        <w:tc>
          <w:tcPr>
            <w:tcW w:w="1860" w:type="dxa"/>
            <w:vAlign w:val="bottom"/>
            <w:tcBorders>
              <w:top w:val="single" w:sz="8" w:color="auto"/>
            </w:tcBorders>
          </w:tcPr>
          <w:p>
            <w:pPr>
              <w:jc w:val="right"/>
              <w:ind w:right="167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17.5</w:t>
            </w:r>
          </w:p>
        </w:tc>
        <w:tc>
          <w:tcPr>
            <w:tcW w:w="100" w:type="dxa"/>
            <w:vAlign w:val="bottom"/>
          </w:tcPr>
          <w:p>
            <w:pPr>
              <w:spacing w:after="0"/>
              <w:rPr>
                <w:sz w:val="17"/>
                <w:szCs w:val="17"/>
                <w:color w:val="auto"/>
              </w:rPr>
            </w:pPr>
          </w:p>
        </w:tc>
        <w:tc>
          <w:tcPr>
            <w:tcW w:w="3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212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20.2</w:t>
            </w:r>
          </w:p>
        </w:tc>
      </w:tr>
      <w:tr>
        <w:trPr>
          <w:trHeight w:val="33"/>
        </w:trPr>
        <w:tc>
          <w:tcPr>
            <w:tcW w:w="620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0"/>
        </w:trPr>
        <w:tc>
          <w:tcPr>
            <w:tcW w:w="620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r>
      <w:tr>
        <w:trPr>
          <w:trHeight w:val="75"/>
        </w:trPr>
        <w:tc>
          <w:tcPr>
            <w:tcW w:w="6200" w:type="dxa"/>
            <w:vAlign w:val="bottom"/>
            <w:shd w:val="clear" w:color="auto" w:fill="CCEEFF"/>
          </w:tcPr>
          <w:p>
            <w:pPr>
              <w:spacing w:after="0"/>
              <w:rPr>
                <w:sz w:val="6"/>
                <w:szCs w:val="6"/>
                <w:color w:val="auto"/>
              </w:rPr>
            </w:pPr>
          </w:p>
        </w:tc>
        <w:tc>
          <w:tcPr>
            <w:tcW w:w="186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2120" w:type="dxa"/>
            <w:vAlign w:val="bottom"/>
            <w:shd w:val="clear" w:color="auto" w:fill="CCEEFF"/>
          </w:tcPr>
          <w:p>
            <w:pPr>
              <w:spacing w:after="0"/>
              <w:rPr>
                <w:sz w:val="6"/>
                <w:szCs w:val="6"/>
                <w:color w:val="auto"/>
              </w:rPr>
            </w:pPr>
          </w:p>
        </w:tc>
      </w:tr>
      <w:tr>
        <w:trPr>
          <w:trHeight w:val="210"/>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expenses</w:t>
            </w:r>
          </w:p>
        </w:tc>
        <w:tc>
          <w:tcPr>
            <w:tcW w:w="1860" w:type="dxa"/>
            <w:vAlign w:val="bottom"/>
          </w:tcPr>
          <w:p>
            <w:pPr>
              <w:jc w:val="right"/>
              <w:ind w:right="167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21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6.9</w:t>
            </w:r>
          </w:p>
        </w:tc>
      </w:tr>
      <w:tr>
        <w:trPr>
          <w:trHeight w:val="33"/>
        </w:trPr>
        <w:tc>
          <w:tcPr>
            <w:tcW w:w="6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43"/>
        </w:trPr>
        <w:tc>
          <w:tcPr>
            <w:tcW w:w="6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Taxes and Other Liabilities</w:t>
            </w:r>
          </w:p>
        </w:tc>
        <w:tc>
          <w:tcPr>
            <w:tcW w:w="18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10.2</w:t>
            </w:r>
          </w:p>
        </w:tc>
      </w:tr>
      <w:tr>
        <w:trPr>
          <w:trHeight w:val="204"/>
        </w:trPr>
        <w:tc>
          <w:tcPr>
            <w:tcW w:w="62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Operating Lease Liabilities</w:t>
            </w:r>
          </w:p>
        </w:tc>
        <w:tc>
          <w:tcPr>
            <w:tcW w:w="1860" w:type="dxa"/>
            <w:vAlign w:val="bottom"/>
            <w:tcBorders>
              <w:top w:val="single" w:sz="8" w:color="auto"/>
            </w:tcBorders>
          </w:tcPr>
          <w:p>
            <w:pPr>
              <w:jc w:val="right"/>
              <w:ind w:right="167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14.8</w:t>
            </w:r>
          </w:p>
        </w:tc>
        <w:tc>
          <w:tcPr>
            <w:tcW w:w="100" w:type="dxa"/>
            <w:vAlign w:val="bottom"/>
          </w:tcPr>
          <w:p>
            <w:pPr>
              <w:spacing w:after="0"/>
              <w:rPr>
                <w:sz w:val="17"/>
                <w:szCs w:val="17"/>
                <w:color w:val="auto"/>
              </w:rPr>
            </w:pPr>
          </w:p>
        </w:tc>
        <w:tc>
          <w:tcPr>
            <w:tcW w:w="3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212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17.1</w:t>
            </w:r>
          </w:p>
        </w:tc>
      </w:tr>
      <w:tr>
        <w:trPr>
          <w:trHeight w:val="33"/>
        </w:trPr>
        <w:tc>
          <w:tcPr>
            <w:tcW w:w="620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0"/>
        </w:trPr>
        <w:tc>
          <w:tcPr>
            <w:tcW w:w="620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r>
      <w:tr>
        <w:trPr>
          <w:trHeight w:val="75"/>
        </w:trPr>
        <w:tc>
          <w:tcPr>
            <w:tcW w:w="6200" w:type="dxa"/>
            <w:vAlign w:val="bottom"/>
            <w:shd w:val="clear" w:color="auto" w:fill="CCEEFF"/>
          </w:tcPr>
          <w:p>
            <w:pPr>
              <w:spacing w:after="0"/>
              <w:rPr>
                <w:sz w:val="6"/>
                <w:szCs w:val="6"/>
                <w:color w:val="auto"/>
              </w:rPr>
            </w:pPr>
          </w:p>
        </w:tc>
        <w:tc>
          <w:tcPr>
            <w:tcW w:w="186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2120" w:type="dxa"/>
            <w:vAlign w:val="bottom"/>
            <w:shd w:val="clear" w:color="auto" w:fill="CCEEFF"/>
          </w:tcPr>
          <w:p>
            <w:pPr>
              <w:spacing w:after="0"/>
              <w:rPr>
                <w:sz w:val="6"/>
                <w:szCs w:val="6"/>
                <w:color w:val="auto"/>
              </w:rPr>
            </w:pPr>
          </w:p>
        </w:tc>
      </w:tr>
      <w:tr>
        <w:trPr>
          <w:trHeight w:val="210"/>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Weighted-average remaining lease term (years)</w:t>
            </w:r>
          </w:p>
        </w:tc>
        <w:tc>
          <w:tcPr>
            <w:tcW w:w="1860" w:type="dxa"/>
            <w:vAlign w:val="bottom"/>
          </w:tcPr>
          <w:p>
            <w:pPr>
              <w:spacing w:after="0"/>
              <w:rPr>
                <w:sz w:val="18"/>
                <w:szCs w:val="18"/>
                <w:color w:val="auto"/>
              </w:rPr>
            </w:pPr>
          </w:p>
        </w:tc>
        <w:tc>
          <w:tcPr>
            <w:tcW w:w="5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5.6</w:t>
            </w:r>
          </w:p>
        </w:tc>
      </w:tr>
      <w:tr>
        <w:trPr>
          <w:trHeight w:val="33"/>
        </w:trPr>
        <w:tc>
          <w:tcPr>
            <w:tcW w:w="6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10"/>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discount rate</w:t>
            </w:r>
          </w:p>
        </w:tc>
        <w:tc>
          <w:tcPr>
            <w:tcW w:w="18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7.2 %</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6.6 %</w:t>
            </w:r>
          </w:p>
        </w:tc>
      </w:tr>
      <w:tr>
        <w:trPr>
          <w:trHeight w:val="33"/>
        </w:trPr>
        <w:tc>
          <w:tcPr>
            <w:tcW w:w="620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1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3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 costs incurred are as follows: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68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320" w:type="dxa"/>
            <w:vAlign w:val="bottom"/>
            <w:gridSpan w:val="4"/>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0" w:type="dxa"/>
            <w:vAlign w:val="bottom"/>
          </w:tcPr>
          <w:p>
            <w:pPr>
              <w:spacing w:after="0"/>
              <w:rPr>
                <w:sz w:val="1"/>
                <w:szCs w:val="1"/>
                <w:color w:val="auto"/>
              </w:rPr>
            </w:pPr>
          </w:p>
        </w:tc>
      </w:tr>
      <w:tr>
        <w:trPr>
          <w:trHeight w:val="33"/>
        </w:trPr>
        <w:tc>
          <w:tcPr>
            <w:tcW w:w="26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(in millions)</w:t>
            </w:r>
          </w:p>
        </w:tc>
        <w:tc>
          <w:tcPr>
            <w:tcW w:w="4820" w:type="dxa"/>
            <w:vAlign w:val="bottom"/>
            <w:vMerge w:val="restart"/>
          </w:tcPr>
          <w:p>
            <w:pPr>
              <w:ind w:left="760"/>
              <w:spacing w:after="0"/>
              <w:rPr>
                <w:sz w:val="20"/>
                <w:szCs w:val="20"/>
                <w:color w:val="auto"/>
              </w:rPr>
            </w:pPr>
            <w:r>
              <w:rPr>
                <w:rFonts w:ascii="Times New Roman" w:cs="Times New Roman" w:eastAsia="Times New Roman" w:hAnsi="Times New Roman"/>
                <w:sz w:val="16"/>
                <w:szCs w:val="16"/>
                <w:b w:val="1"/>
                <w:bCs w:val="1"/>
                <w:color w:val="auto"/>
              </w:rPr>
              <w:t>Classification</w:t>
            </w: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2680" w:type="dxa"/>
            <w:vAlign w:val="bottom"/>
            <w:tcBorders>
              <w:bottom w:val="single" w:sz="8" w:color="auto"/>
            </w:tcBorders>
            <w:vMerge w:val="continue"/>
          </w:tcPr>
          <w:p>
            <w:pPr>
              <w:spacing w:after="0"/>
              <w:rPr>
                <w:sz w:val="18"/>
                <w:szCs w:val="18"/>
                <w:color w:val="auto"/>
              </w:rPr>
            </w:pPr>
          </w:p>
        </w:tc>
        <w:tc>
          <w:tcPr>
            <w:tcW w:w="4820" w:type="dxa"/>
            <w:vAlign w:val="bottom"/>
            <w:tcBorders>
              <w:bottom w:val="single" w:sz="8" w:color="auto"/>
            </w:tcBorders>
            <w:vMerge w:val="continue"/>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157"/>
        </w:trPr>
        <w:tc>
          <w:tcPr>
            <w:tcW w:w="26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expense</w:t>
            </w:r>
          </w:p>
        </w:tc>
        <w:tc>
          <w:tcPr>
            <w:tcW w:w="4820" w:type="dxa"/>
            <w:vAlign w:val="bottom"/>
            <w:shd w:val="clear" w:color="auto" w:fill="CCEEFF"/>
          </w:tcPr>
          <w:p>
            <w:pPr>
              <w:ind w:left="760"/>
              <w:spacing w:after="0" w:line="158" w:lineRule="exact"/>
              <w:rPr>
                <w:sz w:val="20"/>
                <w:szCs w:val="20"/>
                <w:color w:val="auto"/>
              </w:rPr>
            </w:pPr>
            <w:r>
              <w:rPr>
                <w:rFonts w:ascii="Times New Roman" w:cs="Times New Roman" w:eastAsia="Times New Roman" w:hAnsi="Times New Roman"/>
                <w:sz w:val="16"/>
                <w:szCs w:val="16"/>
                <w:color w:val="auto"/>
              </w:rPr>
              <w:t>Selling and administrative and Research and Development</w:t>
            </w:r>
          </w:p>
        </w:tc>
        <w:tc>
          <w:tcPr>
            <w:tcW w:w="420" w:type="dxa"/>
            <w:vAlign w:val="bottom"/>
            <w:vMerge w:val="restart"/>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shd w:val="clear" w:color="auto" w:fill="CCEEFF"/>
          </w:tcPr>
          <w:p>
            <w:pPr>
              <w:spacing w:after="0"/>
              <w:rPr>
                <w:sz w:val="13"/>
                <w:szCs w:val="13"/>
                <w:color w:val="auto"/>
              </w:rPr>
            </w:pPr>
          </w:p>
        </w:tc>
        <w:tc>
          <w:tcPr>
            <w:tcW w:w="420" w:type="dxa"/>
            <w:vAlign w:val="bottom"/>
            <w:vMerge w:val="restart"/>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129"/>
        </w:trPr>
        <w:tc>
          <w:tcPr>
            <w:tcW w:w="2680" w:type="dxa"/>
            <w:vAlign w:val="bottom"/>
            <w:vMerge w:val="continue"/>
            <w:shd w:val="clear" w:color="auto" w:fill="CCEEFF"/>
          </w:tcPr>
          <w:p>
            <w:pPr>
              <w:spacing w:after="0"/>
              <w:rPr>
                <w:sz w:val="11"/>
                <w:szCs w:val="11"/>
                <w:color w:val="auto"/>
              </w:rPr>
            </w:pPr>
          </w:p>
        </w:tc>
        <w:tc>
          <w:tcPr>
            <w:tcW w:w="4820" w:type="dxa"/>
            <w:vAlign w:val="bottom"/>
            <w:vMerge w:val="restart"/>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expense</w:t>
            </w:r>
          </w:p>
        </w:tc>
        <w:tc>
          <w:tcPr>
            <w:tcW w:w="420" w:type="dxa"/>
            <w:vAlign w:val="bottom"/>
            <w:vMerge w:val="continue"/>
            <w:shd w:val="clear" w:color="auto" w:fill="CCEEFF"/>
          </w:tcPr>
          <w:p>
            <w:pPr>
              <w:spacing w:after="0"/>
              <w:rPr>
                <w:sz w:val="11"/>
                <w:szCs w:val="11"/>
                <w:color w:val="auto"/>
              </w:rPr>
            </w:pPr>
          </w:p>
        </w:tc>
        <w:tc>
          <w:tcPr>
            <w:tcW w:w="140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vMerge w:val="continue"/>
            <w:shd w:val="clear" w:color="auto" w:fill="CCEEFF"/>
          </w:tcPr>
          <w:p>
            <w:pPr>
              <w:spacing w:after="0"/>
              <w:rPr>
                <w:sz w:val="11"/>
                <w:szCs w:val="11"/>
                <w:color w:val="auto"/>
              </w:rPr>
            </w:pPr>
          </w:p>
        </w:tc>
        <w:tc>
          <w:tcPr>
            <w:tcW w:w="140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680" w:type="dxa"/>
            <w:vAlign w:val="bottom"/>
            <w:shd w:val="clear" w:color="auto" w:fill="CCEEFF"/>
          </w:tcPr>
          <w:p>
            <w:pPr>
              <w:spacing w:after="0"/>
              <w:rPr>
                <w:sz w:val="7"/>
                <w:szCs w:val="7"/>
                <w:color w:val="auto"/>
              </w:rPr>
            </w:pPr>
          </w:p>
        </w:tc>
        <w:tc>
          <w:tcPr>
            <w:tcW w:w="4820" w:type="dxa"/>
            <w:vAlign w:val="bottom"/>
            <w:vMerge w:val="continue"/>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4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4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2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Finance lease cost:</w:t>
            </w:r>
          </w:p>
        </w:tc>
        <w:tc>
          <w:tcPr>
            <w:tcW w:w="4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 of lease assets</w:t>
            </w:r>
          </w:p>
        </w:tc>
        <w:tc>
          <w:tcPr>
            <w:tcW w:w="48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Cost of products sold</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13"/>
        </w:trPr>
        <w:tc>
          <w:tcPr>
            <w:tcW w:w="26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Interest on lease liabilities</w:t>
            </w:r>
          </w:p>
        </w:tc>
        <w:tc>
          <w:tcPr>
            <w:tcW w:w="4820" w:type="dxa"/>
            <w:vAlign w:val="bottom"/>
            <w:tcBorders>
              <w:bottom w:val="single" w:sz="8" w:color="CCEEFF"/>
            </w:tcBorders>
          </w:tcPr>
          <w:p>
            <w:pPr>
              <w:ind w:left="760"/>
              <w:spacing w:after="0"/>
              <w:rPr>
                <w:sz w:val="20"/>
                <w:szCs w:val="20"/>
                <w:color w:val="auto"/>
              </w:rPr>
            </w:pPr>
            <w:r>
              <w:rPr>
                <w:rFonts w:ascii="Times New Roman" w:cs="Times New Roman" w:eastAsia="Times New Roman" w:hAnsi="Times New Roman"/>
                <w:sz w:val="16"/>
                <w:szCs w:val="16"/>
                <w:color w:val="auto"/>
              </w:rPr>
              <w:t>Interest expense, net</w:t>
            </w: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34"/>
        </w:trPr>
        <w:tc>
          <w:tcPr>
            <w:tcW w:w="2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lease cost</w:t>
            </w:r>
          </w:p>
        </w:tc>
        <w:tc>
          <w:tcPr>
            <w:tcW w:w="48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20"/>
        </w:trPr>
        <w:tc>
          <w:tcPr>
            <w:tcW w:w="2680" w:type="dxa"/>
            <w:vAlign w:val="bottom"/>
            <w:tcBorders>
              <w:top w:val="single" w:sz="8" w:color="CCEEFF"/>
            </w:tcBorders>
          </w:tcPr>
          <w:p>
            <w:pPr>
              <w:spacing w:after="0" w:line="20" w:lineRule="exact"/>
              <w:rPr>
                <w:sz w:val="1"/>
                <w:szCs w:val="1"/>
                <w:color w:val="auto"/>
              </w:rPr>
            </w:pPr>
          </w:p>
        </w:tc>
        <w:tc>
          <w:tcPr>
            <w:tcW w:w="48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for the six months ended March 31, 2026 and 2025 were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400" w:type="dxa"/>
            <w:vAlign w:val="bottom"/>
          </w:tcPr>
          <w:p>
            <w:pPr>
              <w:spacing w:after="0"/>
              <w:rPr>
                <w:sz w:val="18"/>
                <w:szCs w:val="18"/>
                <w:color w:val="auto"/>
              </w:rPr>
            </w:pPr>
          </w:p>
        </w:tc>
        <w:tc>
          <w:tcPr>
            <w:tcW w:w="19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March 31, 2025</w:t>
            </w:r>
          </w:p>
        </w:tc>
      </w:tr>
      <w:tr>
        <w:trPr>
          <w:trHeight w:val="196"/>
        </w:trPr>
        <w:tc>
          <w:tcPr>
            <w:tcW w:w="64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used for amounts included in the measurement of lease liabilities</w:t>
            </w:r>
          </w:p>
        </w:tc>
        <w:tc>
          <w:tcPr>
            <w:tcW w:w="1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33"/>
        </w:trPr>
        <w:tc>
          <w:tcPr>
            <w:tcW w:w="64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23"/>
        </w:trPr>
        <w:tc>
          <w:tcPr>
            <w:tcW w:w="64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cash flows from Operating Leases</w:t>
            </w:r>
          </w:p>
        </w:tc>
        <w:tc>
          <w:tcPr>
            <w:tcW w:w="1920" w:type="dxa"/>
            <w:vAlign w:val="bottom"/>
            <w:tcBorders>
              <w:bottom w:val="single" w:sz="8" w:color="CCEEFF"/>
            </w:tcBorders>
            <w:shd w:val="clear" w:color="auto" w:fill="CCEEFF"/>
          </w:tcPr>
          <w:p>
            <w:pPr>
              <w:jc w:val="right"/>
              <w:ind w:right="173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10"/>
        </w:trPr>
        <w:tc>
          <w:tcPr>
            <w:tcW w:w="6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Financing cash flows from Finance Lease</w:t>
            </w:r>
          </w:p>
        </w:tc>
        <w:tc>
          <w:tcPr>
            <w:tcW w:w="19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r>
      <w:tr>
        <w:trPr>
          <w:trHeight w:val="33"/>
        </w:trPr>
        <w:tc>
          <w:tcPr>
            <w:tcW w:w="64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10"/>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cash flows from Finance Lease</w:t>
            </w:r>
          </w:p>
        </w:tc>
        <w:tc>
          <w:tcPr>
            <w:tcW w:w="19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33"/>
        </w:trPr>
        <w:tc>
          <w:tcPr>
            <w:tcW w:w="640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both the three and six months ended March 31, 2026 and 2025, right of use assets obtained in exchange for lease liabilities were not material.</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Maturities of the Company's finance and operating lease liabilities as of March 31, 2026 by fiscal year are as follows:</w:t>
      </w:r>
    </w:p>
    <w:p>
      <w:pPr>
        <w:spacing w:after="0" w:line="228"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4160" w:type="dxa"/>
            <w:vAlign w:val="bottom"/>
          </w:tcPr>
          <w:p>
            <w:pPr>
              <w:spacing w:after="0"/>
              <w:rPr>
                <w:sz w:val="18"/>
                <w:szCs w:val="18"/>
                <w:color w:val="auto"/>
              </w:rPr>
            </w:pPr>
          </w:p>
        </w:tc>
        <w:tc>
          <w:tcPr>
            <w:tcW w:w="17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Finance Leases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0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Operating Leases</w:t>
            </w:r>
          </w:p>
        </w:tc>
        <w:tc>
          <w:tcPr>
            <w:tcW w:w="500" w:type="dxa"/>
            <w:vAlign w:val="bottom"/>
          </w:tcPr>
          <w:p>
            <w:pPr>
              <w:spacing w:after="0"/>
              <w:rPr>
                <w:sz w:val="18"/>
                <w:szCs w:val="18"/>
                <w:color w:val="auto"/>
              </w:rPr>
            </w:pPr>
          </w:p>
        </w:tc>
        <w:tc>
          <w:tcPr>
            <w:tcW w:w="1740" w:type="dxa"/>
            <w:vAlign w:val="bottom"/>
          </w:tcPr>
          <w:p>
            <w:pPr>
              <w:jc w:val="right"/>
              <w:ind w:right="87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9"/>
        </w:trPr>
        <w:tc>
          <w:tcPr>
            <w:tcW w:w="416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2026</w:t>
            </w:r>
          </w:p>
        </w:tc>
        <w:tc>
          <w:tcPr>
            <w:tcW w:w="1780" w:type="dxa"/>
            <w:vAlign w:val="bottom"/>
            <w:tcBorders>
              <w:top w:val="single" w:sz="8" w:color="auto"/>
              <w:bottom w:val="single" w:sz="8" w:color="CCEEFF"/>
            </w:tcBorders>
            <w:shd w:val="clear" w:color="auto" w:fill="CCEEFF"/>
          </w:tcPr>
          <w:p>
            <w:pPr>
              <w:jc w:val="right"/>
              <w:ind w:right="159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CCEEFF"/>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74"/>
              </w:rPr>
              <w:t>$</w:t>
            </w:r>
          </w:p>
        </w:tc>
        <w:tc>
          <w:tcPr>
            <w:tcW w:w="1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210"/>
        </w:trPr>
        <w:tc>
          <w:tcPr>
            <w:tcW w:w="41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2027</w:t>
            </w:r>
          </w:p>
        </w:tc>
        <w:tc>
          <w:tcPr>
            <w:tcW w:w="17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r>
      <w:tr>
        <w:trPr>
          <w:trHeight w:val="33"/>
        </w:trPr>
        <w:tc>
          <w:tcPr>
            <w:tcW w:w="4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23"/>
        </w:trPr>
        <w:tc>
          <w:tcPr>
            <w:tcW w:w="41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2028</w:t>
            </w:r>
          </w:p>
        </w:tc>
        <w:tc>
          <w:tcPr>
            <w:tcW w:w="17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6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r>
      <w:tr>
        <w:trPr>
          <w:trHeight w:val="210"/>
        </w:trPr>
        <w:tc>
          <w:tcPr>
            <w:tcW w:w="41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2029</w:t>
            </w:r>
          </w:p>
        </w:tc>
        <w:tc>
          <w:tcPr>
            <w:tcW w:w="17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r>
      <w:tr>
        <w:trPr>
          <w:trHeight w:val="33"/>
        </w:trPr>
        <w:tc>
          <w:tcPr>
            <w:tcW w:w="4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23"/>
        </w:trPr>
        <w:tc>
          <w:tcPr>
            <w:tcW w:w="41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2030</w:t>
            </w:r>
          </w:p>
        </w:tc>
        <w:tc>
          <w:tcPr>
            <w:tcW w:w="17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6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r>
      <w:tr>
        <w:trPr>
          <w:trHeight w:val="210"/>
        </w:trPr>
        <w:tc>
          <w:tcPr>
            <w:tcW w:w="41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Thereafter</w:t>
            </w:r>
          </w:p>
        </w:tc>
        <w:tc>
          <w:tcPr>
            <w:tcW w:w="17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w:t>
            </w:r>
          </w:p>
        </w:tc>
      </w:tr>
      <w:tr>
        <w:trPr>
          <w:trHeight w:val="33"/>
        </w:trPr>
        <w:tc>
          <w:tcPr>
            <w:tcW w:w="416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37"/>
        </w:trPr>
        <w:tc>
          <w:tcPr>
            <w:tcW w:w="4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lease payments</w:t>
            </w:r>
          </w:p>
        </w:tc>
        <w:tc>
          <w:tcPr>
            <w:tcW w:w="1780" w:type="dxa"/>
            <w:vAlign w:val="bottom"/>
            <w:tcBorders>
              <w:bottom w:val="single" w:sz="8" w:color="CCEEFF"/>
            </w:tcBorders>
            <w:shd w:val="clear" w:color="auto" w:fill="CCEEFF"/>
          </w:tcPr>
          <w:p>
            <w:pPr>
              <w:jc w:val="right"/>
              <w:ind w:right="159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1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74"/>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w:t>
            </w:r>
          </w:p>
        </w:tc>
      </w:tr>
      <w:tr>
        <w:trPr>
          <w:trHeight w:val="204"/>
        </w:trPr>
        <w:tc>
          <w:tcPr>
            <w:tcW w:w="41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Less: amount representing interest</w:t>
            </w:r>
          </w:p>
        </w:tc>
        <w:tc>
          <w:tcPr>
            <w:tcW w:w="178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6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w:t>
            </w:r>
          </w:p>
        </w:tc>
      </w:tr>
      <w:tr>
        <w:trPr>
          <w:trHeight w:val="33"/>
        </w:trPr>
        <w:tc>
          <w:tcPr>
            <w:tcW w:w="416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62"/>
        </w:trPr>
        <w:tc>
          <w:tcPr>
            <w:tcW w:w="4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Present value of lease liabilities</w:t>
            </w:r>
          </w:p>
        </w:tc>
        <w:tc>
          <w:tcPr>
            <w:tcW w:w="1780" w:type="dxa"/>
            <w:vAlign w:val="bottom"/>
            <w:tcBorders>
              <w:bottom w:val="single" w:sz="8" w:color="CCEEFF"/>
            </w:tcBorders>
            <w:shd w:val="clear" w:color="auto" w:fill="CCEEFF"/>
          </w:tcPr>
          <w:p>
            <w:pPr>
              <w:jc w:val="right"/>
              <w:ind w:right="159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6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74"/>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 Subsequent Events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Repurchase Program</w:t>
      </w:r>
    </w:p>
    <w:p>
      <w:pPr>
        <w:spacing w:after="0" w:line="11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May 2026, the Company announced that the Board of Directors approved a three-year $100.0 million stock repurchase authorization (the “Repurchase Program”) of common stock in accordance with applicable securities laws. The Repurchase Program does not obligate the Company to acquire any particular amount of common stock and may be suspended or terminated at any time at the Company’s discretion.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 Dividend</w:t>
      </w:r>
    </w:p>
    <w:p>
      <w:pPr>
        <w:spacing w:after="0" w:line="1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May 2026, the Board of Directors approved a reduction in the quarterly cash dividend from $0.15 to $0.01 per share of common stock. The dividend is payable on June 15, 2026 to stockholders of record as of May 28, 2026.</w:t>
      </w:r>
    </w:p>
    <w:p>
      <w:pPr>
        <w:spacing w:after="0" w:line="200" w:lineRule="exact"/>
        <w:rPr>
          <w:sz w:val="20"/>
          <w:szCs w:val="20"/>
          <w:color w:val="auto"/>
        </w:rPr>
      </w:pPr>
    </w:p>
    <w:p>
      <w:pPr>
        <w:spacing w:after="0" w:line="2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137795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Factors Affecting Forward-Looking Statements</w:t>
      </w:r>
    </w:p>
    <w:p>
      <w:pPr>
        <w:spacing w:after="0" w:line="10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The following discussion and analysis should be read in conjunction with the Condensed Consolidated Financial Statements and accompanying notes contained elsewhere in this Quarterly Report on Form 10-Q. This discussion contains a number of forward-looking statements, all of which are based on our current expectations and could be affected by the uncertainties and other factors described throughout this discussion and analysis, particularly in the section “Cautionary Statement Concerning Forward-Looking Statements.”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0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 are a leading global medical device company focused on providing solutions to improve the health and well-being of people living with diabetes. In the over 100-year history of our business, we believe that our products have become some of the most widely recognized and respected brands in diabetes management in the world. We estimate that our products are used by approximately 30 million people in over 100 countries for insulin administration and to aid with the daily management of diabetes. Our business traces its origins to 1924, when BD developed the first dedicated insulin syringe. Since then, we have built a world-class organization with a unique manufacturing, supply chain and commercial footprint.</w:t>
      </w:r>
    </w:p>
    <w:p>
      <w:pPr>
        <w:spacing w:after="0" w:line="8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have a broad portfolio of marketed products, including a variety of pen needles, syringes and safety injection devices. Our pen needles are sterile, single-use, medical devices, designed to be used in conjunction with pen injectors that inject insulin or other diabetes medications. We also sell safety pen needles, which have shields on both ends of the cannula that automatically deploy after the injection to help prevent needlestick exposure and injury during injection and disposal. Our traditional and safety pen needles are compatible and frequently used with widely available pen injectors in the market today. In addition to pen needles, we sell sterile, single-use insulin syringes, which are used to inject insulin drawn from insulin vials. We also sell safety insulin syringes, which have a sliding safety shield that can be activated with one-hand after the injection to help prevent needlestick exposure and injury during injection and disposal.</w:t>
      </w:r>
    </w:p>
    <w:p>
      <w:pPr>
        <w:spacing w:after="0" w:line="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primarily sell our products to wholesalers and distributors that sell to retail and institutional channels who in turn sell to patients or use the products to deliver insulin injections to patients.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Trends Affecting Our Results of Operations</w:t>
      </w:r>
    </w:p>
    <w:p>
      <w:pPr>
        <w:spacing w:after="0" w:line="10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Competition. The regions in which we conduct our business and the medical devices industry in general are highly competitive. We face significant competition from a wide range of companies in a highly regulated industry. These include large companies with multiple product lines, some of which may have greater financial and marketing resources than us, as well as smaller more specialized companies. Non-traditional entrants, such as technology companies, are also entering into the diabetes care industry and its adjacent markets, some of which may have greater financial and marketing resources than us.</w:t>
      </w:r>
    </w:p>
    <w:p>
      <w:pPr>
        <w:spacing w:after="0" w:line="8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Pricing and Volume Pressures. We face significant pricing pressures from competitors in the pen needle and insulin syringe categories who not only can provide competitive products at lower costs, but also provide payors and customers with more choices for formulary partners in these categories. As a result, select distributors and retailers, especially in the United States, can exercise substantial pricing pressure power in view of the competitive nature of our business which can significantly affect sales volume and market share. In addition, the increased scrutiny by regulators on healthcare spending, which accelerated in light of the COVID-19 pandemic, along with a shift towards volume-based procurement and group purchasing organizations, which generally values lower cost over product features, benefits and quality, have placed significant pressure on Embecta to lower price in both developed and emerging markets. These trends may reduce our operating margins, which are only partially offset by our ability to differentiate our products and sell at higher prices.</w:t>
      </w:r>
    </w:p>
    <w:p>
      <w:pPr>
        <w:spacing w:after="0" w:line="7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Commoditization of Injection Devices. Given the growing demand for medical devices to assist in the treatment of diabetes and difficulties around access to diabetes care due to complex and costly insurance plans, patient care is increasingly focused on providing more affordable products, which has led to the commoditization of more traditional injection delivery devices, such as insulin syringes and pen needles. Existing and new local and regional low-cost providers, in combination with a shift from insulin vials to insulin pens, have made the pen needle category highly competitive.</w:t>
      </w:r>
    </w:p>
    <w:p>
      <w:pPr>
        <w:spacing w:after="0" w:line="6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Global Trade. The current global economic environment has been recently influenced by rapidly changing tariff policies instituted by the United States government and foreign governments. As a global company that both imports raw materials and products into the U.S. and distributes raw materials and products originating from the U.S. to global manufacturing sites and markets, these tariffs may have a financial impact on our cost of goods, our profit margins, our business generally and our global distribution strategy. These tariffs may cause foreign governments and private purchasers to consider transitioning away from products originating from certain countries (including the U.S.) in favor of buying “local” products resulting in the additional possibility that local manufacturers, brands and other competitors may engage in aggressive</w:t>
      </w:r>
    </w:p>
    <w:p>
      <w:pPr>
        <w:spacing w:after="0" w:line="200" w:lineRule="exact"/>
        <w:rPr>
          <w:sz w:val="20"/>
          <w:szCs w:val="20"/>
          <w:color w:val="auto"/>
        </w:rPr>
      </w:pPr>
    </w:p>
    <w:p>
      <w:pPr>
        <w:spacing w:after="0" w:line="2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competitive pricing to take advantage of the uncertain global trade environment and transition customers away from global manufacturers, all of which may impact the Company’s business and operations.</w:t>
      </w:r>
    </w:p>
    <w:p>
      <w:pPr>
        <w:spacing w:after="0" w:line="5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Changes in Clinical Practice. Introduction of new drugs and increased penetration of oral and once-weekly anti-diabetic drugs (e.g., SGLT-2s, once-weekly insulin, GLP-1s and GLP-1 combination products) have delayed initiation of insulin therapy and contributed to less demand for our products. New drug therapies, including weekly insulin, are targeted to challenge the current diabetes treatment paradigm, including the frequency insulin is dosed (weekly vs. daily injections) and amount of insulin used. Additionally, insulin therapy in developed markets continues to transition to infusion pumps.</w:t>
      </w:r>
    </w:p>
    <w:p>
      <w:pPr>
        <w:spacing w:after="0" w:line="8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Decentralization of Chronic Care. Many countries are facing an aging population and a rapidly growing number of people living with diabetes. While healthcare investments in certain regions continue to grow, there is an increased burden on physicians and longer wait times for patients. Healthcare delivery for non-emergency diabetes care is expected to continue shifting outside of hospitals to primary care providers, which could have a material impact on our results of operations.</w:t>
      </w:r>
    </w:p>
    <w:p>
      <w:pPr>
        <w:spacing w:after="0" w:line="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Political and Economic Instability in Emerging Markets. We operate in a number of emerging markets, many of which are subject from time to time to significant political and economic disruptions. However, the number of countries we provide products to and our proactive channel management strategies help us manage this variability.</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9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We continue to face increases in the cost and disrupted availability of raw materials, components, and other inputs necessary to manufacture and distribute our products due to constraints and inflation within the global supply chain, as well as increases in the cost and time to distribute our products. To date we have been able to successfully mitigate this disruption and provide uninterrupted supply to our customers by increasing our inventory levels and taking other measures. Given our global business, we expect tariffs announced over the past year will result in additional cost for us and our suppliers, and there is the potential that such tariffs may influence future decisions by foreign governments and private purchasers to source non-U.S., “locally” manufactured products instead of products originating from certain countries (including the U.S.) and that local manufacturers, brands and other competitors may engage in aggressive competitive pricing or other strategies to take advantage of the uncertain global trade environment and transition customers away from global manufacturers. We will continue to monitor the evolving tariff environment and we will focus on optimizing operations and leveraging existing strategies to reduce the impact from tariffs.</w:t>
      </w:r>
    </w:p>
    <w:p>
      <w:pPr>
        <w:spacing w:after="0" w:line="9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 continue to monitor global conflicts, including activity in the Middle East and Houthi attacks on commercial shipping vessels and other naval vessels, and the associated sanctions and other restrictions. As of May 5, 2026, there is no material impact to our business operations and financial performance as a result of the aforementioned conflicts. However, the full impact of the conflicts on our business operations and financial performance remains uncertain and will depend on future developments, including the severity and duration of the conflicts and their impact on regional and global economic conditions. We will continue to monitor these conflicts and assess the related restrictions and other effects on our business.</w:t>
      </w:r>
    </w:p>
    <w:p>
      <w:pPr>
        <w:spacing w:after="0" w:line="7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addition, our revenues and results of operations have been affected by various fluctuations in macroeconomic conditions and regulatory and policy changes, both on a global level and in particular markets, which include inflation and slowing economic growth and contractions, a changing interest rate environment, supply chain interruptions, tariff policy changes, volatility in capital markets and the availability of credit, tax rates and the rate of exchange between the United States dollar and foreign currencies. The nature and extent of the impact of these factors among others varies by region and remains uncertain and unpredictable and may affect our business.</w:t>
      </w:r>
    </w:p>
    <w:p>
      <w:pPr>
        <w:spacing w:after="0" w:line="6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On March 19, 2026, we entered into a definitive agreement to acquire Owen Mumford Holdings Limited (the "Purchase Agreement") for approximately £150 million. Owen Mumford Holdings Limited (“OM”) is a privately held, UK-based innovator and manufacturer of medical devices and drug-delivery technologies. Under the terms of the Purchase Agreement, we will acquire OM for an upfront cash payment of £100 million at closing (subject to customary adjustments, including for closing net cash), and will pay up to an additional £50 million upon the achievement of certain commercial milestones related to sales of the Aidaptus® next-generation auto-injector platform through the period ending June 30, 2029. The transaction is expected to close within the third fiscal quarter of 2026.</w:t>
      </w:r>
    </w:p>
    <w:p>
      <w:pPr>
        <w:spacing w:after="0" w:line="7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May 2026, the Company announced that the Board approved a three-year $100.0 million stock repurchase authorization (the “Repurchase Program”) of common stock in accordance with applicable securities laws. The Repurchase Program does not obligate the Company to acquire any particular amount of common stock and may be suspended or terminated at any time at the Company’s discretion.</w:t>
      </w:r>
    </w:p>
    <w:p>
      <w:pPr>
        <w:spacing w:after="0" w:line="6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May 2026, the Board of Directors approved a reduction in the quarterly cash dividend from $0.15 to $0.01 per share of common stock. The dividend is payable on June 15, 2026 to stockholders of record as of May 28, 2026.</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May 2026, we initiated a review of our cost structure and organizational footprint.</w:t>
      </w:r>
    </w:p>
    <w:p>
      <w:pPr>
        <w:spacing w:after="0" w:line="4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unaudited Condensed Consolidated Statements of (Loss) Income are as follows: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00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6"/>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8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6"/>
          </w:tcPr>
          <w:p>
            <w:pPr>
              <w:ind w:left="760"/>
              <w:spacing w:after="0"/>
              <w:rPr>
                <w:sz w:val="20"/>
                <w:szCs w:val="20"/>
                <w:color w:val="auto"/>
              </w:rPr>
            </w:pPr>
            <w:r>
              <w:rPr>
                <w:rFonts w:ascii="Times New Roman" w:cs="Times New Roman" w:eastAsia="Times New Roman" w:hAnsi="Times New Roman"/>
                <w:sz w:val="16"/>
                <w:szCs w:val="16"/>
                <w:b w:val="1"/>
                <w:bCs w:val="1"/>
                <w:color w:val="auto"/>
              </w:rPr>
              <w:t>Six months ended March 31,</w:t>
            </w:r>
          </w:p>
        </w:tc>
        <w:tc>
          <w:tcPr>
            <w:tcW w:w="900" w:type="dxa"/>
            <w:vAlign w:val="bottom"/>
            <w:tcBorders>
              <w:bottom w:val="single" w:sz="8" w:color="auto"/>
            </w:tcBorders>
          </w:tcPr>
          <w:p>
            <w:pPr>
              <w:spacing w:after="0"/>
              <w:rPr>
                <w:sz w:val="18"/>
                <w:szCs w:val="18"/>
                <w:color w:val="auto"/>
              </w:rPr>
            </w:pPr>
          </w:p>
        </w:tc>
      </w:tr>
      <w:tr>
        <w:trPr>
          <w:trHeight w:val="209"/>
        </w:trPr>
        <w:tc>
          <w:tcPr>
            <w:tcW w:w="30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31"/>
        </w:trPr>
        <w:tc>
          <w:tcPr>
            <w:tcW w:w="30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6"/>
        </w:trPr>
        <w:tc>
          <w:tcPr>
            <w:tcW w:w="3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800" w:type="dxa"/>
            <w:vAlign w:val="bottom"/>
            <w:tcBorders>
              <w:bottom w:val="single" w:sz="8" w:color="CCEEFF"/>
            </w:tcBorders>
            <w:shd w:val="clear" w:color="auto" w:fill="CCEEFF"/>
          </w:tcPr>
          <w:p>
            <w:pPr>
              <w:jc w:val="right"/>
              <w:ind w:right="61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221.8</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259.0</w:t>
            </w:r>
          </w:p>
        </w:tc>
        <w:tc>
          <w:tcPr>
            <w:tcW w:w="1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483.0</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520.9</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r>
      <w:tr>
        <w:trPr>
          <w:trHeight w:val="210"/>
        </w:trPr>
        <w:tc>
          <w:tcPr>
            <w:tcW w:w="3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products sold</w:t>
            </w:r>
          </w:p>
        </w:tc>
        <w:tc>
          <w:tcPr>
            <w:tcW w:w="8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94.9</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(3.1)</w:t>
            </w:r>
          </w:p>
        </w:tc>
      </w:tr>
      <w:tr>
        <w:trPr>
          <w:trHeight w:val="33"/>
        </w:trPr>
        <w:tc>
          <w:tcPr>
            <w:tcW w:w="30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7"/>
        </w:trPr>
        <w:tc>
          <w:tcPr>
            <w:tcW w:w="3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8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127.8</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164.1</w:t>
            </w:r>
          </w:p>
        </w:tc>
        <w:tc>
          <w:tcPr>
            <w:tcW w:w="1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(22.1)</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289.5</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321.2</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(9.9)</w:t>
            </w:r>
          </w:p>
        </w:tc>
      </w:tr>
      <w:tr>
        <w:trPr>
          <w:trHeight w:val="210"/>
        </w:trPr>
        <w:tc>
          <w:tcPr>
            <w:tcW w:w="3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33"/>
        </w:trPr>
        <w:tc>
          <w:tcPr>
            <w:tcW w:w="3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3"/>
        </w:trPr>
        <w:tc>
          <w:tcPr>
            <w:tcW w:w="3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and administrative expense</w:t>
            </w:r>
          </w:p>
        </w:tc>
        <w:tc>
          <w:tcPr>
            <w:tcW w:w="8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76.2</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79.6</w:t>
            </w: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(4.3)</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153.8</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160.7</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(4.3)</w:t>
            </w:r>
          </w:p>
        </w:tc>
      </w:tr>
      <w:tr>
        <w:trPr>
          <w:trHeight w:val="210"/>
        </w:trPr>
        <w:tc>
          <w:tcPr>
            <w:tcW w:w="3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Research and development expense</w:t>
            </w:r>
          </w:p>
        </w:tc>
        <w:tc>
          <w:tcPr>
            <w:tcW w:w="8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(32.5)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(64.7)</w:t>
            </w:r>
          </w:p>
        </w:tc>
      </w:tr>
      <w:tr>
        <w:trPr>
          <w:trHeight w:val="33"/>
        </w:trPr>
        <w:tc>
          <w:tcPr>
            <w:tcW w:w="3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3"/>
        </w:trPr>
        <w:tc>
          <w:tcPr>
            <w:tcW w:w="3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operating expense, net</w:t>
            </w:r>
          </w:p>
        </w:tc>
        <w:tc>
          <w:tcPr>
            <w:tcW w:w="8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(17.6)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(82.0)</w:t>
            </w:r>
          </w:p>
        </w:tc>
      </w:tr>
      <w:tr>
        <w:trPr>
          <w:trHeight w:val="204"/>
        </w:trPr>
        <w:tc>
          <w:tcPr>
            <w:tcW w:w="3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80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92.8</w:t>
            </w: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101.2</w:t>
            </w:r>
          </w:p>
        </w:tc>
        <w:tc>
          <w:tcPr>
            <w:tcW w:w="12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(8.3)</w:t>
            </w: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171.2</w:t>
            </w: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229.6</w:t>
            </w:r>
          </w:p>
        </w:tc>
        <w:tc>
          <w:tcPr>
            <w:tcW w:w="10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(25.4)</w:t>
            </w:r>
          </w:p>
        </w:tc>
      </w:tr>
      <w:tr>
        <w:trPr>
          <w:trHeight w:val="33"/>
        </w:trPr>
        <w:tc>
          <w:tcPr>
            <w:tcW w:w="30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7"/>
        </w:trPr>
        <w:tc>
          <w:tcPr>
            <w:tcW w:w="3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8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w:t>
            </w:r>
          </w:p>
        </w:tc>
        <w:tc>
          <w:tcPr>
            <w:tcW w:w="1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(44.4)</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118.3</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91.6</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29.1</w:t>
            </w:r>
          </w:p>
        </w:tc>
      </w:tr>
      <w:tr>
        <w:trPr>
          <w:trHeight w:val="210"/>
        </w:trPr>
        <w:tc>
          <w:tcPr>
            <w:tcW w:w="3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8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(22.6)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(15.4)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(14.5)</w:t>
            </w:r>
          </w:p>
        </w:tc>
      </w:tr>
      <w:tr>
        <w:trPr>
          <w:trHeight w:val="33"/>
        </w:trPr>
        <w:tc>
          <w:tcPr>
            <w:tcW w:w="3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3"/>
        </w:trPr>
        <w:tc>
          <w:tcPr>
            <w:tcW w:w="3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8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625.0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68.4</w:t>
            </w:r>
          </w:p>
        </w:tc>
      </w:tr>
      <w:tr>
        <w:trPr>
          <w:trHeight w:val="204"/>
        </w:trPr>
        <w:tc>
          <w:tcPr>
            <w:tcW w:w="3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80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12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(73.5)</w:t>
            </w: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68.4</w:t>
            </w: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35.1</w:t>
            </w:r>
          </w:p>
        </w:tc>
        <w:tc>
          <w:tcPr>
            <w:tcW w:w="10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94.9</w:t>
            </w:r>
          </w:p>
        </w:tc>
      </w:tr>
      <w:tr>
        <w:trPr>
          <w:trHeight w:val="33"/>
        </w:trPr>
        <w:tc>
          <w:tcPr>
            <w:tcW w:w="3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3"/>
        </w:trPr>
        <w:tc>
          <w:tcPr>
            <w:tcW w:w="3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provision</w:t>
            </w:r>
          </w:p>
        </w:tc>
        <w:tc>
          <w:tcPr>
            <w:tcW w:w="8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10.6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144.8</w:t>
            </w:r>
          </w:p>
        </w:tc>
      </w:tr>
      <w:tr>
        <w:trPr>
          <w:trHeight w:val="204"/>
        </w:trPr>
        <w:tc>
          <w:tcPr>
            <w:tcW w:w="3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Income</w:t>
            </w:r>
          </w:p>
        </w:tc>
        <w:tc>
          <w:tcPr>
            <w:tcW w:w="800" w:type="dxa"/>
            <w:vAlign w:val="bottom"/>
            <w:tcBorders>
              <w:top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Pr>
          <w:p>
            <w:pPr>
              <w:spacing w:after="0"/>
              <w:rPr>
                <w:sz w:val="17"/>
                <w:szCs w:val="17"/>
                <w:color w:val="auto"/>
              </w:rPr>
            </w:pPr>
          </w:p>
        </w:tc>
        <w:tc>
          <w:tcPr>
            <w:tcW w:w="28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12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(117.4)%</w:t>
            </w:r>
          </w:p>
        </w:tc>
        <w:tc>
          <w:tcPr>
            <w:tcW w:w="120" w:type="dxa"/>
            <w:vAlign w:val="bottom"/>
          </w:tcPr>
          <w:p>
            <w:pPr>
              <w:spacing w:after="0"/>
              <w:rPr>
                <w:sz w:val="17"/>
                <w:szCs w:val="17"/>
                <w:color w:val="auto"/>
              </w:rPr>
            </w:pPr>
          </w:p>
        </w:tc>
        <w:tc>
          <w:tcPr>
            <w:tcW w:w="28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120" w:type="dxa"/>
            <w:vAlign w:val="bottom"/>
          </w:tcPr>
          <w:p>
            <w:pPr>
              <w:spacing w:after="0"/>
              <w:rPr>
                <w:sz w:val="17"/>
                <w:szCs w:val="17"/>
                <w:color w:val="auto"/>
              </w:rPr>
            </w:pPr>
          </w:p>
        </w:tc>
        <w:tc>
          <w:tcPr>
            <w:tcW w:w="28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10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70.2 %</w:t>
            </w:r>
          </w:p>
        </w:tc>
      </w:tr>
      <w:tr>
        <w:trPr>
          <w:trHeight w:val="33"/>
        </w:trPr>
        <w:tc>
          <w:tcPr>
            <w:tcW w:w="30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30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37"/>
        </w:trPr>
        <w:tc>
          <w:tcPr>
            <w:tcW w:w="30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10"/>
        </w:trPr>
        <w:tc>
          <w:tcPr>
            <w:tcW w:w="3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Income per common share:</w:t>
            </w: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33"/>
        </w:trPr>
        <w:tc>
          <w:tcPr>
            <w:tcW w:w="3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3"/>
        </w:trPr>
        <w:tc>
          <w:tcPr>
            <w:tcW w:w="30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800" w:type="dxa"/>
            <w:vAlign w:val="bottom"/>
            <w:tcBorders>
              <w:bottom w:val="single" w:sz="8" w:color="CCEEFF"/>
            </w:tcBorders>
            <w:shd w:val="clear" w:color="auto" w:fill="CCEEFF"/>
          </w:tcPr>
          <w:p>
            <w:pPr>
              <w:jc w:val="right"/>
              <w:ind w:right="61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(0.07)</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0.40</w:t>
            </w: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(117.5)%</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0.68</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0.40</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70.0 %</w:t>
            </w:r>
          </w:p>
        </w:tc>
      </w:tr>
      <w:tr>
        <w:trPr>
          <w:trHeight w:val="210"/>
        </w:trPr>
        <w:tc>
          <w:tcPr>
            <w:tcW w:w="3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800" w:type="dxa"/>
            <w:vAlign w:val="bottom"/>
          </w:tcPr>
          <w:p>
            <w:pPr>
              <w:jc w:val="right"/>
              <w:ind w:right="61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(0.07)</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0.40</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(117.5)%</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0.67</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67.5 %</w:t>
            </w:r>
          </w:p>
        </w:tc>
      </w:tr>
    </w:tbl>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2026 Summary (on a comparative basis)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financial results for the three months ended March 31, 2026 were as follows:</w:t>
      </w:r>
    </w:p>
    <w:p>
      <w:pPr>
        <w:spacing w:after="0" w:line="144" w:lineRule="exact"/>
        <w:rPr>
          <w:sz w:val="20"/>
          <w:szCs w:val="20"/>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decreased by $37.2 million to $221.8 million from $259.0 million;</w:t>
      </w:r>
    </w:p>
    <w:p>
      <w:pPr>
        <w:spacing w:after="0" w:line="144"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decreased by $36.3 million to $127.8 million from $164.1 million. Gross profit as a percent of revenue was 57.6%, as compared to 63.4% in the prior year comparative period;</w:t>
      </w:r>
    </w:p>
    <w:p>
      <w:pPr>
        <w:spacing w:after="0" w:line="8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decreased by $27.9 million to $35.0 million from $62.9 million; and</w:t>
      </w:r>
    </w:p>
    <w:p>
      <w:pPr>
        <w:spacing w:after="0" w:line="14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income decreased by $27.6 million to $(4.1) million from $23.5 million.</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March 31, 2026 Summary (on a comparative basis)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financial results for the six months ended March 31, 2026 were as follows:</w:t>
      </w:r>
    </w:p>
    <w:p>
      <w:pPr>
        <w:spacing w:after="0" w:line="144" w:lineRule="exact"/>
        <w:rPr>
          <w:sz w:val="20"/>
          <w:szCs w:val="20"/>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decreased by $37.9 million to $483.0 million from $520.9 million;</w:t>
      </w:r>
    </w:p>
    <w:p>
      <w:pPr>
        <w:spacing w:after="0" w:line="144" w:lineRule="exact"/>
        <w:rPr>
          <w:rFonts w:ascii="Times New Roman" w:cs="Times New Roman" w:eastAsia="Times New Roman" w:hAnsi="Times New Roman"/>
          <w:sz w:val="18"/>
          <w:szCs w:val="18"/>
          <w:color w:val="auto"/>
        </w:rPr>
      </w:pPr>
    </w:p>
    <w:p>
      <w:pPr>
        <w:ind w:left="980" w:hanging="324"/>
        <w:spacing w:after="0" w:line="266"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decreased by $31.7 million to $289.5 million, from $321.2 million. Gross profit as a percent of revenue was 59.9%, as compared to 61.7% in the prior year comparative period;</w:t>
      </w:r>
    </w:p>
    <w:p>
      <w:pPr>
        <w:spacing w:after="0" w:line="9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increased by $26.7 million to $118.3 million from $91.6 million; and</w:t>
      </w:r>
    </w:p>
    <w:p>
      <w:pPr>
        <w:spacing w:after="0" w:line="14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increased by $16.5 million to $40.0 million from $23.5 million.</w:t>
      </w:r>
    </w:p>
    <w:p>
      <w:pPr>
        <w:spacing w:after="0" w:line="200" w:lineRule="exact"/>
        <w:rPr>
          <w:sz w:val="20"/>
          <w:szCs w:val="20"/>
          <w:color w:val="auto"/>
        </w:rPr>
      </w:pPr>
    </w:p>
    <w:p>
      <w:pPr>
        <w:spacing w:after="0" w:line="2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137795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revenues decreased by $37.2 million, or 14.4%, to $221.8 million for the three months ended March 31, 2026 as compared to revenues of $259.0 million for the three months ended March 31, 2025. Changes in revenues are driven by the volume of goods that the Company sells, the prices it negotiates with customers, and changes in foreign exchange rates. The decrease in revenues was driven by $39.3 million of unfavorable changes in volume, $3.6 million of unfavorable changes in price, and a $2.0 million decrease in contract manufacturing revenues. This was partially offset by $7.7 million associated with the positive impact of foreign currency translation primarily due to the weakening of the U.S. dollar.</w:t>
      </w:r>
    </w:p>
    <w:p>
      <w:pPr>
        <w:spacing w:after="0" w:line="12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revenues decreased by $37.9 million, or 7.3%, to $483.0 million for the six months ended March 31, 2026 as compared to revenues of $520.9 million for the six months ended March 31, 2025. The decrease in revenues was driven by $40.2 million of unfavorable changes in volume, $7.3 million of unfavorable changes in price, and a $2.7 million decrease in contract manufacturing revenues. This was partially offset by $12.3 million associated with the positive impact of foreign currency translation primarily due to the weakening of the U.S. dollar.</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products sold</w:t>
      </w:r>
    </w:p>
    <w:p>
      <w:pPr>
        <w:spacing w:after="0" w:line="12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Cost of products sold decreased by $0.9 million, or 0.9%, to $94.0 million for the three months ended March 31, 2026 as compared to $94.9 million for the three months ended March 31, 2025. Cost of products sold as a percentage of revenues was 42.4% for the three months ended March 31, 2026 as compared to 36.6% for the three months ended March 31, 2025. The decrease in cost of products sold for the three month comparative period was primarily driven by lower volumes, as well as the impact of net changes from profit in inventory adjustments period over period. This was partially offset by an increase due to a shift in product mix in the current period as compared to the prior period.</w:t>
      </w:r>
    </w:p>
    <w:p>
      <w:pPr>
        <w:spacing w:after="0" w:line="12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Cost of products sold decreased by $6.2 million, or 3.1%, to $193.5 million for the six months ended March 31, 2026 as compared to $199.7 million for the six months ended March 31, 2025. Cost of products sold as a percentage of revenues was 40.1% for the six months ended March 31, 2026 as compared to 38.3% in the six months ended March 31, 2025. The decrease in cost of products sold for the six month comparative period was primarily driven by lower volumes, the impact of net changes from profit in inventory adjustments period over period, and by impairment charges recorded in the prior period to write down the carrying value of certain property and equipment with no comparable impairment charges in the current period. This was partially offset by an increase due to a shift in product mix in the current period as compared to the prior period.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administrative expenses</w:t>
      </w:r>
    </w:p>
    <w:p>
      <w:pPr>
        <w:spacing w:after="0" w:line="1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Selling and administrative expenses decreased by $3.4 million, or 4.3%, to $76.2 million for the three months ended March 31, 2026 as compared to $79.6 million for the three months ended March 31, 2025. Selling and administrative expenses decreased by $6.9 million, or 4.3%, to $153.8 million for the six months ended March 31, 2026 as compared to $160.7 million for the six months ended March 31, 2025. The decrease for both the three and six month comparative periods was primarily driven by lower compensation expense in the applicable current periods.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Research and development expenses decreased by $2.6 million, or 32.5%, to $5.4 million for the three months ended March 31, 2026 as compared to $8.0 million for the three months ended March 31, 2025. Research and development expenses decreased by $18.3 million, or 64.7%, to $10.0 million for the six months ended March 31, 2026 as compared to $28.3 million for the six months ended March 31, 2025. The decrease for both the three and six month comparative periods was primarily driven by expenses incurred in connection with the development and subsequent discontinuance of our insulin patch pump program in the prior year.</w:t>
      </w:r>
    </w:p>
    <w:p>
      <w:pPr>
        <w:spacing w:after="0" w:line="3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expense, net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operating expense, net are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700" w:type="dxa"/>
            <w:vAlign w:val="bottom"/>
          </w:tcPr>
          <w:p>
            <w:pPr>
              <w:spacing w:after="0"/>
              <w:rPr>
                <w:sz w:val="18"/>
                <w:szCs w:val="18"/>
                <w:color w:val="auto"/>
              </w:rPr>
            </w:pPr>
          </w:p>
        </w:tc>
        <w:tc>
          <w:tcPr>
            <w:tcW w:w="2820" w:type="dxa"/>
            <w:vAlign w:val="bottom"/>
            <w:gridSpan w:val="4"/>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00" w:type="dxa"/>
            <w:vAlign w:val="bottom"/>
            <w:gridSpan w:val="4"/>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Six months ended March 31,</w:t>
            </w:r>
          </w:p>
        </w:tc>
      </w:tr>
      <w:tr>
        <w:trPr>
          <w:trHeight w:val="33"/>
        </w:trPr>
        <w:tc>
          <w:tcPr>
            <w:tcW w:w="47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6"/>
        </w:trPr>
        <w:tc>
          <w:tcPr>
            <w:tcW w:w="4700" w:type="dxa"/>
            <w:vAlign w:val="bottom"/>
          </w:tcPr>
          <w:p>
            <w:pPr>
              <w:spacing w:after="0"/>
              <w:rPr>
                <w:sz w:val="17"/>
                <w:szCs w:val="17"/>
                <w:color w:val="auto"/>
              </w:rPr>
            </w:pPr>
          </w:p>
        </w:tc>
        <w:tc>
          <w:tcPr>
            <w:tcW w:w="110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31"/>
        </w:trPr>
        <w:tc>
          <w:tcPr>
            <w:tcW w:w="47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Costs related to the Separation</w:t>
            </w:r>
          </w:p>
        </w:tc>
        <w:tc>
          <w:tcPr>
            <w:tcW w:w="1100" w:type="dxa"/>
            <w:vAlign w:val="bottom"/>
            <w:tcBorders>
              <w:bottom w:val="single" w:sz="8" w:color="CCEEFF"/>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w:t>
            </w:r>
          </w:p>
        </w:tc>
      </w:tr>
      <w:tr>
        <w:trPr>
          <w:trHeight w:val="210"/>
        </w:trPr>
        <w:tc>
          <w:tcPr>
            <w:tcW w:w="4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cloud computing arrangements</w:t>
            </w:r>
          </w:p>
        </w:tc>
        <w:tc>
          <w:tcPr>
            <w:tcW w:w="1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r>
      <w:tr>
        <w:trPr>
          <w:trHeight w:val="33"/>
        </w:trPr>
        <w:tc>
          <w:tcPr>
            <w:tcW w:w="4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3"/>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Costs associated with the discontinued patch pump program</w:t>
            </w:r>
          </w:p>
        </w:tc>
        <w:tc>
          <w:tcPr>
            <w:tcW w:w="1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w:t>
            </w:r>
          </w:p>
        </w:tc>
      </w:tr>
      <w:tr>
        <w:trPr>
          <w:trHeight w:val="210"/>
        </w:trPr>
        <w:tc>
          <w:tcPr>
            <w:tcW w:w="4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Business optimization and severance related costs</w:t>
            </w:r>
          </w:p>
        </w:tc>
        <w:tc>
          <w:tcPr>
            <w:tcW w:w="110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3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33"/>
        </w:trPr>
        <w:tc>
          <w:tcPr>
            <w:tcW w:w="4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3"/>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 on sale of certain intellectual property rights and long-lived assets</w:t>
            </w:r>
          </w:p>
        </w:tc>
        <w:tc>
          <w:tcPr>
            <w:tcW w:w="1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4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Acquisition-related costs</w:t>
            </w:r>
          </w:p>
        </w:tc>
        <w:tc>
          <w:tcPr>
            <w:tcW w:w="1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4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04"/>
        </w:trPr>
        <w:tc>
          <w:tcPr>
            <w:tcW w:w="4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100" w:type="dxa"/>
            <w:vAlign w:val="bottom"/>
            <w:tcBorders>
              <w:top w:val="single" w:sz="8" w:color="auto"/>
            </w:tcBorders>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20" w:type="dxa"/>
            <w:vAlign w:val="bottom"/>
          </w:tcPr>
          <w:p>
            <w:pPr>
              <w:spacing w:after="0"/>
              <w:rPr>
                <w:sz w:val="17"/>
                <w:szCs w:val="17"/>
                <w:color w:val="auto"/>
              </w:rPr>
            </w:pPr>
          </w:p>
        </w:tc>
        <w:tc>
          <w:tcPr>
            <w:tcW w:w="1120" w:type="dxa"/>
            <w:vAlign w:val="bottom"/>
            <w:tcBorders>
              <w:top w:val="single" w:sz="8" w:color="auto"/>
            </w:tcBorders>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36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80" w:type="dxa"/>
            <w:vAlign w:val="bottom"/>
          </w:tcPr>
          <w:p>
            <w:pPr>
              <w:spacing w:after="0"/>
              <w:rPr>
                <w:sz w:val="17"/>
                <w:szCs w:val="17"/>
                <w:color w:val="auto"/>
              </w:rPr>
            </w:pPr>
          </w:p>
        </w:tc>
        <w:tc>
          <w:tcPr>
            <w:tcW w:w="38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40.6</w:t>
            </w:r>
          </w:p>
        </w:tc>
      </w:tr>
      <w:tr>
        <w:trPr>
          <w:trHeight w:val="33"/>
        </w:trPr>
        <w:tc>
          <w:tcPr>
            <w:tcW w:w="47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47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operating expense, net incurred primarily consist of the following:</w:t>
      </w:r>
    </w:p>
    <w:p>
      <w:pPr>
        <w:spacing w:after="0" w:line="104" w:lineRule="exact"/>
        <w:rPr>
          <w:sz w:val="20"/>
          <w:szCs w:val="20"/>
          <w:color w:val="auto"/>
        </w:rPr>
      </w:pPr>
    </w:p>
    <w:p>
      <w:pPr>
        <w:jc w:val="both"/>
        <w:ind w:left="660" w:hanging="328"/>
        <w:spacing w:after="0" w:line="258"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Accounting, auditing, legal services, marketing, supply chain, employee retention, costs associated with the implementation of our new ERP system and other Business Continuity Processes, costs associated with brand transition, and certain other costs to establish certain stand-alone functions to assist with the transition to being a stand-alone entity;</w:t>
      </w:r>
    </w:p>
    <w:p>
      <w:pPr>
        <w:spacing w:after="0" w:line="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Severance and contract termination costs associated with the discontinued patch pump program;</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recognized associated with the amortization of cloud computing arrangements;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gain on the sale of certain intellectual property rights and long-lived assets associated with the patch pump program.</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Acquisition-related costs associated with the pending acquisition of Owen Mumford.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10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Interest expense, net decreased by $4.1 million to $22.6 million for the three months ended March 31, 2026 as compared to $26.7 million for the three months ended March 31, 2025. Interest expense, net decreased by $7.9 million to $46.7 million for the six months ended March 31, 2026 as compared to $54.6 million for the six months ended March 31, 2025. The decrease for both the three and six month comparative periods was primarily driven by lower debt levels and lower short-term interest rates in the current period as compared to the prior periods. It remains unclear whether the United States Federal Reserve will increase or decrease the benchmark interest rate during the remainder of fiscal 2026. An increase in the benchmark interest rate would result in an increase in interest expense on our variable rate debt and a decrease in the benchmark interest rate would result in a decrease in interest expense on our variable rate debt.</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Other income (expense), net was $(2.9) million and $(0.4) million for the three months ended March 31, 2026 and 2025, respectively. Other income (expense), net was $(3.2) million and $(1.9) million for the six months ended March 31, 2026 and 2025, respectively. The decrease for both the three and six month comparative periods was primarily attributed to unfavorable impacts from foreign exchange.</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effective tax rates were 143.2% and 34.4% for the three months ended March 31, 2026 and 2025, respectively. The increase in the Company's effective tax rate compared to the prior period is primarily due to the tax impacts from changes in level and mix of earnings and higher non-deductible costs.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effective tax rates were 41.5% and 33.0% for the six months ended March 31, 2026 and 2025, respectively. The increase in the Company's effective tax rate compared to the prior period is primarily due to the change in mix of earnings and higher non-deductible costs.</w:t>
      </w:r>
    </w:p>
    <w:p>
      <w:pPr>
        <w:spacing w:after="0" w:line="3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believe that our cash and our cash equivalents and cash from operations, together with our borrowing capacity under our Revolving Credit Facility, will provide sufficient financial flexibility to fund seasonal and other working capital requirements, capital expenditures, debt service requirements and other obligations, cash dividends on common shares and additional growth opportunities for the foreseeable future. We have also initiated a review of our cost structure and organizational footprint. However, should it become necessary, we believe that our credit profile should provide us with access to additional financing in order to fund normal business operations, make interest payments, fund growth opportunities and satisfy upcoming debt maturities.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Embecta's total debt outstanding as of March 31, 2026:</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Term Loan</w:t>
            </w:r>
          </w:p>
        </w:tc>
        <w:tc>
          <w:tcPr>
            <w:tcW w:w="54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641.8</w:t>
            </w:r>
          </w:p>
        </w:tc>
      </w:tr>
      <w:tr>
        <w:trPr>
          <w:trHeight w:val="210"/>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5.00% Notes</w:t>
            </w:r>
          </w:p>
        </w:tc>
        <w:tc>
          <w:tcPr>
            <w:tcW w:w="54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500.0</w:t>
            </w:r>
          </w:p>
        </w:tc>
      </w:tr>
      <w:tr>
        <w:trPr>
          <w:trHeight w:val="33"/>
        </w:trPr>
        <w:tc>
          <w:tcPr>
            <w:tcW w:w="9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2B2A29"/>
              </w:rPr>
              <w:t xml:space="preserve">6.75% </w:t>
            </w:r>
            <w:r>
              <w:rPr>
                <w:rFonts w:ascii="Times New Roman" w:cs="Times New Roman" w:eastAsia="Times New Roman" w:hAnsi="Times New Roman"/>
                <w:sz w:val="16"/>
                <w:szCs w:val="16"/>
                <w:color w:val="000000"/>
              </w:rPr>
              <w:t>Notes</w:t>
            </w:r>
          </w:p>
        </w:tc>
        <w:tc>
          <w:tcPr>
            <w:tcW w:w="5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200.0</w:t>
            </w:r>
          </w:p>
        </w:tc>
      </w:tr>
      <w:tr>
        <w:trPr>
          <w:trHeight w:val="204"/>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principal debt issued</w:t>
            </w:r>
          </w:p>
        </w:tc>
        <w:tc>
          <w:tcPr>
            <w:tcW w:w="54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1,341.8</w:t>
            </w:r>
          </w:p>
        </w:tc>
      </w:tr>
      <w:tr>
        <w:trPr>
          <w:trHeight w:val="33"/>
        </w:trPr>
        <w:tc>
          <w:tcPr>
            <w:tcW w:w="9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3"/>
        </w:trPr>
        <w:tc>
          <w:tcPr>
            <w:tcW w:w="9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current debt obligations</w:t>
            </w:r>
          </w:p>
        </w:tc>
        <w:tc>
          <w:tcPr>
            <w:tcW w:w="5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(9.5)</w:t>
            </w:r>
          </w:p>
        </w:tc>
      </w:tr>
      <w:tr>
        <w:trPr>
          <w:trHeight w:val="210"/>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debt issuance costs and discounts</w:t>
            </w:r>
          </w:p>
        </w:tc>
        <w:tc>
          <w:tcPr>
            <w:tcW w:w="54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(15.4)</w:t>
            </w:r>
          </w:p>
        </w:tc>
      </w:tr>
      <w:tr>
        <w:trPr>
          <w:trHeight w:val="33"/>
        </w:trPr>
        <w:tc>
          <w:tcPr>
            <w:tcW w:w="96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2"/>
        </w:trPr>
        <w:tc>
          <w:tcPr>
            <w:tcW w:w="9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1,316.9</w:t>
            </w:r>
          </w:p>
        </w:tc>
      </w:tr>
      <w:tr>
        <w:trPr>
          <w:trHeight w:val="20"/>
        </w:trPr>
        <w:tc>
          <w:tcPr>
            <w:tcW w:w="96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schedule of principal payments required on long-term debt for the next five years and thereafter is as follows:</w:t>
      </w:r>
    </w:p>
    <w:p>
      <w:pPr>
        <w:spacing w:after="0" w:line="149"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5080" w:type="dxa"/>
            <w:vAlign w:val="bottom"/>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r>
      <w:tr>
        <w:trPr>
          <w:trHeight w:val="213"/>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50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1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50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13"/>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50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618.0</w:t>
            </w:r>
          </w:p>
        </w:tc>
      </w:tr>
      <w:tr>
        <w:trPr>
          <w:trHeight w:val="21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2030</w:t>
            </w:r>
          </w:p>
        </w:tc>
        <w:tc>
          <w:tcPr>
            <w:tcW w:w="50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700.0</w:t>
            </w:r>
          </w:p>
        </w:tc>
      </w:tr>
      <w:tr>
        <w:trPr>
          <w:trHeight w:val="210"/>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50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measures relating to our total debt outstanding as of March 31, 2026 were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debt</w:t>
            </w:r>
          </w:p>
        </w:tc>
        <w:tc>
          <w:tcPr>
            <w:tcW w:w="380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1,326.4</w:t>
            </w:r>
          </w:p>
        </w:tc>
      </w:tr>
      <w:tr>
        <w:trPr>
          <w:trHeight w:val="148"/>
        </w:trPr>
        <w:tc>
          <w:tcPr>
            <w:tcW w:w="628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243"/>
        </w:trPr>
        <w:tc>
          <w:tcPr>
            <w:tcW w:w="6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Short-term debt as a percentage of total debt</w:t>
            </w:r>
          </w:p>
        </w:tc>
        <w:tc>
          <w:tcPr>
            <w:tcW w:w="38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0.7 %</w:t>
            </w:r>
          </w:p>
        </w:tc>
      </w:tr>
      <w:tr>
        <w:trPr>
          <w:trHeight w:val="237"/>
        </w:trPr>
        <w:tc>
          <w:tcPr>
            <w:tcW w:w="6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Weighted average cost of total debt</w:t>
            </w:r>
          </w:p>
        </w:tc>
        <w:tc>
          <w:tcPr>
            <w:tcW w:w="38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6.1 %</w:t>
            </w:r>
          </w:p>
        </w:tc>
      </w:tr>
    </w:tbl>
    <w:p>
      <w:pPr>
        <w:spacing w:after="0" w:line="19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credit agreement and the indentures for the 5.00% Notes and the 6.75% Notes contain customary financial covenants, including a total net leverage ratio covenant, which measures the ratio of (i) consolidated total net debt to (ii) consolidated earnings before interest, taxes, depreciation and amortization, and subject to other adjustments, must meet certain defined limits which are tested on a quarterly basis in accordance with the terms of the credit agreement and indentures governing the 5.00% Notes and the 6.75% Notes. In addition, the credit agreement contains covenants that limit, among other things, our ability to prepay, redeem or repurchase our subordinated and junior lien debt, incur additional debt, make acquisitions, merge with other entities, pay dividends or distributions, redeem or repurchase equity interests, and create or become subject to liens. As of March 31, 2026, we were in compliance with all of such covenants. The credit agreement and the senior secured notes are secured by substantially all assets of Embecta and each subsidiary guarantor, subject to certain exceptions.</w:t>
      </w:r>
    </w:p>
    <w:p>
      <w:pPr>
        <w:spacing w:after="0" w:line="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B2A29"/>
        </w:rPr>
        <w:t xml:space="preserve">During the </w:t>
      </w:r>
      <w:r>
        <w:rPr>
          <w:rFonts w:ascii="Times New Roman" w:cs="Times New Roman" w:eastAsia="Times New Roman" w:hAnsi="Times New Roman"/>
          <w:sz w:val="18"/>
          <w:szCs w:val="18"/>
          <w:color w:val="000000"/>
        </w:rPr>
        <w:t>six months ended</w:t>
      </w:r>
      <w:r>
        <w:rPr>
          <w:rFonts w:ascii="Times New Roman" w:cs="Times New Roman" w:eastAsia="Times New Roman" w:hAnsi="Times New Roman"/>
          <w:sz w:val="18"/>
          <w:szCs w:val="18"/>
          <w:color w:val="2B2A29"/>
        </w:rPr>
        <w:t xml:space="preserve"> March 31, 2026, the Company paid an aggregate principal amount of approximately </w:t>
      </w:r>
      <w:r>
        <w:rPr>
          <w:rFonts w:ascii="Times New Roman" w:cs="Times New Roman" w:eastAsia="Times New Roman" w:hAnsi="Times New Roman"/>
          <w:sz w:val="18"/>
          <w:szCs w:val="18"/>
          <w:color w:val="000000"/>
        </w:rPr>
        <w:t>$75.0 million</w:t>
      </w:r>
      <w:r>
        <w:rPr>
          <w:rFonts w:ascii="Times New Roman" w:cs="Times New Roman" w:eastAsia="Times New Roman" w:hAnsi="Times New Roman"/>
          <w:sz w:val="18"/>
          <w:szCs w:val="18"/>
          <w:color w:val="2B2A29"/>
        </w:rPr>
        <w:t xml:space="preserve"> on the Term Loan, of which </w:t>
      </w:r>
      <w:r>
        <w:rPr>
          <w:rFonts w:ascii="Times New Roman" w:cs="Times New Roman" w:eastAsia="Times New Roman" w:hAnsi="Times New Roman"/>
          <w:sz w:val="18"/>
          <w:szCs w:val="18"/>
          <w:color w:val="000000"/>
        </w:rPr>
        <w:t>$70.3 million</w:t>
      </w:r>
      <w:r>
        <w:rPr>
          <w:rFonts w:ascii="Times New Roman" w:cs="Times New Roman" w:eastAsia="Times New Roman" w:hAnsi="Times New Roman"/>
          <w:sz w:val="18"/>
          <w:szCs w:val="18"/>
          <w:color w:val="2B2A29"/>
        </w:rPr>
        <w:t xml:space="preserve"> was discretionary. Debt extinguishment charges as a result of these discretionary prepayments were not material to the Company's Condensed Consolidated Statements of Income.</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During the six months ended </w:t>
      </w:r>
      <w:r>
        <w:rPr>
          <w:rFonts w:ascii="Times New Roman" w:cs="Times New Roman" w:eastAsia="Times New Roman" w:hAnsi="Times New Roman"/>
          <w:sz w:val="18"/>
          <w:szCs w:val="18"/>
          <w:color w:val="2B2A29"/>
        </w:rPr>
        <w:t>March 31, 2026</w:t>
      </w:r>
      <w:r>
        <w:rPr>
          <w:rFonts w:ascii="Times New Roman" w:cs="Times New Roman" w:eastAsia="Times New Roman" w:hAnsi="Times New Roman"/>
          <w:sz w:val="18"/>
          <w:szCs w:val="18"/>
          <w:color w:val="auto"/>
        </w:rPr>
        <w:t>, the Company made interest payments of $44.1 million on debt outstanding.</w:t>
      </w:r>
    </w:p>
    <w:p>
      <w:pPr>
        <w:spacing w:after="0" w:line="10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may, from time to time, seek to retire or repurchase our outstanding debt through cash purchases and/or exchanges for equity or debt, in open-market purchase, or privately negotiated transactions, or otherwise may redeem some or all of our debt pursuant to its terms. Such repurchases or exchanges, if any, will depend upon various factors existing at the time, including prevailing market conditions, our liquidity requirements, contractual restrictions and other factors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there can be no assurance as to which, if any, of these alternatives, or combination thereof, we may choose to pursue in the future.</w:t>
      </w:r>
    </w:p>
    <w:p>
      <w:pPr>
        <w:spacing w:after="0" w:line="6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For additional information related to the Company's debt related activities, refer to Note 13 within the </w:t>
      </w:r>
      <w:r>
        <w:rPr>
          <w:rFonts w:ascii="Times New Roman" w:cs="Times New Roman" w:eastAsia="Times New Roman" w:hAnsi="Times New Roman"/>
          <w:sz w:val="18"/>
          <w:szCs w:val="18"/>
          <w:i w:val="1"/>
          <w:iCs w:val="1"/>
          <w:color w:val="auto"/>
        </w:rPr>
        <w:t>Notes to Condensed Consolidated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Statements </w:t>
      </w:r>
      <w:r>
        <w:rPr>
          <w:rFonts w:ascii="Times New Roman" w:cs="Times New Roman" w:eastAsia="Times New Roman" w:hAnsi="Times New Roman"/>
          <w:sz w:val="18"/>
          <w:szCs w:val="18"/>
          <w:color w:val="auto"/>
        </w:rPr>
        <w:t>within this Form 10-Q.</w:t>
      </w:r>
    </w:p>
    <w:p>
      <w:pPr>
        <w:spacing w:after="0" w:line="200" w:lineRule="exact"/>
        <w:rPr>
          <w:sz w:val="20"/>
          <w:szCs w:val="20"/>
          <w:color w:val="auto"/>
        </w:rPr>
      </w:pPr>
    </w:p>
    <w:p>
      <w:pPr>
        <w:spacing w:after="0" w:line="2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137795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May 2026, the Company announced that the Board approved a three-year $100.0 million stock repurchase authorization of common stock in accordance with applicable securities laws. The Repurchase Program does not obligate the Company to acquire any particular amount of common stock and may be suspended or terminated at any time at the Company’s discretion.</w:t>
      </w:r>
    </w:p>
    <w:p>
      <w:pPr>
        <w:spacing w:after="0" w:line="5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May 2026, the Board of Directors approved a reduction in the quarterly cash dividend from $0.15 to $0.01 per share of common stock. The dividend is payable on June 15, 2026 to stockholders of record as of May 28, 2026.</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Maturities of our finance lease and operating lease liabilities as of March 31, 2026 by fiscal year are as follows:</w:t>
      </w:r>
    </w:p>
    <w:p>
      <w:pPr>
        <w:spacing w:after="0" w:line="228"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4180" w:type="dxa"/>
            <w:vAlign w:val="bottom"/>
          </w:tcPr>
          <w:p>
            <w:pPr>
              <w:spacing w:after="0"/>
              <w:rPr>
                <w:sz w:val="18"/>
                <w:szCs w:val="18"/>
                <w:color w:val="auto"/>
              </w:rPr>
            </w:pPr>
          </w:p>
        </w:tc>
        <w:tc>
          <w:tcPr>
            <w:tcW w:w="176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Finance Lease</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0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Operating Leases</w:t>
            </w:r>
          </w:p>
        </w:tc>
        <w:tc>
          <w:tcPr>
            <w:tcW w:w="520" w:type="dxa"/>
            <w:vAlign w:val="bottom"/>
          </w:tcPr>
          <w:p>
            <w:pPr>
              <w:spacing w:after="0"/>
              <w:rPr>
                <w:sz w:val="18"/>
                <w:szCs w:val="18"/>
                <w:color w:val="auto"/>
              </w:rPr>
            </w:pPr>
          </w:p>
        </w:tc>
        <w:tc>
          <w:tcPr>
            <w:tcW w:w="1720" w:type="dxa"/>
            <w:vAlign w:val="bottom"/>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9"/>
        </w:trPr>
        <w:tc>
          <w:tcPr>
            <w:tcW w:w="418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2026</w:t>
            </w:r>
          </w:p>
        </w:tc>
        <w:tc>
          <w:tcPr>
            <w:tcW w:w="1760" w:type="dxa"/>
            <w:vAlign w:val="bottom"/>
            <w:tcBorders>
              <w:top w:val="single" w:sz="8" w:color="auto"/>
              <w:bottom w:val="single" w:sz="8" w:color="CCEEFF"/>
            </w:tcBorders>
            <w:shd w:val="clear" w:color="auto" w:fill="CCEEFF"/>
          </w:tcPr>
          <w:p>
            <w:pPr>
              <w:jc w:val="right"/>
              <w:ind w:right="157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CCEEFF"/>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210"/>
        </w:trPr>
        <w:tc>
          <w:tcPr>
            <w:tcW w:w="4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2027</w:t>
            </w:r>
          </w:p>
        </w:tc>
        <w:tc>
          <w:tcPr>
            <w:tcW w:w="17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r>
      <w:tr>
        <w:trPr>
          <w:trHeight w:val="33"/>
        </w:trPr>
        <w:tc>
          <w:tcPr>
            <w:tcW w:w="4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23"/>
        </w:trPr>
        <w:tc>
          <w:tcPr>
            <w:tcW w:w="41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2028</w:t>
            </w:r>
          </w:p>
        </w:tc>
        <w:tc>
          <w:tcPr>
            <w:tcW w:w="176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6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r>
      <w:tr>
        <w:trPr>
          <w:trHeight w:val="210"/>
        </w:trPr>
        <w:tc>
          <w:tcPr>
            <w:tcW w:w="4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2029</w:t>
            </w:r>
          </w:p>
        </w:tc>
        <w:tc>
          <w:tcPr>
            <w:tcW w:w="17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r>
      <w:tr>
        <w:trPr>
          <w:trHeight w:val="33"/>
        </w:trPr>
        <w:tc>
          <w:tcPr>
            <w:tcW w:w="4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23"/>
        </w:trPr>
        <w:tc>
          <w:tcPr>
            <w:tcW w:w="41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2030</w:t>
            </w:r>
          </w:p>
        </w:tc>
        <w:tc>
          <w:tcPr>
            <w:tcW w:w="176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6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r>
      <w:tr>
        <w:trPr>
          <w:trHeight w:val="210"/>
        </w:trPr>
        <w:tc>
          <w:tcPr>
            <w:tcW w:w="4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Thereafter</w:t>
            </w:r>
          </w:p>
        </w:tc>
        <w:tc>
          <w:tcPr>
            <w:tcW w:w="17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w:t>
            </w:r>
          </w:p>
        </w:tc>
      </w:tr>
      <w:tr>
        <w:trPr>
          <w:trHeight w:val="33"/>
        </w:trPr>
        <w:tc>
          <w:tcPr>
            <w:tcW w:w="418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17"/>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lease payments</w:t>
            </w:r>
          </w:p>
        </w:tc>
        <w:tc>
          <w:tcPr>
            <w:tcW w:w="1760" w:type="dxa"/>
            <w:vAlign w:val="bottom"/>
            <w:tcBorders>
              <w:bottom w:val="single" w:sz="8" w:color="CCEEFF"/>
            </w:tcBorders>
            <w:shd w:val="clear" w:color="auto" w:fill="CCEEFF"/>
          </w:tcPr>
          <w:p>
            <w:pPr>
              <w:jc w:val="right"/>
              <w:ind w:right="157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1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w:t>
            </w:r>
          </w:p>
        </w:tc>
      </w:tr>
      <w:tr>
        <w:trPr>
          <w:trHeight w:val="20"/>
        </w:trPr>
        <w:tc>
          <w:tcPr>
            <w:tcW w:w="418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r>
    </w:tbl>
    <w:p>
      <w:pPr>
        <w:spacing w:after="0" w:line="155" w:lineRule="exact"/>
        <w:rPr>
          <w:sz w:val="20"/>
          <w:szCs w:val="20"/>
          <w:color w:val="auto"/>
        </w:rPr>
      </w:pPr>
    </w:p>
    <w:p>
      <w:pPr>
        <w:ind w:right="380"/>
        <w:spacing w:after="0" w:line="400" w:lineRule="auto"/>
        <w:rPr>
          <w:sz w:val="20"/>
          <w:szCs w:val="20"/>
          <w:color w:val="auto"/>
        </w:rPr>
      </w:pPr>
      <w:r>
        <w:rPr>
          <w:rFonts w:ascii="Times New Roman" w:cs="Times New Roman" w:eastAsia="Times New Roman" w:hAnsi="Times New Roman"/>
          <w:sz w:val="18"/>
          <w:szCs w:val="18"/>
          <w:color w:val="auto"/>
        </w:rPr>
        <w:t xml:space="preserve">For additional information related to our leases, refer to Note 19 within the </w:t>
      </w:r>
      <w:r>
        <w:rPr>
          <w:rFonts w:ascii="Times New Roman" w:cs="Times New Roman" w:eastAsia="Times New Roman" w:hAnsi="Times New Roman"/>
          <w:sz w:val="18"/>
          <w:szCs w:val="18"/>
          <w:i w:val="1"/>
          <w:iCs w:val="1"/>
          <w:color w:val="auto"/>
        </w:rPr>
        <w:t>Notes to Condensed Consolidated Financial Statements</w:t>
      </w:r>
      <w:r>
        <w:rPr>
          <w:rFonts w:ascii="Times New Roman" w:cs="Times New Roman" w:eastAsia="Times New Roman" w:hAnsi="Times New Roman"/>
          <w:sz w:val="18"/>
          <w:szCs w:val="18"/>
          <w:color w:val="auto"/>
        </w:rPr>
        <w:t xml:space="preserve"> of this Form 10-Q. </w:t>
      </w:r>
      <w:r>
        <w:rPr>
          <w:rFonts w:ascii="Times New Roman" w:cs="Times New Roman" w:eastAsia="Times New Roman" w:hAnsi="Times New Roman"/>
          <w:sz w:val="18"/>
          <w:szCs w:val="18"/>
          <w:b w:val="1"/>
          <w:bCs w:val="1"/>
          <w:i w:val="1"/>
          <w:iCs w:val="1"/>
          <w:color w:val="auto"/>
        </w:rPr>
        <w:t>Receivables Sale Agreement</w:t>
      </w:r>
    </w:p>
    <w:p>
      <w:pPr>
        <w:spacing w:after="0" w:line="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has established a trade receivables sale agreement with a third-party financial institution to sell certain trade receivables of the Company at a discount on an uncommitted basis. These trade receivable sales are accounted for as a sale of assets, as the Company's continuing involvement is limited to servicing the accounts receivables. The Company receives the sales price, equal to the trade receivable less the applicable discount, at the time of sale.</w:t>
      </w:r>
    </w:p>
    <w:p>
      <w:pPr>
        <w:spacing w:after="0" w:line="8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 xml:space="preserve">In connection with the Company's receivables sale agreement, $120.3 million of trade receivables were sold during the six months ended March 31, 2025, resulting in derecognition of the receivables from the Company's Condensed Consolidated Balance Sheets. Discounts recognized on the sale of trade receivables were not material to the Company's Condensed Consolidated Statements of Income. The cash received on the sale of trade receivables during the six months ended March 31, 2025 is presented in changes in trade receivables, net within operating activities in the Condensed Consolidated Statement of Cash Flows. As of March 31, 2026, the Company had collected $5.4 million, on behalf of the financial institution, which is reflected as </w:t>
      </w:r>
      <w:r>
        <w:rPr>
          <w:rFonts w:ascii="Times New Roman" w:cs="Times New Roman" w:eastAsia="Times New Roman" w:hAnsi="Times New Roman"/>
          <w:sz w:val="18"/>
          <w:szCs w:val="18"/>
          <w:i w:val="1"/>
          <w:iCs w:val="1"/>
          <w:color w:val="auto"/>
        </w:rPr>
        <w:t>Restricted cash</w:t>
      </w:r>
      <w:r>
        <w:rPr>
          <w:rFonts w:ascii="Times New Roman" w:cs="Times New Roman" w:eastAsia="Times New Roman" w:hAnsi="Times New Roman"/>
          <w:sz w:val="18"/>
          <w:szCs w:val="18"/>
          <w:color w:val="auto"/>
        </w:rPr>
        <w:t xml:space="preserve"> and the related obligation to remit the cash within </w:t>
      </w:r>
      <w:r>
        <w:rPr>
          <w:rFonts w:ascii="Times New Roman" w:cs="Times New Roman" w:eastAsia="Times New Roman" w:hAnsi="Times New Roman"/>
          <w:sz w:val="18"/>
          <w:szCs w:val="18"/>
          <w:i w:val="1"/>
          <w:iCs w:val="1"/>
          <w:color w:val="auto"/>
        </w:rPr>
        <w:t>Accrued expenses</w:t>
      </w:r>
      <w:r>
        <w:rPr>
          <w:rFonts w:ascii="Times New Roman" w:cs="Times New Roman" w:eastAsia="Times New Roman" w:hAnsi="Times New Roman"/>
          <w:sz w:val="18"/>
          <w:szCs w:val="18"/>
          <w:color w:val="auto"/>
        </w:rPr>
        <w:t>. The net cash flows related to these collections are reported as financing activities in the Condensed Consolidated Statement of Cash Flows.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Pending Acquisition</w:t>
      </w:r>
    </w:p>
    <w:p>
      <w:pPr>
        <w:spacing w:after="0" w:line="10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On March 19, 2026, the Company entered into a definitive agreement to acquire OM (the "Purchase Agreement") for approximately £150 million. OM is a privately held, UK-based innovator and manufacturer of medical devices and drug-delivery technologies. Under the terms of the Purchase Agreement, the Company will acquire OM for an upfront cash payment of £100 million at closing (subject to customary adjustments, including for closing net cash), and will pay up to an additional £50 million upon the achievement of certain commercial milestones related to sales of the Aidaptus® next-generation auto-injector platform through the period ending June 30, 2029. All closing conditions and regulatory approvals have been satisfied and the transaction is expected to close within the third fiscal quarter of 2026.</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Access to Capital and Credit Ratings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March 2026 and January 2026, Moody’s Investor Services and Standard &amp; Poor’s Ratings Services published updates and reaffirmed our preexisting credit ratings. Our Moody's Investors Services credit rating is B1 and our Standard &amp; Poor's Rating Services credit rating is B+.</w:t>
      </w:r>
    </w:p>
    <w:p>
      <w:pPr>
        <w:spacing w:after="0" w:line="200" w:lineRule="exact"/>
        <w:rPr>
          <w:sz w:val="20"/>
          <w:szCs w:val="20"/>
          <w:color w:val="auto"/>
        </w:rPr>
      </w:pPr>
    </w:p>
    <w:p>
      <w:pPr>
        <w:spacing w:after="0" w:line="2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137795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equivalents and restricted cash were $193.4 million as of March 31, 2026 as compared to $228.6 million as of September 30, 2025.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primary uses of cash that contributed to the $35.2 million decrease were:</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September 30, 2025 Cash and equivalents and restricted cash balance</w:t>
            </w:r>
          </w:p>
        </w:tc>
        <w:tc>
          <w:tcPr>
            <w:tcW w:w="640" w:type="dxa"/>
            <w:vAlign w:val="bottom"/>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228.6</w:t>
            </w:r>
          </w:p>
        </w:tc>
      </w:tr>
      <w:tr>
        <w:trPr>
          <w:trHeight w:val="213"/>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provided by operating activities</w:t>
            </w:r>
          </w:p>
        </w:tc>
        <w:tc>
          <w:tcPr>
            <w:tcW w:w="6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w:t>
            </w:r>
          </w:p>
        </w:tc>
      </w:tr>
      <w:tr>
        <w:trPr>
          <w:trHeight w:val="219"/>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provided by investing activities</w:t>
            </w:r>
          </w:p>
        </w:tc>
        <w:tc>
          <w:tcPr>
            <w:tcW w:w="6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r>
      <w:tr>
        <w:trPr>
          <w:trHeight w:val="213"/>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used for financing activities</w:t>
            </w:r>
          </w:p>
        </w:tc>
        <w:tc>
          <w:tcPr>
            <w:tcW w:w="6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(93.1)</w:t>
            </w:r>
          </w:p>
        </w:tc>
      </w:tr>
      <w:tr>
        <w:trPr>
          <w:trHeight w:val="216"/>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and equivalents and restricted cash</w:t>
            </w:r>
          </w:p>
        </w:tc>
        <w:tc>
          <w:tcPr>
            <w:tcW w:w="6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r>
      <w:tr>
        <w:trPr>
          <w:trHeight w:val="212"/>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March 31, 2026 Cash and equivalents and restricted cash balance</w:t>
            </w:r>
          </w:p>
        </w:tc>
        <w:tc>
          <w:tcPr>
            <w:tcW w:w="6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193.4</w:t>
            </w:r>
          </w:p>
        </w:tc>
      </w:tr>
      <w:tr>
        <w:trPr>
          <w:trHeight w:val="20"/>
        </w:trPr>
        <w:tc>
          <w:tcPr>
            <w:tcW w:w="96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provided by operating activities was primarily attributable to:</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640" w:type="dxa"/>
            <w:vAlign w:val="bottom"/>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0" w:type="dxa"/>
            <w:vAlign w:val="bottom"/>
          </w:tcPr>
          <w:p>
            <w:pPr>
              <w:spacing w:after="0"/>
              <w:rPr>
                <w:sz w:val="1"/>
                <w:szCs w:val="1"/>
                <w:color w:val="auto"/>
              </w:rPr>
            </w:pPr>
          </w:p>
        </w:tc>
      </w:tr>
      <w:tr>
        <w:trPr>
          <w:trHeight w:val="162"/>
        </w:trPr>
        <w:tc>
          <w:tcPr>
            <w:tcW w:w="96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Adjustments related to depreciation and amortization, impairment of property, plant and equipment, gain on sale of certain intellectual property</w:t>
            </w:r>
          </w:p>
        </w:tc>
        <w:tc>
          <w:tcPr>
            <w:tcW w:w="64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41.3</w:t>
            </w:r>
          </w:p>
        </w:tc>
        <w:tc>
          <w:tcPr>
            <w:tcW w:w="0" w:type="dxa"/>
            <w:vAlign w:val="bottom"/>
          </w:tcPr>
          <w:p>
            <w:pPr>
              <w:spacing w:after="0"/>
              <w:rPr>
                <w:sz w:val="1"/>
                <w:szCs w:val="1"/>
                <w:color w:val="auto"/>
              </w:rPr>
            </w:pPr>
          </w:p>
        </w:tc>
      </w:tr>
      <w:tr>
        <w:trPr>
          <w:trHeight w:val="213"/>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rights and long-lived assets, stock-based compensation, and deferred income taxes</w:t>
            </w:r>
          </w:p>
        </w:tc>
        <w:tc>
          <w:tcPr>
            <w:tcW w:w="64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accounts payable and accrued expenses</w:t>
            </w:r>
          </w:p>
        </w:tc>
        <w:tc>
          <w:tcPr>
            <w:tcW w:w="6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0" w:type="dxa"/>
            <w:vAlign w:val="bottom"/>
          </w:tcPr>
          <w:p>
            <w:pPr>
              <w:spacing w:after="0"/>
              <w:rPr>
                <w:sz w:val="1"/>
                <w:szCs w:val="1"/>
                <w:color w:val="auto"/>
              </w:rPr>
            </w:pPr>
          </w:p>
        </w:tc>
      </w:tr>
      <w:tr>
        <w:trPr>
          <w:trHeight w:val="213"/>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trade receivables</w:t>
            </w:r>
          </w:p>
        </w:tc>
        <w:tc>
          <w:tcPr>
            <w:tcW w:w="6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0" w:type="dxa"/>
            <w:vAlign w:val="bottom"/>
          </w:tcPr>
          <w:p>
            <w:pPr>
              <w:spacing w:after="0"/>
              <w:rPr>
                <w:sz w:val="1"/>
                <w:szCs w:val="1"/>
                <w:color w:val="auto"/>
              </w:rPr>
            </w:pPr>
          </w:p>
        </w:tc>
      </w:tr>
      <w:tr>
        <w:trPr>
          <w:trHeight w:val="219"/>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inventories</w:t>
            </w:r>
          </w:p>
        </w:tc>
        <w:tc>
          <w:tcPr>
            <w:tcW w:w="6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0" w:type="dxa"/>
            <w:vAlign w:val="bottom"/>
          </w:tcPr>
          <w:p>
            <w:pPr>
              <w:spacing w:after="0"/>
              <w:rPr>
                <w:sz w:val="1"/>
                <w:szCs w:val="1"/>
                <w:color w:val="auto"/>
              </w:rPr>
            </w:pPr>
          </w:p>
        </w:tc>
      </w:tr>
      <w:tr>
        <w:trPr>
          <w:trHeight w:val="213"/>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prepaid expenses and other</w:t>
            </w:r>
          </w:p>
        </w:tc>
        <w:tc>
          <w:tcPr>
            <w:tcW w:w="6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0" w:type="dxa"/>
            <w:vAlign w:val="bottom"/>
          </w:tcPr>
          <w:p>
            <w:pPr>
              <w:spacing w:after="0"/>
              <w:rPr>
                <w:sz w:val="1"/>
                <w:szCs w:val="1"/>
                <w:color w:val="auto"/>
              </w:rPr>
            </w:pPr>
          </w:p>
        </w:tc>
      </w:tr>
      <w:tr>
        <w:trPr>
          <w:trHeight w:val="219"/>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income and other net taxes payable</w:t>
            </w:r>
          </w:p>
        </w:tc>
        <w:tc>
          <w:tcPr>
            <w:tcW w:w="6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213"/>
        </w:trPr>
        <w:tc>
          <w:tcPr>
            <w:tcW w:w="9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Change in other assets and liabilities, net</w:t>
            </w:r>
          </w:p>
        </w:tc>
        <w:tc>
          <w:tcPr>
            <w:tcW w:w="6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37"/>
        </w:trPr>
        <w:tc>
          <w:tcPr>
            <w:tcW w:w="9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640" w:type="dxa"/>
            <w:vAlign w:val="bottom"/>
            <w:tcBorders>
              <w:bottom w:val="single" w:sz="8" w:color="auto"/>
            </w:tcBorders>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w:t>
            </w:r>
          </w:p>
        </w:tc>
        <w:tc>
          <w:tcPr>
            <w:tcW w:w="0" w:type="dxa"/>
            <w:vAlign w:val="bottom"/>
          </w:tcPr>
          <w:p>
            <w:pPr>
              <w:spacing w:after="0"/>
              <w:rPr>
                <w:sz w:val="1"/>
                <w:szCs w:val="1"/>
                <w:color w:val="auto"/>
              </w:rPr>
            </w:pPr>
          </w:p>
        </w:tc>
      </w:tr>
      <w:tr>
        <w:trPr>
          <w:trHeight w:val="20"/>
        </w:trPr>
        <w:tc>
          <w:tcPr>
            <w:tcW w:w="96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accounts payable and accrued expenses is primarily attributed to timing of payments to vendors and annual bonus payments.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trade receivables is primarily attributed to the timing of sales and receivables factored.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inventories is primarily attributed to timing of purchases, production, and sales of our inventories.</w:t>
      </w:r>
    </w:p>
    <w:p>
      <w:pPr>
        <w:spacing w:after="0" w:line="10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Certain amounts previously presented within Amounts due from Becton, Dickinson and Company and Amounts due to Becton, Dickinson and Company are presented within Trade receivables, net and Accounts Payable, respectively, beginning October 1, 2025 within the Condensed Consolidated Balance Sheets. Changes in working capital associated with the agreements referenced in Note 4 to the Condensed Consolidated Financial Statements are reflected within the change in trade receivables and accounts payable and accrued expenses, respectively.</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prepaid expenses and other is primarily attributed to timing of payments to vendors.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income and other net taxes payable is primarily attributed to timing of required tax payments.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other assets and liabilities, net is primarily attributed to costs capitalized attributed to cloud computing arrangements.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other movements related to working capital were due to timing of payments and receipts of cash in the ordinary course of business.</w:t>
      </w:r>
    </w:p>
    <w:p>
      <w:pPr>
        <w:spacing w:after="0" w:line="9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Net cash provided by investing activities for the six months ended March 31, 2026 was comprised of proceeds from the sale of certain intellectual property rights and long-lived assets of $10.1 million offset by capital expenditures of $1.1 million to support our business and operations.</w:t>
      </w:r>
    </w:p>
    <w:p>
      <w:pPr>
        <w:spacing w:after="0" w:line="200" w:lineRule="exact"/>
        <w:rPr>
          <w:sz w:val="20"/>
          <w:szCs w:val="20"/>
          <w:color w:val="auto"/>
        </w:rPr>
      </w:pPr>
    </w:p>
    <w:p>
      <w:pPr>
        <w:spacing w:after="0" w:line="2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for financing activities was primarily attributable to:</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 payments</w:t>
            </w:r>
          </w:p>
        </w:tc>
        <w:tc>
          <w:tcPr>
            <w:tcW w:w="640" w:type="dxa"/>
            <w:vAlign w:val="bottom"/>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w:t>
            </w:r>
          </w:p>
        </w:tc>
      </w:tr>
      <w:tr>
        <w:trPr>
          <w:trHeight w:val="213"/>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unremitted cash collections from servicing factored receivables</w:t>
            </w:r>
          </w:p>
        </w:tc>
        <w:tc>
          <w:tcPr>
            <w:tcW w:w="6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r>
      <w:tr>
        <w:trPr>
          <w:trHeight w:val="219"/>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Payments on long-term debt</w:t>
            </w:r>
          </w:p>
        </w:tc>
        <w:tc>
          <w:tcPr>
            <w:tcW w:w="6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w:t>
            </w:r>
          </w:p>
        </w:tc>
      </w:tr>
      <w:tr>
        <w:trPr>
          <w:trHeight w:val="213"/>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Payments related to tax withholding for stock-based compensation</w:t>
            </w:r>
          </w:p>
        </w:tc>
        <w:tc>
          <w:tcPr>
            <w:tcW w:w="6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216"/>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Payments on finance lease</w:t>
            </w:r>
          </w:p>
        </w:tc>
        <w:tc>
          <w:tcPr>
            <w:tcW w:w="6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r>
      <w:tr>
        <w:trPr>
          <w:trHeight w:val="212"/>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for financing activities</w:t>
            </w:r>
          </w:p>
        </w:tc>
        <w:tc>
          <w:tcPr>
            <w:tcW w:w="6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(93.1)</w:t>
            </w:r>
          </w:p>
        </w:tc>
      </w:tr>
      <w:tr>
        <w:trPr>
          <w:trHeight w:val="21"/>
        </w:trPr>
        <w:tc>
          <w:tcPr>
            <w:tcW w:w="96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12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Our contractual obligations as of March 31, 2026, which require material cash requirements in the future, consist of purchase obligations and lease obligations. Purchase obligations are enforceable and legally binding obligations for purchases of goods and services which include inventory purchase commitments. Over the next several years, we expect to incur material costs associated with operating and maintaining our information technology infrastructure. Lease obligations include lease agreements for which a contract has been signed even if the lease has not yet commenced. Refer to "Item 7. Management's Discussion and Analysis of Financial Condition and Results of Operations" in the 2025 Form 10-K for further details. As of March 31, 2026, there have been no material changes to our contractual obligations outside the ordinary course of business other than the Purchase Agreement entered into to acquire OM for an upfront cash payment of £100 million at closing (subject to customary adjustments, including for closing net cash), and up to an additional £50 million upon the achievement of certain commercial milestones related to sales of the Aidaptus® next-generation auto-injector platform through the period ending June 30, 2029.</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0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Our significant accounting policies, which include management’s best estimates and judgments, are included in Note 2 to the Consolidated Financial Statements included in the 2025 Form 10-K. A discussion of accounting estimates considered critical because of the potential for a significant impact on the financial statements due to the inherent uncertainty in such estimates are disclosed in the Critical Accounting Policies section of Management’s Discussion and Analysis of Financial Condition and Results of Operations included in the 2025 Form 10-K. There have been no changes to our critical accounting policies as of March 31, 2026.</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Statements Regarding Forward-Looking Statements</w:t>
      </w:r>
    </w:p>
    <w:p>
      <w:pPr>
        <w:spacing w:after="0" w:line="12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This Quarterly Report on Form 10-Q contains statements that constitute forward-looking statements under the Private Securities Litigation Reform Act of 1995 and other securities laws. Forward-looking statements include those containing such words as “anticipates,” “believes,” "can," “could,” “estimates,” “expects,” “forecasts,” “goal,” “guidance,” “intends,” “may,” “outlook,” “plans,” "possible," “projects,” “seeks,” “sees,” “should,” “targets,” “will,” “would,” or other words of similar meaning. All statements that reflect Embecta’s expectations, assumptions or projections about the future, other than statements of historical fact, are forward-looking statements, including, without limitation, forecasts relating to discussions of future operations and financial performance (including volume growth, pricing, sales and earnings per share growth and cash flows) and statements regarding Embecta’s strategy for growth, the Patch Pump Restructuring Plan, the 2025 Restructuring Plan, expectations related to the impact of incremental tariffs, brand transition, future product development, anticipated product and regulatory clearances, approvals, and launches, competitive position and expenditures. Forward-looking statements are based upon our present intent, beliefs or expectations, are not guarantees of future performance and are subject to numerous risks, uncertainties, and changes in circumstances that are difficult to predict. Although Embecta believes that the expectations reflected in any forward-looking statements it makes are based on reasonable assumptions, it can give no assurance that these expectations will be attained and it is possible that actual results may differ materially from those indicated by these forward-looking statements due to a variety of risks and uncertainties. Such risks and uncertainties include, but are not limited to:</w:t>
      </w:r>
    </w:p>
    <w:p>
      <w:pPr>
        <w:spacing w:after="0" w:line="81" w:lineRule="exact"/>
        <w:rPr>
          <w:sz w:val="20"/>
          <w:szCs w:val="20"/>
          <w:color w:val="auto"/>
        </w:rPr>
      </w:pPr>
    </w:p>
    <w:p>
      <w:pPr>
        <w:jc w:val="both"/>
        <w:ind w:left="660" w:hanging="328"/>
        <w:spacing w:after="0" w:line="258"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factors that could adversely affect Embecta’s operations, including adoption of new drug therapies for treatment of diabetes, new product introductions by Embecta’s competitors, the development of new technologies, lower cost producers that create pricing pressure, and consolidation resulting in companies with greater scale and market presence than Embecta.</w:t>
      </w:r>
    </w:p>
    <w:p>
      <w:pPr>
        <w:spacing w:after="0" w:line="61"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Embecta is unable to replace the services, including the Business Continuity Processes, that BD currently provides to it on substantially similar terms as the terms on which BD is providing these services under the transaction agreements or that BD terminates such services.</w:t>
      </w:r>
    </w:p>
    <w:p>
      <w:pPr>
        <w:spacing w:after="0" w:line="61"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by BD to perform its obligations under the various separation agreements entered into in connection with the Separation and distribution, including the cannula supply agreement.</w:t>
      </w:r>
    </w:p>
    <w:p>
      <w:pPr>
        <w:spacing w:after="0" w:line="200" w:lineRule="exact"/>
        <w:rPr>
          <w:sz w:val="20"/>
          <w:szCs w:val="20"/>
          <w:color w:val="auto"/>
        </w:rPr>
      </w:pPr>
    </w:p>
    <w:p>
      <w:pPr>
        <w:spacing w:after="0" w:line="2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137795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660" w:hanging="328"/>
        <w:spacing w:after="0" w:line="25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events that adversely affect the sale or profitability of Embecta’s products or the revenue delivered from sales to its customers, including if these customers reduce the amount of product that they purchase from Embecta, reduce the amount that they are willing to pay for such products, or increase charges to distribute such products.</w:t>
      </w:r>
    </w:p>
    <w:p>
      <w:pPr>
        <w:spacing w:after="0" w:line="82"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operating costs, including costs incurred from the tariffs instituted by the U.S. government and certain foreign governments on raw materials and products, fluctuations in the cost and availability of oil-based resins, other raw materials, and energy as well as certain components, used in its products, the ability to maintain favorable supplier arrangements and relationships, and the potential adverse effects of any disruption in the availability of such items.</w:t>
      </w:r>
    </w:p>
    <w:p>
      <w:pPr>
        <w:spacing w:after="0" w:line="6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as a result of the global trade environment from tariffs, certain foreign governments, private purchasers and other customers in certain countries may consider transitioning away from products originating from certain countries (including the U.S.) in favor of buying “local” products and local manufacturers and competitors may attempt to capitalize on these sentiments and participate in aggressive competitive pricing or other strategies to transition, or divert, current and potential customers away Embecta.</w:t>
      </w:r>
    </w:p>
    <w:p>
      <w:pPr>
        <w:spacing w:after="0" w:line="69"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Embecta’s ability to obtain clearance from the U.S. Food and Drug Administration of any product, to market and sell such products successfully, to anticipate the needs of people with diabetes, and future business decisions by Embecta and its competitors.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reimbursement practices of governments or private payers or other cost containment measures.</w:t>
      </w:r>
    </w:p>
    <w:p>
      <w:pPr>
        <w:spacing w:after="0" w:line="10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adverse financial impact resulting from unfavorable changes in foreign currency exchange rates, as well as regional, national and foreign economic factors, including inflation, deflation, and fluctuations in interest rates, and their potential effect on its operating performance.</w:t>
      </w:r>
    </w:p>
    <w:p>
      <w:pPr>
        <w:spacing w:after="0" w:line="40"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changes in United States, federal laws and policy that could affect fiscal and tax policies, healthcare and international trade, including import and export regulation, tariffs and international trade agreements. In particular, tariffs or other trade barriers imposed by the United States or other countries could adversely impact its supply chain costs or otherwise adversely impact its results of operations.</w:t>
      </w:r>
    </w:p>
    <w:p>
      <w:pPr>
        <w:spacing w:after="0" w:line="61"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future impact of pandemics or geopolitical instability, including conflicts in the Middle East, on Embecta’s business, including disruptions in its operations and supply chains.</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or changing laws and regulations affecting Embecta’s domestic and foreign operations, or changes in enforcement practices, including laws relating to healthcare, environmental protection, trade, monetary and fiscal policies, taxation (including tax reforms that could adversely impact multinational corporations) and licensing and regulatory requirements for products.</w:t>
      </w:r>
    </w:p>
    <w:p>
      <w:pPr>
        <w:spacing w:after="0" w:line="8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benefits of the Separation from BD.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indebtedness and our use of indebtedness available to us.</w:t>
      </w:r>
    </w:p>
    <w:p>
      <w:pPr>
        <w:spacing w:after="0" w:line="10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ongoing dis-synergy costs, costs of restructuring and other costs incurred in connection with the Separation will exceed Embecta's estimates.</w:t>
      </w:r>
    </w:p>
    <w:p>
      <w:pPr>
        <w:spacing w:after="0" w:line="40"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Separation on Embecta's businesses and the risk that the Separation, including brand transition timelines and efforts, may be more difficult, time-consuming or costly than expected, the impact on its resources, systems, including ERP, procedures and controls, diversion of management’s attention and the impact on relationships with customers, suppliers, employees and other business counterparties.</w:t>
      </w:r>
    </w:p>
    <w:p>
      <w:pPr>
        <w:spacing w:after="0" w:line="6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Embecta’s ability to timely and successfully complete the brand transition, including any resulting regulatory delays of transferring or obtaining registrations and licenses in the “Embecta” name, interruptions in, or customer confusion from, the replacement and transfer of the rebranded product into the current commercialization, supply and distribution networks, or other issues arising out of system, supply chain logistics, administrative and adjudicative operations transitions in the end-to-end product flow and end-user access.</w:t>
      </w:r>
    </w:p>
    <w:p>
      <w:pPr>
        <w:spacing w:after="0" w:line="6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actions resulting from our review of our cost structure and organizational footprint.</w:t>
      </w:r>
    </w:p>
    <w:p>
      <w:pPr>
        <w:spacing w:after="0" w:line="10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Embecta's ability to continue to return capital to our stockholders through the payment of cash dividends and/or the repurchase of our common stock.</w:t>
      </w:r>
    </w:p>
    <w:p>
      <w:pPr>
        <w:spacing w:after="0" w:line="40"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we may not complete strategic collaborative partnerships and acquisition opportunities, including the acquisition of OM, in the expected time frames and in a way that enable us to accelerate our growth or strategic collaborative opportunities that give us access to innovative technologies, complementary product lines, and new markets.</w:t>
      </w:r>
    </w:p>
    <w:p>
      <w:pPr>
        <w:spacing w:after="0" w:line="200" w:lineRule="exact"/>
        <w:rPr>
          <w:sz w:val="20"/>
          <w:szCs w:val="20"/>
          <w:color w:val="auto"/>
        </w:rPr>
      </w:pP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There can be no assurance that the transactions or uncertainties described above will in fact be consummated or occur in the manner described or at all. As a result, you should not place undue reliance upon our forward-looking statements. The above list of factors is not exhaustive or necessarily in order of importance. For additional information on identifying factors that may cause actual results to vary materially from those stated in forward-looking statements, see the discussions under “Risk Factors,” both in Part II, Item 1A below and included within the 2025 Form 10-K. Any forward-looking statement speaks only as of the date on which it is made, and Embecta expressly disclaims and assumes no obligation to update or revise such statement, whether as a result of new information, future events or otherwise, except as required by applicable law.</w:t>
      </w:r>
    </w:p>
    <w:p>
      <w:pPr>
        <w:spacing w:after="0" w:line="200" w:lineRule="exact"/>
        <w:rPr>
          <w:sz w:val="20"/>
          <w:szCs w:val="20"/>
          <w:color w:val="auto"/>
        </w:rPr>
      </w:pPr>
    </w:p>
    <w:p>
      <w:pPr>
        <w:spacing w:after="0" w:line="2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137795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in information reported since the filing of the 2025 Form 10-K except as follows: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and Other Rate Risks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operate on a global basis and are exposed to the risk that changes in foreign currency exchange rates could adversely affect our financial condition, results of operations and cash flows.</w:t>
      </w: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From time to time, we enter into foreign currency forward exchange contracts with major financial institutions to manage currency exposures for transactions denominated in a currency other than an entity’s functional currency. As a result, the impact of foreign currency gains/losses recognized in earnings are partially offset by gains/losses on the related foreign currency forward exchange contracts in the same reporting period. Refer to Note 17, </w:t>
      </w:r>
      <w:r>
        <w:rPr>
          <w:rFonts w:ascii="Times New Roman" w:cs="Times New Roman" w:eastAsia="Times New Roman" w:hAnsi="Times New Roman"/>
          <w:sz w:val="18"/>
          <w:szCs w:val="18"/>
          <w:i w:val="1"/>
          <w:iCs w:val="1"/>
          <w:color w:val="auto"/>
        </w:rPr>
        <w:t xml:space="preserve">Financial Instruments and Fair Value Measurements </w:t>
      </w:r>
      <w:r>
        <w:rPr>
          <w:rFonts w:ascii="Times New Roman" w:cs="Times New Roman" w:eastAsia="Times New Roman" w:hAnsi="Times New Roman"/>
          <w:sz w:val="18"/>
          <w:szCs w:val="18"/>
          <w:color w:val="auto"/>
        </w:rPr>
        <w:t>of the Notes to Condensed Consolidated Financial Statements for further information.</w:t>
      </w:r>
    </w:p>
    <w:p>
      <w:pPr>
        <w:spacing w:after="0" w:line="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Consequently, foreign currency exchange contracts would not subject us to material risk due to exchange rate movements, because gains and losses on these contracts offset gains and losses on the assets, liabilities or transactions being hedged.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1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Debt </w:t>
      </w:r>
      <w:r>
        <w:rPr>
          <w:rFonts w:ascii="Times New Roman" w:cs="Times New Roman" w:eastAsia="Times New Roman" w:hAnsi="Times New Roman"/>
          <w:sz w:val="18"/>
          <w:szCs w:val="18"/>
          <w:color w:val="auto"/>
        </w:rPr>
        <w:t>- Our interest rate risk relates primarily to our Term Loan. The interest rate is set at 300 basis points over SOFR, with a 0.50% SOFR floor. Based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outstanding borrowings at March 31, 2026, a 100 basis points change in interest rates would have impacted interest expense on the Term Loan by $6.4 million on an annualized basis. To the extent we borrow on our Revolving Credit Facility, we will be subject to risks related to changes in SOFR.</w:t>
      </w:r>
    </w:p>
    <w:p>
      <w:pPr>
        <w:spacing w:after="0" w:line="200" w:lineRule="exact"/>
        <w:rPr>
          <w:sz w:val="20"/>
          <w:szCs w:val="20"/>
          <w:color w:val="auto"/>
        </w:rPr>
      </w:pPr>
    </w:p>
    <w:p>
      <w:pPr>
        <w:spacing w:after="0" w:line="2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137795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An evaluation was carried out by Embecta's management, with the participation of the Company's Chief Executive Officer and Chief Financial Officer, of the effectiveness of the design and operation of Embecta's disclosure controls and procedures (as defined in Rule 13a-15(e) under the Securities Exchange Act of 1934, as amended). Based upon that evaluation as of March 31, 2026, the Company's Chief Executive Officer and Chief Financial Officer each concluded that the design and operation of these disclosure controls and procedures were, as of the end of the period covered by this report, effective and ensure that material information relating to Embecta and its consolidated subsidiaries would be made known to them by others within these entities.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changes in internal control over financial reporting during the three months ended March 31, 2026, that have materially affected, or are reasonably likely to materially affect, our internal control over financial reporting.</w:t>
      </w:r>
    </w:p>
    <w:p>
      <w:pPr>
        <w:spacing w:after="0" w:line="3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9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Our business is subject to risks and uncertainties, a number of which are described under the caption “Risk Factors” in the 2025 Form 10-K. The risks described in the 2025 Form 10-K and below may not be the only risks we face but are risks we believe may be material at this time. Other risks of which we are not yet aware, or that we currently believe are not material, may also materially and adversely impact our business operations or financial results. If any of the events or circumstances described in the risk factors contained in the 2025 Form 10-K or included below occurs, our business, financial condition, liquidity, results of operations or ability to repurchase common stock or pay dividends could be adversely impacted and the value of an investment in our securities could decline. Investors and prospective investors should consider the risks described in the 2025 Form 10-K and below and the information contained under the caption “Cautionary Statements Regarding Forward-Looking Statements” and elsewhere in this Form 10-Q before deciding whether to invest in our securities.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pendency of our acquisition of OM may have an adverse effect on our business, financial condition, operating results and cash flows.</w:t>
      </w:r>
    </w:p>
    <w:p>
      <w:pPr>
        <w:spacing w:after="0" w:line="10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On March 19, 2026, we entered into the Purchase Agreement to acquire OM. The transaction (the “Acquisition”) is expected to close in the third fiscal quarter of 2026. All closing conditions and regulatory approvals have been satisfied. We have devoted, and will continue to devote, significant management and other internal resources towards the completion of the Acquisition and planning for integration. There can be no assurance that our business, financial condition, operating results, and cash flows will not be adversely affected, if the Acquisition is delayed or is not consummated. Further, even if the Acquisition is consummated, we may not realize the benefits to us that we currently anticipate from the Acquisition, including increasing our revenues and expanding our current product offerings. If we do not successfully integrate the operations of OM as currently anticipated, it could adversely affect our financial condition and results from operations.</w:t>
      </w:r>
    </w:p>
    <w:p>
      <w:pPr>
        <w:spacing w:after="0" w:line="6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cannot guarantee that the Repurchase Program will be fully consummated or that it will enhance long-term stockholder value, and stock repurchases could increase the volatility of the price of our common stock.</w:t>
      </w:r>
    </w:p>
    <w:p>
      <w:pPr>
        <w:spacing w:after="0" w:line="3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Pursuant to the Repurchase Program authorized by our Board of Directors in May 2026, we are authorized to repurchase shares of our common stock, for up to $100.0 million, through various methods, including, but not limited to, open market, privately negotiated, or accelerated share repurchase transactions. The Repurchase Program may be suspended or discontinued at any time. We are not obligated to repurchase a specified number or dollar amount of shares, and the timing, manner, price, and actual amount of share repurchases will depend on a variety of factors, including stock price, market conditions, other capital allocation needs and opportunities, and corporate and regulatory considerations. The timing of repurchases pursuant to our Repurchase Program could affect our stock price and increase its volatility. We cannot guarantee that we will repurchase shares, and there can be no assurance that any share repurchases will enhance stockholder value because the stock price of our common stock may decline below the levels at which we effected repurchases.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conflict between the United States, Israel, and Iran and related geopolitical instability may adversely affect our business.</w:t>
      </w:r>
    </w:p>
    <w:p>
      <w:pPr>
        <w:spacing w:after="0" w:line="10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 February 2026, the United States and Israel launched a coordinated military effort against Iran. Although we do not have material operations in the Middle East, the ongoing conflict and any further escalation, including additional military actions, retaliatory measures, sanctions, disruptions to trade or transportation routes, cyberattacks, or other governmental or market responses, has and could continue to lead to significant disruption of global energy supplies and increases in global energy prices, heighten inflationary pressures on our input costs and supply chain, adversely affect global supply chains, energy markets, commodity prices, currency exchange rates, financial markets and overall macroeconomic conditions, and adversely impact customer spending patterns in markets in which we operate. While the conflicts between the United States, Israel, and Iran may have an effect on our business, financial condition and results of operations, we are unable to predict the extent or nature of these impacts at this time.</w:t>
      </w:r>
    </w:p>
    <w:p>
      <w:pPr>
        <w:spacing w:after="0" w:line="200" w:lineRule="exact"/>
        <w:rPr>
          <w:sz w:val="20"/>
          <w:szCs w:val="20"/>
          <w:color w:val="auto"/>
        </w:rPr>
      </w:pPr>
    </w:p>
    <w:p>
      <w:pPr>
        <w:spacing w:after="0" w:line="2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55"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1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4"/>
        </w:trPr>
        <w:tc>
          <w:tcPr>
            <w:tcW w:w="1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7"/>
                <w:szCs w:val="17"/>
                <w:color w:val="auto"/>
              </w:rPr>
            </w:pPr>
          </w:p>
        </w:tc>
        <w:tc>
          <w:tcPr>
            <w:tcW w:w="9800" w:type="dxa"/>
            <w:vAlign w:val="bottom"/>
            <w:gridSpan w:val="8"/>
          </w:tcPr>
          <w:p>
            <w:pPr>
              <w:ind w:left="4300"/>
              <w:spacing w:after="0"/>
              <w:rPr>
                <w:sz w:val="20"/>
                <w:szCs w:val="20"/>
                <w:color w:val="auto"/>
              </w:rPr>
            </w:pPr>
            <w:r>
              <w:rPr>
                <w:rFonts w:ascii="Times New Roman" w:cs="Times New Roman" w:eastAsia="Times New Roman" w:hAnsi="Times New Roman"/>
                <w:sz w:val="14"/>
                <w:szCs w:val="14"/>
                <w:b w:val="1"/>
                <w:bCs w:val="1"/>
                <w:color w:val="auto"/>
              </w:rPr>
              <w:t>Exhibit Description</w:t>
            </w:r>
          </w:p>
        </w:tc>
      </w:tr>
      <w:tr>
        <w:trPr>
          <w:trHeight w:val="23"/>
        </w:trPr>
        <w:tc>
          <w:tcPr>
            <w:tcW w:w="13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r>
      <w:tr>
        <w:trPr>
          <w:trHeight w:val="452"/>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20" w:type="dxa"/>
            <w:vAlign w:val="bottom"/>
          </w:tcPr>
          <w:p>
            <w:pPr>
              <w:spacing w:after="0"/>
              <w:rPr>
                <w:sz w:val="24"/>
                <w:szCs w:val="24"/>
                <w:color w:val="auto"/>
              </w:rPr>
            </w:pPr>
          </w:p>
        </w:tc>
        <w:tc>
          <w:tcPr>
            <w:tcW w:w="98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Amendment No. 2 to the Embecta Corp. 2022 Employee and Director Equity-Based Compensation Plan</w:t>
            </w:r>
          </w:p>
        </w:tc>
      </w:tr>
      <w:tr>
        <w:trPr>
          <w:trHeight w:val="20"/>
        </w:trPr>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0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20" w:type="dxa"/>
            <w:vAlign w:val="bottom"/>
          </w:tcPr>
          <w:p>
            <w:pPr>
              <w:spacing w:after="0"/>
              <w:rPr>
                <w:sz w:val="24"/>
                <w:szCs w:val="24"/>
                <w:color w:val="auto"/>
              </w:rPr>
            </w:pPr>
          </w:p>
        </w:tc>
        <w:tc>
          <w:tcPr>
            <w:tcW w:w="9340" w:type="dxa"/>
            <w:vAlign w:val="bottom"/>
            <w:tcBorders>
              <w:bottom w:val="single" w:sz="8" w:color="0000FF"/>
            </w:tcBorders>
            <w:gridSpan w:val="6"/>
          </w:tcPr>
          <w:p>
            <w:pPr>
              <w:spacing w:after="0"/>
              <w:rPr>
                <w:rFonts w:ascii="Times New Roman" w:cs="Times New Roman" w:eastAsia="Times New Roman" w:hAnsi="Times New Roman"/>
                <w:sz w:val="18"/>
                <w:szCs w:val="18"/>
                <w:color w:val="0000FF"/>
                <w:w w:val="99"/>
              </w:rPr>
            </w:pPr>
            <w:hyperlink r:id="rId60">
              <w:r>
                <w:rPr>
                  <w:rFonts w:ascii="Times New Roman" w:cs="Times New Roman" w:eastAsia="Times New Roman" w:hAnsi="Times New Roman"/>
                  <w:sz w:val="18"/>
                  <w:szCs w:val="18"/>
                  <w:color w:val="0000FF"/>
                  <w:w w:val="99"/>
                </w:rPr>
                <w:t>Agreement for the Sale and Purchase of Owen Mumford Holdings Limited, dated March 19, 2026, among Embecta Corp. and the</w:t>
              </w:r>
            </w:hyperlink>
          </w:p>
        </w:tc>
        <w:tc>
          <w:tcPr>
            <w:tcW w:w="460" w:type="dxa"/>
            <w:vAlign w:val="bottom"/>
            <w:gridSpan w:val="2"/>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2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60">
              <w:r>
                <w:rPr>
                  <w:rFonts w:ascii="Times New Roman" w:cs="Times New Roman" w:eastAsia="Times New Roman" w:hAnsi="Times New Roman"/>
                  <w:sz w:val="18"/>
                  <w:szCs w:val="18"/>
                  <w:color w:val="0000FF"/>
                  <w:w w:val="99"/>
                </w:rPr>
                <w:t>Sellers listed in Schedule 1 thereto (Incorporated by reference to the Company's Current Report on Form 8-K filed on March 20, 2026)</w:t>
              </w:r>
            </w:hyperlink>
          </w:p>
        </w:tc>
        <w:tc>
          <w:tcPr>
            <w:tcW w:w="80" w:type="dxa"/>
            <w:vAlign w:val="bottom"/>
          </w:tcPr>
          <w:p>
            <w:pPr>
              <w:spacing w:after="0"/>
              <w:rPr>
                <w:sz w:val="17"/>
                <w:szCs w:val="17"/>
                <w:color w:val="auto"/>
              </w:rPr>
            </w:pPr>
          </w:p>
        </w:tc>
      </w:tr>
      <w:tr>
        <w:trPr>
          <w:trHeight w:val="50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20" w:type="dxa"/>
            <w:vAlign w:val="bottom"/>
          </w:tcPr>
          <w:p>
            <w:pPr>
              <w:spacing w:after="0"/>
              <w:rPr>
                <w:sz w:val="24"/>
                <w:szCs w:val="24"/>
                <w:color w:val="auto"/>
              </w:rPr>
            </w:pPr>
          </w:p>
        </w:tc>
        <w:tc>
          <w:tcPr>
            <w:tcW w:w="53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pursuant to SEC Rule 13a–14(a)</w:t>
            </w:r>
          </w:p>
        </w:tc>
        <w:tc>
          <w:tcPr>
            <w:tcW w:w="4500" w:type="dxa"/>
            <w:vAlign w:val="bottom"/>
            <w:gridSpan w:val="6"/>
          </w:tcPr>
          <w:p>
            <w:pPr>
              <w:spacing w:after="0"/>
              <w:rPr>
                <w:sz w:val="24"/>
                <w:szCs w:val="24"/>
                <w:color w:val="auto"/>
              </w:rPr>
            </w:pPr>
          </w:p>
        </w:tc>
      </w:tr>
      <w:tr>
        <w:trPr>
          <w:trHeight w:val="507"/>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20" w:type="dxa"/>
            <w:vAlign w:val="bottom"/>
          </w:tcPr>
          <w:p>
            <w:pPr>
              <w:spacing w:after="0"/>
              <w:rPr>
                <w:sz w:val="24"/>
                <w:szCs w:val="24"/>
                <w:color w:val="auto"/>
              </w:rPr>
            </w:pPr>
          </w:p>
        </w:tc>
        <w:tc>
          <w:tcPr>
            <w:tcW w:w="98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SEC Rule 13a–14(a)</w:t>
            </w:r>
          </w:p>
        </w:tc>
      </w:tr>
      <w:tr>
        <w:trPr>
          <w:trHeight w:val="20"/>
        </w:trPr>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40" w:type="dxa"/>
            <w:vAlign w:val="bottom"/>
            <w:shd w:val="clear" w:color="auto" w:fill="0000FF"/>
          </w:tcPr>
          <w:p>
            <w:pPr>
              <w:spacing w:after="0" w:line="20" w:lineRule="exact"/>
              <w:rPr>
                <w:sz w:val="1"/>
                <w:szCs w:val="1"/>
                <w:color w:val="auto"/>
              </w:rPr>
            </w:pPr>
          </w:p>
        </w:tc>
        <w:tc>
          <w:tcPr>
            <w:tcW w:w="40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r>
      <w:tr>
        <w:trPr>
          <w:trHeight w:val="50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20" w:type="dxa"/>
            <w:vAlign w:val="bottom"/>
          </w:tcPr>
          <w:p>
            <w:pPr>
              <w:spacing w:after="0"/>
              <w:rPr>
                <w:sz w:val="24"/>
                <w:szCs w:val="24"/>
                <w:color w:val="auto"/>
              </w:rPr>
            </w:pPr>
          </w:p>
        </w:tc>
        <w:tc>
          <w:tcPr>
            <w:tcW w:w="98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Rule 13a–14(b) and Section 1350 of Chapter 63 of Title 18 of the U.S. Code</w:t>
            </w:r>
          </w:p>
        </w:tc>
      </w:tr>
      <w:tr>
        <w:trPr>
          <w:trHeight w:val="507"/>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20" w:type="dxa"/>
            <w:vAlign w:val="bottom"/>
          </w:tcPr>
          <w:p>
            <w:pPr>
              <w:spacing w:after="0"/>
              <w:rPr>
                <w:sz w:val="24"/>
                <w:szCs w:val="24"/>
                <w:color w:val="auto"/>
              </w:rPr>
            </w:pPr>
          </w:p>
        </w:tc>
        <w:tc>
          <w:tcPr>
            <w:tcW w:w="926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Certification of Chief Financial Officer, pursuant to Rule 13a–14(b) and Section 1350 of Chapter 63 of Title 18 of the U.S. Code</w:t>
            </w:r>
          </w:p>
        </w:tc>
        <w:tc>
          <w:tcPr>
            <w:tcW w:w="40" w:type="dxa"/>
            <w:vAlign w:val="bottom"/>
            <w:tcBorders>
              <w:top w:val="single" w:sz="8" w:color="0000FF"/>
            </w:tcBorders>
          </w:tcPr>
          <w:p>
            <w:pPr>
              <w:spacing w:after="0"/>
              <w:rPr>
                <w:sz w:val="24"/>
                <w:szCs w:val="24"/>
                <w:color w:val="auto"/>
              </w:rPr>
            </w:pPr>
          </w:p>
        </w:tc>
        <w:tc>
          <w:tcPr>
            <w:tcW w:w="500" w:type="dxa"/>
            <w:vAlign w:val="bottom"/>
            <w:gridSpan w:val="3"/>
          </w:tcPr>
          <w:p>
            <w:pPr>
              <w:spacing w:after="0"/>
              <w:rPr>
                <w:sz w:val="24"/>
                <w:szCs w:val="24"/>
                <w:color w:val="auto"/>
              </w:rPr>
            </w:pPr>
          </w:p>
        </w:tc>
      </w:tr>
      <w:tr>
        <w:trPr>
          <w:trHeight w:val="529"/>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20" w:type="dxa"/>
            <w:vAlign w:val="bottom"/>
          </w:tcPr>
          <w:p>
            <w:pPr>
              <w:spacing w:after="0"/>
              <w:rPr>
                <w:sz w:val="24"/>
                <w:szCs w:val="24"/>
                <w:color w:val="auto"/>
              </w:rPr>
            </w:pPr>
          </w:p>
        </w:tc>
        <w:tc>
          <w:tcPr>
            <w:tcW w:w="98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following materials from this report, formatted in iXBRL (Inline eXtensible Business Reporting Language): (i) the Condensed</w:t>
            </w:r>
          </w:p>
        </w:tc>
      </w:tr>
      <w:tr>
        <w:trPr>
          <w:trHeight w:val="203"/>
        </w:trPr>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0" w:type="dxa"/>
            <w:vAlign w:val="bottom"/>
            <w:gridSpan w:val="8"/>
          </w:tcPr>
          <w:p>
            <w:pPr>
              <w:spacing w:after="0" w:line="202" w:lineRule="exact"/>
              <w:rPr>
                <w:sz w:val="20"/>
                <w:szCs w:val="20"/>
                <w:color w:val="auto"/>
              </w:rPr>
            </w:pPr>
            <w:r>
              <w:rPr>
                <w:rFonts w:ascii="Times New Roman" w:cs="Times New Roman" w:eastAsia="Times New Roman" w:hAnsi="Times New Roman"/>
                <w:sz w:val="18"/>
                <w:szCs w:val="18"/>
                <w:color w:val="auto"/>
              </w:rPr>
              <w:t>Consolidated Statements of Income, (ii) the Condensed Consolidated Statements of Comprehensive Income, (iii) the Condensed</w:t>
            </w:r>
          </w:p>
        </w:tc>
      </w:tr>
      <w:tr>
        <w:trPr>
          <w:trHeight w:val="203"/>
        </w:trPr>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0" w:type="dxa"/>
            <w:vAlign w:val="bottom"/>
            <w:gridSpan w:val="8"/>
          </w:tcPr>
          <w:p>
            <w:pPr>
              <w:spacing w:after="0" w:line="202" w:lineRule="exact"/>
              <w:rPr>
                <w:sz w:val="20"/>
                <w:szCs w:val="20"/>
                <w:color w:val="auto"/>
              </w:rPr>
            </w:pPr>
            <w:r>
              <w:rPr>
                <w:rFonts w:ascii="Times New Roman" w:cs="Times New Roman" w:eastAsia="Times New Roman" w:hAnsi="Times New Roman"/>
                <w:sz w:val="18"/>
                <w:szCs w:val="18"/>
                <w:color w:val="auto"/>
              </w:rPr>
              <w:t>Consolidated Balance Sheets, (iv) the Condensed Consolidated Statements of Equity, (v) the Condensed Consolidated Statements of</w:t>
            </w:r>
          </w:p>
        </w:tc>
      </w:tr>
      <w:tr>
        <w:trPr>
          <w:trHeight w:val="234"/>
        </w:trPr>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Cash Flows, and (vi) Notes to Condensed Consolidated Financial Statements.</w:t>
            </w:r>
          </w:p>
        </w:tc>
      </w:tr>
      <w:tr>
        <w:trPr>
          <w:trHeight w:val="527"/>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20" w:type="dxa"/>
            <w:vAlign w:val="bottom"/>
          </w:tcPr>
          <w:p>
            <w:pPr>
              <w:spacing w:after="0"/>
              <w:rPr>
                <w:sz w:val="24"/>
                <w:szCs w:val="24"/>
                <w:color w:val="auto"/>
              </w:rPr>
            </w:pPr>
          </w:p>
        </w:tc>
        <w:tc>
          <w:tcPr>
            <w:tcW w:w="98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252" w:lineRule="exact"/>
        <w:rPr>
          <w:sz w:val="20"/>
          <w:szCs w:val="20"/>
          <w:color w:val="auto"/>
        </w:rPr>
      </w:pPr>
    </w:p>
    <w:p>
      <w:pPr>
        <w:ind w:left="560" w:hanging="534"/>
        <w:spacing w:after="0"/>
        <w:tabs>
          <w:tab w:leader="none" w:pos="5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50" w:lineRule="exact"/>
        <w:rPr>
          <w:sz w:val="20"/>
          <w:szCs w:val="20"/>
          <w:color w:val="auto"/>
        </w:rPr>
      </w:pPr>
    </w:p>
    <w:p>
      <w:pPr>
        <w:ind w:left="560" w:hanging="534"/>
        <w:spacing w:after="0"/>
        <w:tabs>
          <w:tab w:leader="none" w:pos="5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50" w:lineRule="exact"/>
        <w:rPr>
          <w:sz w:val="20"/>
          <w:szCs w:val="20"/>
          <w:color w:val="auto"/>
        </w:rPr>
      </w:pPr>
    </w:p>
    <w:p>
      <w:pPr>
        <w:ind w:left="560" w:hanging="534"/>
        <w:spacing w:after="0"/>
        <w:tabs>
          <w:tab w:leader="none" w:pos="5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137795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6"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1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2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EMBECTA CORP.</w:t>
      </w:r>
    </w:p>
    <w:p>
      <w:pPr>
        <w:spacing w:after="0" w:line="320"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5840" w:type="dxa"/>
            <w:vAlign w:val="bottom"/>
          </w:tcPr>
          <w:p>
            <w:pPr>
              <w:ind w:left="4940"/>
              <w:spacing w:after="0"/>
              <w:rPr>
                <w:sz w:val="20"/>
                <w:szCs w:val="20"/>
                <w:color w:val="auto"/>
              </w:rPr>
            </w:pPr>
            <w:r>
              <w:rPr>
                <w:rFonts w:ascii="Times New Roman" w:cs="Times New Roman" w:eastAsia="Times New Roman" w:hAnsi="Times New Roman"/>
                <w:sz w:val="18"/>
                <w:szCs w:val="18"/>
                <w:color w:val="auto"/>
              </w:rPr>
              <w:t>By:</w:t>
            </w: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Devdatt Kurdikar</w:t>
            </w:r>
          </w:p>
        </w:tc>
      </w:tr>
      <w:tr>
        <w:trPr>
          <w:trHeight w:val="241"/>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Date: May 5, 2026</w:t>
            </w:r>
          </w:p>
        </w:tc>
        <w:tc>
          <w:tcPr>
            <w:tcW w:w="5380" w:type="dxa"/>
            <w:vAlign w:val="bottom"/>
            <w:tcBorders>
              <w:bottom w:val="single" w:sz="8" w:color="auto"/>
            </w:tcBorders>
          </w:tcPr>
          <w:p>
            <w:pPr>
              <w:spacing w:after="0"/>
              <w:rPr>
                <w:sz w:val="20"/>
                <w:szCs w:val="20"/>
                <w:color w:val="auto"/>
              </w:rPr>
            </w:pPr>
          </w:p>
        </w:tc>
      </w:tr>
      <w:tr>
        <w:trPr>
          <w:trHeight w:val="243"/>
        </w:trPr>
        <w:tc>
          <w:tcPr>
            <w:tcW w:w="5840" w:type="dxa"/>
            <w:vAlign w:val="bottom"/>
          </w:tcPr>
          <w:p>
            <w:pPr>
              <w:ind w:left="4940"/>
              <w:spacing w:after="0"/>
              <w:rPr>
                <w:sz w:val="20"/>
                <w:szCs w:val="20"/>
                <w:color w:val="auto"/>
              </w:rPr>
            </w:pPr>
            <w:r>
              <w:rPr>
                <w:rFonts w:ascii="Times New Roman" w:cs="Times New Roman" w:eastAsia="Times New Roman" w:hAnsi="Times New Roman"/>
                <w:sz w:val="18"/>
                <w:szCs w:val="18"/>
                <w:color w:val="auto"/>
              </w:rPr>
              <w:t>Name:</w:t>
            </w: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Devdatt Kurdikar</w:t>
            </w:r>
          </w:p>
        </w:tc>
      </w:tr>
      <w:tr>
        <w:trPr>
          <w:trHeight w:val="257"/>
        </w:trPr>
        <w:tc>
          <w:tcPr>
            <w:tcW w:w="5840" w:type="dxa"/>
            <w:vAlign w:val="bottom"/>
          </w:tcPr>
          <w:p>
            <w:pPr>
              <w:ind w:left="4940"/>
              <w:spacing w:after="0"/>
              <w:rPr>
                <w:sz w:val="20"/>
                <w:szCs w:val="20"/>
                <w:color w:val="auto"/>
              </w:rPr>
            </w:pPr>
            <w:r>
              <w:rPr>
                <w:rFonts w:ascii="Times New Roman" w:cs="Times New Roman" w:eastAsia="Times New Roman" w:hAnsi="Times New Roman"/>
                <w:sz w:val="18"/>
                <w:szCs w:val="18"/>
                <w:color w:val="auto"/>
              </w:rPr>
              <w:t>Title:</w:t>
            </w: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57"/>
        </w:trPr>
        <w:tc>
          <w:tcPr>
            <w:tcW w:w="5840" w:type="dxa"/>
            <w:vAlign w:val="bottom"/>
          </w:tcPr>
          <w:p>
            <w:pPr>
              <w:spacing w:after="0"/>
              <w:rPr>
                <w:sz w:val="22"/>
                <w:szCs w:val="22"/>
                <w:color w:val="auto"/>
              </w:rPr>
            </w:pP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5840" w:type="dxa"/>
            <w:vAlign w:val="bottom"/>
          </w:tcPr>
          <w:p>
            <w:pPr>
              <w:ind w:left="4940"/>
              <w:spacing w:after="0"/>
              <w:rPr>
                <w:sz w:val="20"/>
                <w:szCs w:val="20"/>
                <w:color w:val="auto"/>
              </w:rPr>
            </w:pPr>
            <w:r>
              <w:rPr>
                <w:rFonts w:ascii="Times New Roman" w:cs="Times New Roman" w:eastAsia="Times New Roman" w:hAnsi="Times New Roman"/>
                <w:sz w:val="18"/>
                <w:szCs w:val="18"/>
                <w:color w:val="auto"/>
              </w:rPr>
              <w:t>By:</w:t>
            </w: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Jacob Elguicze</w:t>
            </w:r>
          </w:p>
        </w:tc>
      </w:tr>
      <w:tr>
        <w:trPr>
          <w:trHeight w:val="241"/>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Date: May 5, 2026</w:t>
            </w:r>
          </w:p>
        </w:tc>
        <w:tc>
          <w:tcPr>
            <w:tcW w:w="5380" w:type="dxa"/>
            <w:vAlign w:val="bottom"/>
            <w:tcBorders>
              <w:bottom w:val="single" w:sz="8" w:color="auto"/>
            </w:tcBorders>
          </w:tcPr>
          <w:p>
            <w:pPr>
              <w:spacing w:after="0"/>
              <w:rPr>
                <w:sz w:val="20"/>
                <w:szCs w:val="20"/>
                <w:color w:val="auto"/>
              </w:rPr>
            </w:pPr>
          </w:p>
        </w:tc>
      </w:tr>
      <w:tr>
        <w:trPr>
          <w:trHeight w:val="243"/>
        </w:trPr>
        <w:tc>
          <w:tcPr>
            <w:tcW w:w="5840" w:type="dxa"/>
            <w:vAlign w:val="bottom"/>
          </w:tcPr>
          <w:p>
            <w:pPr>
              <w:ind w:left="4940"/>
              <w:spacing w:after="0"/>
              <w:rPr>
                <w:sz w:val="20"/>
                <w:szCs w:val="20"/>
                <w:color w:val="auto"/>
              </w:rPr>
            </w:pPr>
            <w:r>
              <w:rPr>
                <w:rFonts w:ascii="Times New Roman" w:cs="Times New Roman" w:eastAsia="Times New Roman" w:hAnsi="Times New Roman"/>
                <w:sz w:val="18"/>
                <w:szCs w:val="18"/>
                <w:color w:val="auto"/>
              </w:rPr>
              <w:t>Name:</w:t>
            </w: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Jacob Elguicze</w:t>
            </w:r>
          </w:p>
        </w:tc>
      </w:tr>
      <w:tr>
        <w:trPr>
          <w:trHeight w:val="257"/>
        </w:trPr>
        <w:tc>
          <w:tcPr>
            <w:tcW w:w="5840" w:type="dxa"/>
            <w:vAlign w:val="bottom"/>
          </w:tcPr>
          <w:p>
            <w:pPr>
              <w:ind w:left="4940"/>
              <w:spacing w:after="0"/>
              <w:rPr>
                <w:sz w:val="20"/>
                <w:szCs w:val="20"/>
                <w:color w:val="auto"/>
              </w:rPr>
            </w:pPr>
            <w:r>
              <w:rPr>
                <w:rFonts w:ascii="Times New Roman" w:cs="Times New Roman" w:eastAsia="Times New Roman" w:hAnsi="Times New Roman"/>
                <w:sz w:val="18"/>
                <w:szCs w:val="18"/>
                <w:color w:val="auto"/>
              </w:rPr>
              <w:t>Title:</w:t>
            </w: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Chief Financial Officer</w:t>
            </w:r>
          </w:p>
        </w:tc>
      </w:tr>
      <w:tr>
        <w:trPr>
          <w:trHeight w:val="257"/>
        </w:trPr>
        <w:tc>
          <w:tcPr>
            <w:tcW w:w="5840" w:type="dxa"/>
            <w:vAlign w:val="bottom"/>
          </w:tcPr>
          <w:p>
            <w:pPr>
              <w:spacing w:after="0"/>
              <w:rPr>
                <w:sz w:val="22"/>
                <w:szCs w:val="22"/>
                <w:color w:val="auto"/>
              </w:rPr>
            </w:pP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5840" w:type="dxa"/>
            <w:vAlign w:val="bottom"/>
          </w:tcPr>
          <w:p>
            <w:pPr>
              <w:ind w:left="4940"/>
              <w:spacing w:after="0"/>
              <w:rPr>
                <w:sz w:val="20"/>
                <w:szCs w:val="20"/>
                <w:color w:val="auto"/>
              </w:rPr>
            </w:pPr>
            <w:r>
              <w:rPr>
                <w:rFonts w:ascii="Times New Roman" w:cs="Times New Roman" w:eastAsia="Times New Roman" w:hAnsi="Times New Roman"/>
                <w:sz w:val="18"/>
                <w:szCs w:val="18"/>
                <w:color w:val="auto"/>
              </w:rPr>
              <w:t>By:</w:t>
            </w: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Anthony Roth</w:t>
            </w:r>
          </w:p>
        </w:tc>
      </w:tr>
      <w:tr>
        <w:trPr>
          <w:trHeight w:val="241"/>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Date: May 5, 2026</w:t>
            </w:r>
          </w:p>
        </w:tc>
        <w:tc>
          <w:tcPr>
            <w:tcW w:w="5380" w:type="dxa"/>
            <w:vAlign w:val="bottom"/>
            <w:tcBorders>
              <w:bottom w:val="single" w:sz="8" w:color="auto"/>
            </w:tcBorders>
          </w:tcPr>
          <w:p>
            <w:pPr>
              <w:spacing w:after="0"/>
              <w:rPr>
                <w:sz w:val="20"/>
                <w:szCs w:val="20"/>
                <w:color w:val="auto"/>
              </w:rPr>
            </w:pPr>
          </w:p>
        </w:tc>
      </w:tr>
      <w:tr>
        <w:trPr>
          <w:trHeight w:val="243"/>
        </w:trPr>
        <w:tc>
          <w:tcPr>
            <w:tcW w:w="5840" w:type="dxa"/>
            <w:vAlign w:val="bottom"/>
          </w:tcPr>
          <w:p>
            <w:pPr>
              <w:ind w:left="4940"/>
              <w:spacing w:after="0"/>
              <w:rPr>
                <w:sz w:val="20"/>
                <w:szCs w:val="20"/>
                <w:color w:val="auto"/>
              </w:rPr>
            </w:pPr>
            <w:r>
              <w:rPr>
                <w:rFonts w:ascii="Times New Roman" w:cs="Times New Roman" w:eastAsia="Times New Roman" w:hAnsi="Times New Roman"/>
                <w:sz w:val="18"/>
                <w:szCs w:val="18"/>
                <w:color w:val="auto"/>
              </w:rPr>
              <w:t>Name:</w:t>
            </w: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Anthony Roth</w:t>
            </w:r>
          </w:p>
        </w:tc>
      </w:tr>
      <w:tr>
        <w:trPr>
          <w:trHeight w:val="257"/>
        </w:trPr>
        <w:tc>
          <w:tcPr>
            <w:tcW w:w="5840" w:type="dxa"/>
            <w:vAlign w:val="bottom"/>
          </w:tcPr>
          <w:p>
            <w:pPr>
              <w:ind w:left="4940"/>
              <w:spacing w:after="0"/>
              <w:rPr>
                <w:sz w:val="20"/>
                <w:szCs w:val="20"/>
                <w:color w:val="auto"/>
              </w:rPr>
            </w:pPr>
            <w:r>
              <w:rPr>
                <w:rFonts w:ascii="Times New Roman" w:cs="Times New Roman" w:eastAsia="Times New Roman" w:hAnsi="Times New Roman"/>
                <w:sz w:val="18"/>
                <w:szCs w:val="18"/>
                <w:color w:val="auto"/>
              </w:rPr>
              <w:t>Title:</w:t>
            </w: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Vice President, Controller and Chief Accounting Officer</w:t>
            </w:r>
          </w:p>
        </w:tc>
      </w:tr>
      <w:tr>
        <w:trPr>
          <w:trHeight w:val="256"/>
        </w:trPr>
        <w:tc>
          <w:tcPr>
            <w:tcW w:w="5840" w:type="dxa"/>
            <w:vAlign w:val="bottom"/>
          </w:tcPr>
          <w:p>
            <w:pPr>
              <w:spacing w:after="0"/>
              <w:rPr>
                <w:sz w:val="22"/>
                <w:szCs w:val="22"/>
                <w:color w:val="auto"/>
              </w:rPr>
            </w:pP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37</w:t>
      </w:r>
    </w:p>
    <w:p>
      <w:pPr>
        <w:sectPr>
          <w:pgSz w:w="11900" w:h="16838" w:orient="portrait"/>
          <w:cols w:equalWidth="0" w:num="1">
            <w:col w:w="11240"/>
          </w:cols>
          <w:pgMar w:left="320" w:top="226"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Amendment No. 2 to the Embecta Corp. 2022 Employee and Director Equity-Based Compensation Plan</w:t>
      </w:r>
    </w:p>
    <w:p>
      <w:pPr>
        <w:spacing w:after="0" w:line="17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This Amendment No. 2 (“Amendment No. 2”) to the Embecta Corp. 2022 Employee and Director Equity-Based Compensation Plan, as amended (the “2022 Plan”), is made effective as of the 11</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day of February, 2026, by Embecta Corporation, a Delaware corporation (the “Company”).</w:t>
      </w:r>
    </w:p>
    <w:p>
      <w:pPr>
        <w:spacing w:after="0" w:line="138"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20"/>
          <w:szCs w:val="20"/>
          <w:color w:val="auto"/>
        </w:rPr>
        <w:t>1.</w:t>
      </w:r>
      <w:r>
        <w:rPr>
          <w:sz w:val="20"/>
          <w:szCs w:val="20"/>
          <w:color w:val="auto"/>
        </w:rPr>
        <w:tab/>
      </w:r>
      <w:r>
        <w:rPr>
          <w:rFonts w:ascii="Times New Roman" w:cs="Times New Roman" w:eastAsia="Times New Roman" w:hAnsi="Times New Roman"/>
          <w:sz w:val="19"/>
          <w:szCs w:val="19"/>
          <w:color w:val="auto"/>
        </w:rPr>
        <w:t>Amendment to Section 5(a) of the 2022 Plan. Section 5(a) of the 2022 Plan is deleted in its entirety and replaced with the following:</w:t>
      </w:r>
    </w:p>
    <w:p>
      <w:pPr>
        <w:spacing w:after="0" w:line="175"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20"/>
          <w:szCs w:val="20"/>
          <w:color w:val="auto"/>
        </w:rPr>
        <w:t>The number of Shares available for issuance under the Plan is 12,619,000 Shares, which includes Shares subject to all Assumed Spin-Off Awards, subject to adjustment as provided below. Notwithstanding the foregoing and subject to adjustment as provided in Sections 5(e) and 5(f), the maximum number of Shares that may be granted pursuant to Stock Options intended to be Incentive Stock Options shall be 12,619,000 Shares. The maximum number of Shares available to be granted pursuant to Awards to any non-employee director under the Plan in any fiscal year of the Company shall be equal to $500,000 as of the applicable date of grant.</w:t>
      </w:r>
    </w:p>
    <w:p>
      <w:pPr>
        <w:spacing w:after="0" w:line="120"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20"/>
          <w:szCs w:val="20"/>
          <w:color w:val="auto"/>
        </w:rPr>
        <w:t>2.</w:t>
      </w:r>
      <w:r>
        <w:rPr>
          <w:sz w:val="20"/>
          <w:szCs w:val="20"/>
          <w:color w:val="auto"/>
        </w:rPr>
        <w:tab/>
      </w:r>
      <w:r>
        <w:rPr>
          <w:rFonts w:ascii="Times New Roman" w:cs="Times New Roman" w:eastAsia="Times New Roman" w:hAnsi="Times New Roman"/>
          <w:sz w:val="19"/>
          <w:szCs w:val="19"/>
          <w:color w:val="auto"/>
        </w:rPr>
        <w:t>Continued Effect. Except as set forth herein, the 2022 Plan shall remain unchanged and in full force and effect.</w:t>
      </w:r>
    </w:p>
    <w:p>
      <w:pPr>
        <w:sectPr>
          <w:pgSz w:w="11900" w:h="16838" w:orient="portrait"/>
          <w:cols w:equalWidth="0" w:num="1">
            <w:col w:w="11240"/>
          </w:cols>
          <w:pgMar w:left="320" w:top="135"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Devdatt Kurdikar, certify that:</w:t>
      </w:r>
    </w:p>
    <w:p>
      <w:pPr>
        <w:spacing w:after="0" w:line="144" w:lineRule="exact"/>
        <w:rPr>
          <w:sz w:val="20"/>
          <w:szCs w:val="20"/>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Embecta Corp.;</w:t>
      </w:r>
    </w:p>
    <w:p>
      <w:pPr>
        <w:spacing w:after="0" w:line="144" w:lineRule="exact"/>
        <w:rPr>
          <w:rFonts w:ascii="Times New Roman" w:cs="Times New Roman" w:eastAsia="Times New Roman" w:hAnsi="Times New Roman"/>
          <w:sz w:val="18"/>
          <w:szCs w:val="18"/>
          <w:color w:val="auto"/>
        </w:rPr>
      </w:pPr>
    </w:p>
    <w:p>
      <w:pPr>
        <w:jc w:val="both"/>
        <w:ind w:left="340" w:right="440" w:hanging="332"/>
        <w:spacing w:after="0" w:line="250"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9"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340" w:right="20" w:hanging="332"/>
        <w:spacing w:after="0" w:line="242"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Times New Roman" w:cs="Times New Roman" w:eastAsia="Times New Roman" w:hAnsi="Times New Roman"/>
          <w:sz w:val="18"/>
          <w:szCs w:val="18"/>
          <w:color w:val="auto"/>
        </w:rPr>
      </w:pPr>
    </w:p>
    <w:p>
      <w:pPr>
        <w:ind w:left="660" w:right="380" w:hanging="328"/>
        <w:spacing w:after="0" w:line="258" w:lineRule="auto"/>
        <w:tabs>
          <w:tab w:leader="none" w:pos="65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8" w:lineRule="exact"/>
        <w:rPr>
          <w:rFonts w:ascii="Times New Roman" w:cs="Times New Roman" w:eastAsia="Times New Roman" w:hAnsi="Times New Roman"/>
          <w:sz w:val="18"/>
          <w:szCs w:val="18"/>
          <w:color w:val="auto"/>
        </w:rPr>
      </w:pPr>
    </w:p>
    <w:p>
      <w:pPr>
        <w:ind w:left="660" w:right="60" w:hanging="328"/>
        <w:spacing w:after="0" w:line="242" w:lineRule="auto"/>
        <w:tabs>
          <w:tab w:leader="none" w:pos="65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Times New Roman" w:cs="Times New Roman" w:eastAsia="Times New Roman" w:hAnsi="Times New Roman"/>
          <w:sz w:val="18"/>
          <w:szCs w:val="18"/>
          <w:color w:val="auto"/>
        </w:rPr>
      </w:pPr>
    </w:p>
    <w:p>
      <w:pPr>
        <w:jc w:val="both"/>
        <w:ind w:left="660" w:right="860" w:hanging="328"/>
        <w:spacing w:after="0" w:line="296" w:lineRule="auto"/>
        <w:tabs>
          <w:tab w:leader="none" w:pos="657"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1" w:lineRule="exact"/>
        <w:rPr>
          <w:rFonts w:ascii="Times New Roman" w:cs="Times New Roman" w:eastAsia="Times New Roman" w:hAnsi="Times New Roman"/>
          <w:sz w:val="17"/>
          <w:szCs w:val="17"/>
          <w:color w:val="auto"/>
        </w:rPr>
      </w:pPr>
    </w:p>
    <w:p>
      <w:pPr>
        <w:ind w:left="660" w:right="80" w:hanging="328"/>
        <w:spacing w:after="0" w:line="258" w:lineRule="auto"/>
        <w:tabs>
          <w:tab w:leader="none" w:pos="65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1" w:lineRule="exact"/>
        <w:rPr>
          <w:rFonts w:ascii="Times New Roman" w:cs="Times New Roman" w:eastAsia="Times New Roman" w:hAnsi="Times New Roman"/>
          <w:sz w:val="18"/>
          <w:szCs w:val="18"/>
          <w:color w:val="auto"/>
        </w:rPr>
      </w:pPr>
    </w:p>
    <w:p>
      <w:pPr>
        <w:ind w:left="340" w:right="140" w:hanging="332"/>
        <w:spacing w:after="0" w:line="266"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0" w:lineRule="exact"/>
        <w:rPr>
          <w:rFonts w:ascii="Times New Roman" w:cs="Times New Roman" w:eastAsia="Times New Roman" w:hAnsi="Times New Roman"/>
          <w:sz w:val="18"/>
          <w:szCs w:val="18"/>
          <w:color w:val="auto"/>
        </w:rPr>
      </w:pPr>
    </w:p>
    <w:p>
      <w:pPr>
        <w:ind w:left="660" w:right="240" w:hanging="328"/>
        <w:spacing w:after="0" w:line="266" w:lineRule="auto"/>
        <w:tabs>
          <w:tab w:leader="none" w:pos="65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5, 2026</w:t>
      </w:r>
    </w:p>
    <w:p>
      <w:pPr>
        <w:spacing w:after="0" w:line="6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Devdatt Kurdikar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26035</wp:posOffset>
            </wp:positionV>
            <wp:extent cx="28543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4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Devdatt Kurdikar</w:t>
      </w:r>
    </w:p>
    <w:p>
      <w:pPr>
        <w:spacing w:after="0" w:line="5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927"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Jacob Elguicze, certify that:</w:t>
      </w:r>
    </w:p>
    <w:p>
      <w:pPr>
        <w:spacing w:after="0" w:line="144" w:lineRule="exact"/>
        <w:rPr>
          <w:sz w:val="20"/>
          <w:szCs w:val="20"/>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Embecta Corp.;</w:t>
      </w:r>
    </w:p>
    <w:p>
      <w:pPr>
        <w:spacing w:after="0" w:line="144" w:lineRule="exact"/>
        <w:rPr>
          <w:rFonts w:ascii="Times New Roman" w:cs="Times New Roman" w:eastAsia="Times New Roman" w:hAnsi="Times New Roman"/>
          <w:sz w:val="18"/>
          <w:szCs w:val="18"/>
          <w:color w:val="auto"/>
        </w:rPr>
      </w:pPr>
    </w:p>
    <w:p>
      <w:pPr>
        <w:jc w:val="both"/>
        <w:ind w:left="340" w:right="440" w:hanging="332"/>
        <w:spacing w:after="0" w:line="250"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9"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340" w:right="20" w:hanging="332"/>
        <w:spacing w:after="0" w:line="242"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Times New Roman" w:cs="Times New Roman" w:eastAsia="Times New Roman" w:hAnsi="Times New Roman"/>
          <w:sz w:val="18"/>
          <w:szCs w:val="18"/>
          <w:color w:val="auto"/>
        </w:rPr>
      </w:pPr>
    </w:p>
    <w:p>
      <w:pPr>
        <w:ind w:left="660" w:right="380" w:hanging="328"/>
        <w:spacing w:after="0" w:line="258" w:lineRule="auto"/>
        <w:tabs>
          <w:tab w:leader="none" w:pos="657"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1" w:lineRule="exact"/>
        <w:rPr>
          <w:rFonts w:ascii="Times New Roman" w:cs="Times New Roman" w:eastAsia="Times New Roman" w:hAnsi="Times New Roman"/>
          <w:sz w:val="18"/>
          <w:szCs w:val="18"/>
          <w:color w:val="auto"/>
        </w:rPr>
      </w:pPr>
    </w:p>
    <w:p>
      <w:pPr>
        <w:ind w:left="660" w:right="60" w:hanging="328"/>
        <w:spacing w:after="0" w:line="250" w:lineRule="auto"/>
        <w:tabs>
          <w:tab w:leader="none" w:pos="65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9"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7"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8" w:lineRule="exact"/>
        <w:rPr>
          <w:rFonts w:ascii="Times New Roman" w:cs="Times New Roman" w:eastAsia="Times New Roman" w:hAnsi="Times New Roman"/>
          <w:sz w:val="17"/>
          <w:szCs w:val="17"/>
          <w:color w:val="auto"/>
        </w:rPr>
      </w:pPr>
    </w:p>
    <w:p>
      <w:pPr>
        <w:ind w:left="660" w:right="80" w:hanging="328"/>
        <w:spacing w:after="0" w:line="250" w:lineRule="auto"/>
        <w:tabs>
          <w:tab w:leader="none" w:pos="65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9" w:lineRule="exact"/>
        <w:rPr>
          <w:rFonts w:ascii="Times New Roman" w:cs="Times New Roman" w:eastAsia="Times New Roman" w:hAnsi="Times New Roman"/>
          <w:sz w:val="18"/>
          <w:szCs w:val="18"/>
          <w:color w:val="auto"/>
        </w:rPr>
      </w:pPr>
    </w:p>
    <w:p>
      <w:pPr>
        <w:ind w:left="340" w:right="140" w:hanging="332"/>
        <w:spacing w:after="0" w:line="282"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0"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57"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8"/>
          <w:szCs w:val="18"/>
          <w:color w:val="auto"/>
        </w:rPr>
      </w:pPr>
    </w:p>
    <w:p>
      <w:pPr>
        <w:ind w:left="660" w:right="240" w:hanging="328"/>
        <w:spacing w:after="0" w:line="266" w:lineRule="auto"/>
        <w:tabs>
          <w:tab w:leader="none" w:pos="65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5, 2026</w:t>
      </w:r>
    </w:p>
    <w:p>
      <w:pPr>
        <w:spacing w:after="0" w:line="5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Jacob Elguicze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26035</wp:posOffset>
            </wp:positionV>
            <wp:extent cx="285432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line="4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Jacob Elguicze</w:t>
      </w:r>
    </w:p>
    <w:p>
      <w:pPr>
        <w:spacing w:after="0" w:line="5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927"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108" w:lineRule="exact"/>
        <w:rPr>
          <w:sz w:val="20"/>
          <w:szCs w:val="20"/>
          <w:color w:val="auto"/>
        </w:rPr>
      </w:pPr>
    </w:p>
    <w:p>
      <w:pPr>
        <w:ind w:right="140" w:firstLine="440"/>
        <w:spacing w:after="0" w:line="250" w:lineRule="auto"/>
        <w:rPr>
          <w:sz w:val="20"/>
          <w:szCs w:val="20"/>
          <w:color w:val="auto"/>
        </w:rPr>
      </w:pPr>
      <w:r>
        <w:rPr>
          <w:rFonts w:ascii="Times New Roman" w:cs="Times New Roman" w:eastAsia="Times New Roman" w:hAnsi="Times New Roman"/>
          <w:sz w:val="18"/>
          <w:szCs w:val="18"/>
          <w:color w:val="auto"/>
        </w:rPr>
        <w:t>Pursuant to 18 U.S.C. Section 1350, in connection with the Quarterly Report on Form 10-Q of Embecta Corp. for the quarter ended March 31, 2026 as filed with the Securities and Exchange Commission (the “Report”), I, Devdatt Kurdikar, the President and Chief Executive Officer of Embecta Corp., certify that, to the best of my knowledge:</w:t>
      </w:r>
    </w:p>
    <w:p>
      <w:pPr>
        <w:spacing w:after="0" w:line="109" w:lineRule="exact"/>
        <w:rPr>
          <w:sz w:val="20"/>
          <w:szCs w:val="20"/>
          <w:color w:val="auto"/>
        </w:rPr>
      </w:pPr>
    </w:p>
    <w:p>
      <w:pPr>
        <w:ind w:left="420" w:hanging="412"/>
        <w:spacing w:after="0"/>
        <w:tabs>
          <w:tab w:leader="none" w:pos="4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Report fully complies with the requirements of Section 13(a) or 15(d) of the Securities Exchange Act of 1934; and</w:t>
      </w:r>
    </w:p>
    <w:p>
      <w:pPr>
        <w:spacing w:after="0" w:line="90"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Embecta Corp.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5, 2026</w:t>
      </w:r>
    </w:p>
    <w:p>
      <w:pPr>
        <w:spacing w:after="0" w:line="26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Devdatt Kurdikar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17145</wp:posOffset>
            </wp:positionV>
            <wp:extent cx="285432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Devdatt Kurdikar</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927"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108" w:lineRule="exact"/>
        <w:rPr>
          <w:sz w:val="20"/>
          <w:szCs w:val="20"/>
          <w:color w:val="auto"/>
        </w:rPr>
      </w:pPr>
    </w:p>
    <w:p>
      <w:pPr>
        <w:jc w:val="both"/>
        <w:ind w:right="140" w:firstLine="440"/>
        <w:spacing w:after="0" w:line="250" w:lineRule="auto"/>
        <w:rPr>
          <w:sz w:val="20"/>
          <w:szCs w:val="20"/>
          <w:color w:val="auto"/>
        </w:rPr>
      </w:pPr>
      <w:r>
        <w:rPr>
          <w:rFonts w:ascii="Times New Roman" w:cs="Times New Roman" w:eastAsia="Times New Roman" w:hAnsi="Times New Roman"/>
          <w:sz w:val="18"/>
          <w:szCs w:val="18"/>
          <w:color w:val="auto"/>
        </w:rPr>
        <w:t>Pursuant to 18 U.S.C. Section 1350, in connection with the Quarterly Report on Form 10-Q of Embecta Corp. for the quarter ended March 31, 2026 as filed with the Securities and Exchange Commission (the “Report”), I, Jacob Elguicze, the Chief Financial Officer of Embecta Corp., certify that, to the best of my knowledge:</w:t>
      </w:r>
    </w:p>
    <w:p>
      <w:pPr>
        <w:spacing w:after="0" w:line="109" w:lineRule="exact"/>
        <w:rPr>
          <w:sz w:val="20"/>
          <w:szCs w:val="20"/>
          <w:color w:val="auto"/>
        </w:rPr>
      </w:pPr>
    </w:p>
    <w:p>
      <w:pPr>
        <w:ind w:left="420" w:hanging="412"/>
        <w:spacing w:after="0"/>
        <w:tabs>
          <w:tab w:leader="none" w:pos="4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Report fully complies with the requirements of Section 13(a) or 15(d) of the Securities Exchange Act of 1934; and</w:t>
      </w:r>
    </w:p>
    <w:p>
      <w:pPr>
        <w:spacing w:after="0" w:line="90"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Embecta Corp.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5, 2026</w:t>
      </w:r>
    </w:p>
    <w:p>
      <w:pPr>
        <w:spacing w:after="0" w:line="6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Jacob Elguicze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26035</wp:posOffset>
            </wp:positionV>
            <wp:extent cx="28543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4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Jacob Elguicze</w:t>
      </w:r>
    </w:p>
    <w:p>
      <w:pPr>
        <w:spacing w:after="0" w:line="5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sectPr>
      <w:pgSz w:w="11900" w:h="16838" w:orient="portrait"/>
      <w:cols w:equalWidth="0" w:num="1">
        <w:col w:w="11240"/>
      </w:cols>
      <w:pgMar w:left="320" w:top="9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1)"/>
      <w:numFmt w:val="decimal"/>
      <w:start w:val="2"/>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1)"/>
      <w:numFmt w:val="lowerLetter"/>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0" Type="http://schemas.openxmlformats.org/officeDocument/2006/relationships/hyperlink" Target="https://www.sec.gov/Archives/edgar/data/1872789/000094787126000310/ss6090062_ex02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2026-05-05T12:35:40Z</dcterms:created>
  <dcterms:modified xsi:type="dcterms:W3CDTF">2026-05-05T12:35:40Z</dcterms:modified>
</cp:coreProperties>
</file>