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260"/>
        <w:spacing w:after="0"/>
        <w:rPr>
          <w:sz w:val="20"/>
          <w:szCs w:val="20"/>
          <w:color w:val="auto"/>
        </w:rPr>
      </w:pPr>
      <w:r>
        <w:rPr>
          <w:rFonts w:ascii="Arial" w:cs="Arial" w:eastAsia="Arial" w:hAnsi="Arial"/>
          <w:sz w:val="32"/>
          <w:szCs w:val="32"/>
          <w:b w:val="1"/>
          <w:bCs w:val="1"/>
          <w:color w:val="auto"/>
        </w:rPr>
        <w:t>UNITED STATES</w:t>
      </w:r>
    </w:p>
    <w:p>
      <w:pPr>
        <w:jc w:val="center"/>
        <w:ind w:right="-260"/>
        <w:spacing w:after="0" w:line="224" w:lineRule="auto"/>
        <w:rPr>
          <w:sz w:val="20"/>
          <w:szCs w:val="20"/>
          <w:color w:val="auto"/>
        </w:rPr>
      </w:pPr>
      <w:r>
        <w:rPr>
          <w:rFonts w:ascii="Arial" w:cs="Arial" w:eastAsia="Arial" w:hAnsi="Arial"/>
          <w:sz w:val="32"/>
          <w:szCs w:val="32"/>
          <w:b w:val="1"/>
          <w:bCs w:val="1"/>
          <w:color w:val="auto"/>
        </w:rPr>
        <w:t>SECURITIES AND EXCHANGE COMMISSION</w:t>
      </w:r>
    </w:p>
    <w:p>
      <w:pPr>
        <w:ind w:left="3640"/>
        <w:spacing w:after="0" w:line="231" w:lineRule="auto"/>
        <w:rPr>
          <w:sz w:val="20"/>
          <w:szCs w:val="20"/>
          <w:color w:val="auto"/>
        </w:rPr>
      </w:pPr>
      <w:r>
        <w:rPr>
          <w:rFonts w:ascii="Arial" w:cs="Arial" w:eastAsia="Arial" w:hAnsi="Arial"/>
          <w:sz w:val="22"/>
          <w:szCs w:val="22"/>
          <w:b w:val="1"/>
          <w:bCs w:val="1"/>
          <w:color w:val="auto"/>
        </w:rPr>
        <w:t>Washington, D.C. 20549</w:t>
      </w:r>
    </w:p>
    <w:p>
      <w:pPr>
        <w:ind w:left="4720"/>
        <w:spacing w:after="0" w:line="202" w:lineRule="auto"/>
        <w:rPr>
          <w:sz w:val="20"/>
          <w:szCs w:val="20"/>
          <w:color w:val="auto"/>
        </w:rPr>
      </w:pPr>
      <w:r>
        <w:rPr>
          <w:rFonts w:ascii="Arial" w:cs="Arial" w:eastAsia="Arial" w:hAnsi="Arial"/>
          <w:sz w:val="22"/>
          <w:szCs w:val="22"/>
          <w:b w:val="1"/>
          <w:bCs w:val="1"/>
          <w:color w:val="auto"/>
        </w:rPr>
        <w:t> </w:t>
      </w:r>
    </w:p>
    <w:p>
      <w:pPr>
        <w:jc w:val="center"/>
        <w:ind w:right="-360"/>
        <w:spacing w:after="0"/>
        <w:rPr>
          <w:sz w:val="20"/>
          <w:szCs w:val="20"/>
          <w:color w:val="auto"/>
        </w:rPr>
      </w:pPr>
      <w:r>
        <w:rPr>
          <w:rFonts w:ascii="Arial" w:cs="Arial" w:eastAsia="Arial" w:hAnsi="Arial"/>
          <w:sz w:val="32"/>
          <w:szCs w:val="32"/>
          <w:b w:val="1"/>
          <w:bCs w:val="1"/>
          <w:color w:val="auto"/>
        </w:rPr>
        <w:t>SCHEDULE 14A</w:t>
      </w:r>
    </w:p>
    <w:p>
      <w:pPr>
        <w:spacing w:after="0" w:line="106" w:lineRule="exact"/>
        <w:rPr>
          <w:sz w:val="24"/>
          <w:szCs w:val="24"/>
          <w:color w:val="auto"/>
        </w:rPr>
      </w:pPr>
    </w:p>
    <w:p>
      <w:pPr>
        <w:jc w:val="center"/>
        <w:ind w:right="-300"/>
        <w:spacing w:after="0"/>
        <w:rPr>
          <w:sz w:val="20"/>
          <w:szCs w:val="20"/>
          <w:color w:val="auto"/>
        </w:rPr>
      </w:pPr>
      <w:r>
        <w:rPr>
          <w:rFonts w:ascii="Arial" w:cs="Arial" w:eastAsia="Arial" w:hAnsi="Arial"/>
          <w:sz w:val="20"/>
          <w:szCs w:val="20"/>
          <w:color w:val="auto"/>
        </w:rPr>
        <w:t>Proxy Statement Pursuant to Section 14(a) of the Securities</w:t>
      </w:r>
    </w:p>
    <w:p>
      <w:pPr>
        <w:spacing w:after="0" w:line="4" w:lineRule="exact"/>
        <w:rPr>
          <w:sz w:val="24"/>
          <w:szCs w:val="24"/>
          <w:color w:val="auto"/>
        </w:rPr>
      </w:pPr>
    </w:p>
    <w:p>
      <w:pPr>
        <w:jc w:val="center"/>
        <w:ind w:right="-360"/>
        <w:spacing w:after="0"/>
        <w:rPr>
          <w:sz w:val="20"/>
          <w:szCs w:val="20"/>
          <w:color w:val="auto"/>
        </w:rPr>
      </w:pPr>
      <w:r>
        <w:rPr>
          <w:rFonts w:ascii="Arial" w:cs="Arial" w:eastAsia="Arial" w:hAnsi="Arial"/>
          <w:sz w:val="20"/>
          <w:szCs w:val="20"/>
          <w:color w:val="auto"/>
        </w:rPr>
        <w:t>Exchange Act of 1934 (Amendment No.   )</w:t>
      </w:r>
    </w:p>
    <w:p>
      <w:pPr>
        <w:spacing w:after="0" w:line="17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0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17" w:lineRule="exact"/>
        <w:rPr>
          <w:sz w:val="24"/>
          <w:szCs w:val="24"/>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03"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8" w:lineRule="exact"/>
        <w:rPr>
          <w:sz w:val="24"/>
          <w:szCs w:val="24"/>
          <w:color w:val="auto"/>
        </w:rPr>
      </w:pPr>
    </w:p>
    <w:p>
      <w:pPr>
        <w:jc w:val="center"/>
        <w:ind w:right="-360"/>
        <w:spacing w:after="0"/>
        <w:rPr>
          <w:sz w:val="20"/>
          <w:szCs w:val="20"/>
          <w:color w:val="auto"/>
        </w:rPr>
      </w:pPr>
      <w:r>
        <w:rPr>
          <w:rFonts w:ascii="Arial" w:cs="Arial" w:eastAsia="Arial" w:hAnsi="Arial"/>
          <w:sz w:val="32"/>
          <w:szCs w:val="32"/>
          <w:b w:val="1"/>
          <w:bCs w:val="1"/>
          <w:color w:val="auto"/>
        </w:rPr>
        <w:t>Embecta Corp.</w:t>
      </w:r>
    </w:p>
    <w:p>
      <w:pPr>
        <w:spacing w:after="0" w:line="107" w:lineRule="exact"/>
        <w:rPr>
          <w:sz w:val="24"/>
          <w:szCs w:val="24"/>
          <w:color w:val="auto"/>
        </w:rPr>
      </w:pPr>
    </w:p>
    <w:p>
      <w:pPr>
        <w:jc w:val="center"/>
        <w:ind w:right="-300"/>
        <w:spacing w:after="0"/>
        <w:rPr>
          <w:sz w:val="20"/>
          <w:szCs w:val="20"/>
          <w:color w:val="auto"/>
        </w:rPr>
      </w:pPr>
      <w:r>
        <w:rPr>
          <w:rFonts w:ascii="Arial" w:cs="Arial" w:eastAsia="Arial" w:hAnsi="Arial"/>
          <w:sz w:val="16"/>
          <w:szCs w:val="16"/>
          <w:color w:val="auto"/>
        </w:rPr>
        <w:t>(Name of Registrant as Specified In Its Charter)</w:t>
      </w:r>
    </w:p>
    <w:p>
      <w:pPr>
        <w:spacing w:after="0" w:line="21"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144" w:lineRule="exact"/>
        <w:rPr>
          <w:sz w:val="24"/>
          <w:szCs w:val="24"/>
          <w:color w:val="auto"/>
        </w:rPr>
      </w:pPr>
    </w:p>
    <w:p>
      <w:pPr>
        <w:ind w:left="440" w:hanging="436"/>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196215</wp:posOffset>
            </wp:positionV>
            <wp:extent cx="61722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256540</wp:posOffset>
            </wp:positionV>
            <wp:extent cx="617220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384810</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102870</wp:posOffset>
            </wp:positionV>
            <wp:extent cx="2794635" cy="11315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94635" cy="1131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 xml:space="preserve">  </w:t>
      </w:r>
    </w:p>
    <w:p>
      <w:pPr>
        <w:spacing w:after="0" w:line="301" w:lineRule="exact"/>
        <w:rPr>
          <w:sz w:val="20"/>
          <w:szCs w:val="20"/>
          <w:color w:val="auto"/>
        </w:rPr>
      </w:pPr>
    </w:p>
    <w:p>
      <w:pPr>
        <w:ind w:left="300" w:right="3439"/>
        <w:spacing w:after="0" w:line="258" w:lineRule="auto"/>
        <w:rPr>
          <w:sz w:val="20"/>
          <w:szCs w:val="20"/>
          <w:color w:val="auto"/>
        </w:rPr>
      </w:pPr>
      <w:r>
        <w:rPr>
          <w:rFonts w:ascii="Arial" w:cs="Arial" w:eastAsia="Arial" w:hAnsi="Arial"/>
          <w:sz w:val="59"/>
          <w:szCs w:val="59"/>
          <w:color w:val="auto"/>
        </w:rPr>
        <w:t>2025 Notice of Annual Meeting and Proxy Statement</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32"/>
          <w:szCs w:val="32"/>
          <w:color w:val="auto"/>
        </w:rPr>
        <w:t>February 12, 2025 | 8:00 a.m. 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144145</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6" w:lineRule="exact"/>
        <w:rPr>
          <w:sz w:val="20"/>
          <w:szCs w:val="20"/>
          <w:color w:val="auto"/>
        </w:rPr>
      </w:pPr>
    </w:p>
    <w:p>
      <w:pPr>
        <w:ind w:left="300"/>
        <w:spacing w:after="0"/>
        <w:rPr>
          <w:sz w:val="20"/>
          <w:szCs w:val="20"/>
          <w:color w:val="auto"/>
        </w:rPr>
      </w:pPr>
      <w:r>
        <w:rPr>
          <w:rFonts w:ascii="Arial" w:cs="Arial" w:eastAsia="Arial" w:hAnsi="Arial"/>
          <w:sz w:val="43"/>
          <w:szCs w:val="43"/>
          <w:color w:val="342C82"/>
        </w:rPr>
        <w:t>Letter to our stockholders</w:t>
      </w:r>
    </w:p>
    <w:p>
      <w:pPr>
        <w:spacing w:after="0" w:line="297" w:lineRule="exact"/>
        <w:rPr>
          <w:sz w:val="20"/>
          <w:szCs w:val="20"/>
          <w:color w:val="auto"/>
        </w:rPr>
      </w:pPr>
    </w:p>
    <w:p>
      <w:pPr>
        <w:ind w:left="300"/>
        <w:spacing w:after="0"/>
        <w:rPr>
          <w:sz w:val="20"/>
          <w:szCs w:val="20"/>
          <w:color w:val="auto"/>
        </w:rPr>
      </w:pPr>
      <w:r>
        <w:rPr>
          <w:rFonts w:ascii="Arial" w:cs="Arial" w:eastAsia="Arial" w:hAnsi="Arial"/>
          <w:sz w:val="15"/>
          <w:szCs w:val="15"/>
          <w:b w:val="1"/>
          <w:bCs w:val="1"/>
          <w:color w:val="auto"/>
        </w:rPr>
        <w:t>Embecta Corp.</w:t>
      </w:r>
    </w:p>
    <w:p>
      <w:pPr>
        <w:ind w:left="300"/>
        <w:spacing w:after="0" w:line="233" w:lineRule="auto"/>
        <w:rPr>
          <w:sz w:val="20"/>
          <w:szCs w:val="20"/>
          <w:color w:val="auto"/>
        </w:rPr>
      </w:pPr>
      <w:r>
        <w:rPr>
          <w:rFonts w:ascii="Arial" w:cs="Arial" w:eastAsia="Arial" w:hAnsi="Arial"/>
          <w:sz w:val="15"/>
          <w:szCs w:val="15"/>
          <w:color w:val="auto"/>
        </w:rPr>
        <w:t>300 Kimball Drive, Ste 300</w:t>
      </w:r>
    </w:p>
    <w:p>
      <w:pPr>
        <w:ind w:left="300"/>
        <w:spacing w:after="0" w:line="225" w:lineRule="auto"/>
        <w:rPr>
          <w:sz w:val="20"/>
          <w:szCs w:val="20"/>
          <w:color w:val="auto"/>
        </w:rPr>
      </w:pPr>
      <w:r>
        <w:rPr>
          <w:rFonts w:ascii="Arial" w:cs="Arial" w:eastAsia="Arial" w:hAnsi="Arial"/>
          <w:sz w:val="15"/>
          <w:szCs w:val="15"/>
          <w:color w:val="auto"/>
        </w:rPr>
        <w:t>Parsippany, New Jersey 07054</w:t>
      </w:r>
    </w:p>
    <w:p>
      <w:pPr>
        <w:ind w:left="300"/>
        <w:spacing w:after="0"/>
        <w:rPr>
          <w:sz w:val="20"/>
          <w:szCs w:val="20"/>
          <w:color w:val="auto"/>
        </w:rPr>
      </w:pPr>
      <w:r>
        <w:rPr>
          <w:rFonts w:ascii="Arial" w:cs="Arial" w:eastAsia="Arial" w:hAnsi="Arial"/>
          <w:sz w:val="15"/>
          <w:szCs w:val="15"/>
          <w:color w:val="auto"/>
        </w:rPr>
        <w:t>www.embecta.com</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December 19, 2024</w:t>
      </w:r>
    </w:p>
    <w:p>
      <w:pPr>
        <w:spacing w:after="0" w:line="208"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Dear fellow stockholders,</w:t>
      </w:r>
    </w:p>
    <w:p>
      <w:pPr>
        <w:spacing w:after="0" w:line="154" w:lineRule="exact"/>
        <w:rPr>
          <w:sz w:val="20"/>
          <w:szCs w:val="20"/>
          <w:color w:val="auto"/>
        </w:rPr>
      </w:pPr>
    </w:p>
    <w:p>
      <w:pPr>
        <w:ind w:left="300" w:right="319"/>
        <w:spacing w:after="0" w:line="248" w:lineRule="auto"/>
        <w:rPr>
          <w:sz w:val="20"/>
          <w:szCs w:val="20"/>
          <w:color w:val="auto"/>
        </w:rPr>
      </w:pPr>
      <w:r>
        <w:rPr>
          <w:rFonts w:ascii="Arial" w:cs="Arial" w:eastAsia="Arial" w:hAnsi="Arial"/>
          <w:sz w:val="16"/>
          <w:szCs w:val="16"/>
          <w:color w:val="auto"/>
        </w:rPr>
        <w:t>I’m pleased to invite you to attend the 2025 Annual Meeting of Stockholders (2025 Annual Meeting) of Embecta Corp. (Embecta), to be held at 8:00 a.m. ET on February 12, 2025, at the Hilton Short Hills, 41 John F. Kennedy Parkway, Short Hills, New Jersey.</w:t>
      </w:r>
    </w:p>
    <w:p>
      <w:pPr>
        <w:spacing w:after="0" w:line="132" w:lineRule="exact"/>
        <w:rPr>
          <w:sz w:val="20"/>
          <w:szCs w:val="20"/>
          <w:color w:val="auto"/>
        </w:rPr>
      </w:pPr>
    </w:p>
    <w:p>
      <w:pPr>
        <w:ind w:left="300" w:right="439"/>
        <w:spacing w:after="0" w:line="248" w:lineRule="auto"/>
        <w:rPr>
          <w:sz w:val="20"/>
          <w:szCs w:val="20"/>
          <w:color w:val="auto"/>
        </w:rPr>
      </w:pPr>
      <w:r>
        <w:rPr>
          <w:rFonts w:ascii="Arial" w:cs="Arial" w:eastAsia="Arial" w:hAnsi="Arial"/>
          <w:sz w:val="16"/>
          <w:szCs w:val="16"/>
          <w:color w:val="auto"/>
        </w:rPr>
        <w:t>Since becoming an independent company, our global team has focused their efforts on strengthening our core business, continuing the process of separating and standing up Embecta as an independent company and investing for growth.</w:t>
      </w:r>
    </w:p>
    <w:p>
      <w:pPr>
        <w:spacing w:after="0" w:line="132" w:lineRule="exact"/>
        <w:rPr>
          <w:sz w:val="20"/>
          <w:szCs w:val="20"/>
          <w:color w:val="auto"/>
        </w:rPr>
      </w:pPr>
    </w:p>
    <w:p>
      <w:pPr>
        <w:ind w:left="300" w:right="399"/>
        <w:spacing w:after="0" w:line="243" w:lineRule="auto"/>
        <w:rPr>
          <w:sz w:val="20"/>
          <w:szCs w:val="20"/>
          <w:color w:val="auto"/>
        </w:rPr>
      </w:pPr>
      <w:r>
        <w:rPr>
          <w:rFonts w:ascii="Arial" w:cs="Arial" w:eastAsia="Arial" w:hAnsi="Arial"/>
          <w:sz w:val="16"/>
          <w:szCs w:val="16"/>
          <w:color w:val="auto"/>
        </w:rPr>
        <w:t>Our core business has remained stable thanks to our long-standing reputation for safe, reliable, and cost-effective injection devices, and we are proud to be a trusted provider of educational resources for clinicians, caregivers and people with diabetes. Meanwhile, we made tremendous progress in setting up our own systems and processes, with all three of our manufacturing sites — and about 98 percent of our revenue — operating on Embecta’s own systems and utilizing our own newly established distribution network and shared services infrastructure.</w:t>
      </w:r>
    </w:p>
    <w:p>
      <w:pPr>
        <w:spacing w:after="0" w:line="122" w:lineRule="exact"/>
        <w:rPr>
          <w:sz w:val="20"/>
          <w:szCs w:val="20"/>
          <w:color w:val="auto"/>
        </w:rPr>
      </w:pPr>
    </w:p>
    <w:p>
      <w:pPr>
        <w:ind w:left="300" w:right="379"/>
        <w:spacing w:after="0" w:line="241" w:lineRule="auto"/>
        <w:rPr>
          <w:sz w:val="20"/>
          <w:szCs w:val="20"/>
          <w:color w:val="auto"/>
        </w:rPr>
      </w:pPr>
      <w:r>
        <w:rPr>
          <w:rFonts w:ascii="Arial" w:cs="Arial" w:eastAsia="Arial" w:hAnsi="Arial"/>
          <w:sz w:val="16"/>
          <w:szCs w:val="16"/>
          <w:color w:val="auto"/>
        </w:rPr>
        <w:t>We identified growth opportunities in key markets by building partnerships that leverage our local commercial organizations to offer customers a broader suite of products that may address critical needs for the people with diabetes they serve. Embecta also filed its first 510(k) submission and received subsequent clearance for such submission from the U.S. Food and Drug Administration (FDA) for our proprietary disposable insulin delivery system. While we ultimately decided to concentrate our resources on our core business and discontinue our insulin patch pump program, achieving FDA clearance represented a significant achievement by the team that developed this innovative and differentiated product.</w:t>
      </w:r>
    </w:p>
    <w:p>
      <w:pPr>
        <w:spacing w:after="0" w:line="138" w:lineRule="exact"/>
        <w:rPr>
          <w:sz w:val="20"/>
          <w:szCs w:val="20"/>
          <w:color w:val="auto"/>
        </w:rPr>
      </w:pPr>
    </w:p>
    <w:p>
      <w:pPr>
        <w:ind w:left="300" w:right="379"/>
        <w:spacing w:after="0"/>
        <w:rPr>
          <w:sz w:val="20"/>
          <w:szCs w:val="20"/>
          <w:color w:val="auto"/>
        </w:rPr>
      </w:pPr>
      <w:r>
        <w:rPr>
          <w:rFonts w:ascii="Arial" w:cs="Arial" w:eastAsia="Arial" w:hAnsi="Arial"/>
          <w:sz w:val="16"/>
          <w:szCs w:val="16"/>
          <w:color w:val="auto"/>
        </w:rPr>
        <w:t>Building on this record of accomplishment, our focus now moves to the next phase of Embecta’s transformation back to growth. In Fiscal 2025, we will begin to execute a comprehensive brand transition plan, starting with North America. We will continue work to identify new areas to expand our reach and increase our impact, leveraging our core strengths in our global commercial channel and in high-volume, high-quality manufacturing. And we are committed to our goal of refining our processes, eliminating inefficiencies, and optimizing every aspect of our operations to ensure we remain lean, agile, and ready to adapt. By reducing net leverage and debt, we intend to create a stronger financial base that enables us to make future strategic investments and remain resilient, regardless of market conditions.</w:t>
      </w:r>
    </w:p>
    <w:p>
      <w:pPr>
        <w:spacing w:after="0" w:line="305" w:lineRule="exact"/>
        <w:rPr>
          <w:sz w:val="20"/>
          <w:szCs w:val="20"/>
          <w:color w:val="auto"/>
        </w:rPr>
      </w:pPr>
    </w:p>
    <w:p>
      <w:pPr>
        <w:ind w:left="300" w:right="919"/>
        <w:spacing w:after="0" w:line="286" w:lineRule="auto"/>
        <w:rPr>
          <w:sz w:val="20"/>
          <w:szCs w:val="20"/>
          <w:color w:val="auto"/>
        </w:rPr>
      </w:pPr>
      <w:r>
        <w:rPr>
          <w:rFonts w:ascii="Arial" w:cs="Arial" w:eastAsia="Arial" w:hAnsi="Arial"/>
          <w:sz w:val="16"/>
          <w:szCs w:val="16"/>
          <w:color w:val="auto"/>
        </w:rPr>
        <w:t>Our approximately 2,000 employees around the world have accomplished so much in the short time since we became an independent company, and they are eager to have an even greater impact in the year ahead.</w:t>
      </w:r>
    </w:p>
    <w:p>
      <w:pPr>
        <w:spacing w:after="0" w:line="88" w:lineRule="exact"/>
        <w:rPr>
          <w:sz w:val="20"/>
          <w:szCs w:val="20"/>
          <w:color w:val="auto"/>
        </w:rPr>
      </w:pPr>
    </w:p>
    <w:p>
      <w:pPr>
        <w:ind w:left="300" w:right="379"/>
        <w:spacing w:after="0" w:line="243" w:lineRule="auto"/>
        <w:rPr>
          <w:sz w:val="20"/>
          <w:szCs w:val="20"/>
          <w:color w:val="auto"/>
        </w:rPr>
      </w:pPr>
      <w:r>
        <w:rPr>
          <w:rFonts w:ascii="Arial" w:cs="Arial" w:eastAsia="Arial" w:hAnsi="Arial"/>
          <w:sz w:val="16"/>
          <w:szCs w:val="16"/>
          <w:color w:val="auto"/>
        </w:rPr>
        <w:t>The accompanying notice of meeting and proxy statement describe the matters to be acted upon at our 2025 Annual Meeting, and we also plan to report on matters of interest to Embecta stockholders. Whether or not you plan to join us in person, please take the time to vote so that your shares will be represented and voted at the meeting. You may vote by proxy online or by telephone, by completing and mailing the enclosed proxy card in the return envelope provided, or in person at the meeting.</w:t>
      </w:r>
    </w:p>
    <w:p>
      <w:pPr>
        <w:spacing w:after="0" w:line="122" w:lineRule="exact"/>
        <w:rPr>
          <w:sz w:val="20"/>
          <w:szCs w:val="20"/>
          <w:color w:val="auto"/>
        </w:rPr>
      </w:pPr>
    </w:p>
    <w:p>
      <w:pPr>
        <w:ind w:left="300" w:right="539"/>
        <w:spacing w:after="0" w:line="286" w:lineRule="auto"/>
        <w:rPr>
          <w:sz w:val="20"/>
          <w:szCs w:val="20"/>
          <w:color w:val="auto"/>
        </w:rPr>
      </w:pPr>
      <w:r>
        <w:rPr>
          <w:rFonts w:ascii="Arial" w:cs="Arial" w:eastAsia="Arial" w:hAnsi="Arial"/>
          <w:sz w:val="16"/>
          <w:szCs w:val="16"/>
          <w:color w:val="auto"/>
        </w:rPr>
        <w:t>Thank you for your continued interest in Embecta and supporting us as we add to the rich legacy of a 100-year-old business that has made a difference in countless lives.</w:t>
      </w:r>
    </w:p>
    <w:p>
      <w:pPr>
        <w:spacing w:after="0" w:line="11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200660</wp:posOffset>
            </wp:positionV>
            <wp:extent cx="934085" cy="274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3408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 xml:space="preserve">  </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Devdatt (Dev) Kurdikar</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President and Chief Executive Officer</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132080</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6" w:lineRule="exact"/>
        <w:rPr>
          <w:sz w:val="20"/>
          <w:szCs w:val="20"/>
          <w:color w:val="auto"/>
        </w:rPr>
      </w:pPr>
    </w:p>
    <w:p>
      <w:pPr>
        <w:ind w:left="300"/>
        <w:spacing w:after="0"/>
        <w:rPr>
          <w:sz w:val="20"/>
          <w:szCs w:val="20"/>
          <w:color w:val="auto"/>
        </w:rPr>
      </w:pPr>
      <w:r>
        <w:rPr>
          <w:rFonts w:ascii="Arial" w:cs="Arial" w:eastAsia="Arial" w:hAnsi="Arial"/>
          <w:sz w:val="43"/>
          <w:szCs w:val="43"/>
          <w:color w:val="342C82"/>
        </w:rPr>
        <w:t>Notice of annual meeting of stockholders</w:t>
      </w:r>
    </w:p>
    <w:p>
      <w:pPr>
        <w:spacing w:after="0" w:line="248" w:lineRule="exact"/>
        <w:rPr>
          <w:sz w:val="20"/>
          <w:szCs w:val="20"/>
          <w:color w:val="auto"/>
        </w:rPr>
      </w:pPr>
    </w:p>
    <w:p>
      <w:pPr>
        <w:ind w:left="3820"/>
        <w:spacing w:after="0"/>
        <w:rPr>
          <w:sz w:val="20"/>
          <w:szCs w:val="20"/>
          <w:color w:val="auto"/>
        </w:rPr>
      </w:pPr>
      <w:r>
        <w:rPr>
          <w:rFonts w:ascii="Arial" w:cs="Arial" w:eastAsia="Arial" w:hAnsi="Arial"/>
          <w:sz w:val="16"/>
          <w:szCs w:val="16"/>
          <w:b w:val="1"/>
          <w:bCs w:val="1"/>
          <w:color w:val="auto"/>
        </w:rPr>
        <w:t>February 12, 2025</w:t>
      </w:r>
    </w:p>
    <w:p>
      <w:pPr>
        <w:spacing w:after="0" w:line="154" w:lineRule="exact"/>
        <w:rPr>
          <w:sz w:val="20"/>
          <w:szCs w:val="20"/>
          <w:color w:val="auto"/>
        </w:rPr>
      </w:pPr>
    </w:p>
    <w:p>
      <w:pPr>
        <w:ind w:left="3600"/>
        <w:spacing w:after="0"/>
        <w:rPr>
          <w:sz w:val="20"/>
          <w:szCs w:val="20"/>
          <w:color w:val="auto"/>
        </w:rPr>
      </w:pPr>
      <w:r>
        <w:rPr>
          <w:rFonts w:ascii="Arial" w:cs="Arial" w:eastAsia="Arial" w:hAnsi="Arial"/>
          <w:sz w:val="16"/>
          <w:szCs w:val="16"/>
          <w:b w:val="1"/>
          <w:bCs w:val="1"/>
          <w:color w:val="auto"/>
        </w:rPr>
        <w:t>8:00 a.m. Eastern Time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Location: Hilton Short Hills, 41 John F. Kennedy Parkway, Short Hills, New Jersey</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Record Date: December 16, 2024</w:t>
      </w:r>
    </w:p>
    <w:p>
      <w:pPr>
        <w:spacing w:after="0" w:line="167" w:lineRule="exact"/>
        <w:rPr>
          <w:sz w:val="20"/>
          <w:szCs w:val="20"/>
          <w:color w:val="auto"/>
        </w:rPr>
      </w:pPr>
    </w:p>
    <w:p>
      <w:pPr>
        <w:ind w:left="300" w:right="519"/>
        <w:spacing w:after="0" w:line="266" w:lineRule="auto"/>
        <w:rPr>
          <w:sz w:val="20"/>
          <w:szCs w:val="20"/>
          <w:color w:val="auto"/>
        </w:rPr>
      </w:pPr>
      <w:r>
        <w:rPr>
          <w:rFonts w:ascii="Arial" w:cs="Arial" w:eastAsia="Arial" w:hAnsi="Arial"/>
          <w:sz w:val="16"/>
          <w:szCs w:val="16"/>
          <w:color w:val="auto"/>
        </w:rPr>
        <w:t>The Annual Meeting of Stockholders of Embecta Corp., a Delaware corporation (“Embecta” or the “Company”), will be held on Wednesday, February 12, 2025, at 8:00 a.m. Eastern Time (“ET”), at Hilton Short Hills, 41 John F. Kennedy Parkway, Short Hills, New Jersey (the “2025 Annual Meeting”).</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At the 2025 Annual Meeting, stockholders will consider and act upon the following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106680</wp:posOffset>
            </wp:positionV>
            <wp:extent cx="53492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63" w:lineRule="exact"/>
        <w:rPr>
          <w:sz w:val="20"/>
          <w:szCs w:val="20"/>
          <w:color w:val="auto"/>
        </w:rPr>
      </w:pPr>
    </w:p>
    <w:p>
      <w:pPr>
        <w:ind w:left="800" w:hanging="360"/>
        <w:spacing w:after="0"/>
        <w:tabs>
          <w:tab w:leader="none" w:pos="80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The election as directors of the three nominees named in the attached proxy statement for a one-year term</w:t>
      </w:r>
    </w:p>
    <w:p>
      <w:pPr>
        <w:spacing w:after="0" w:line="72" w:lineRule="exact"/>
        <w:rPr>
          <w:rFonts w:ascii="Arial" w:cs="Arial" w:eastAsia="Arial" w:hAnsi="Arial"/>
          <w:sz w:val="16"/>
          <w:szCs w:val="16"/>
          <w:b w:val="1"/>
          <w:bCs w:val="1"/>
          <w:color w:val="auto"/>
        </w:rPr>
      </w:pPr>
    </w:p>
    <w:p>
      <w:pPr>
        <w:ind w:left="800" w:hanging="360"/>
        <w:spacing w:after="0"/>
        <w:tabs>
          <w:tab w:leader="none" w:pos="80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The ratification of the selection of the independent registered public accounting firm</w:t>
      </w:r>
    </w:p>
    <w:p>
      <w:pPr>
        <w:spacing w:after="0" w:line="72" w:lineRule="exact"/>
        <w:rPr>
          <w:rFonts w:ascii="Arial" w:cs="Arial" w:eastAsia="Arial" w:hAnsi="Arial"/>
          <w:sz w:val="16"/>
          <w:szCs w:val="16"/>
          <w:b w:val="1"/>
          <w:bCs w:val="1"/>
          <w:color w:val="auto"/>
        </w:rPr>
      </w:pPr>
    </w:p>
    <w:p>
      <w:pPr>
        <w:ind w:left="800" w:hanging="360"/>
        <w:spacing w:after="0"/>
        <w:tabs>
          <w:tab w:leader="none" w:pos="80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An advisory vote to approve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114935</wp:posOffset>
            </wp:positionV>
            <wp:extent cx="53492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377" w:lineRule="exact"/>
        <w:rPr>
          <w:sz w:val="20"/>
          <w:szCs w:val="20"/>
          <w:color w:val="auto"/>
        </w:rPr>
      </w:pPr>
    </w:p>
    <w:p>
      <w:pPr>
        <w:ind w:left="300" w:right="499"/>
        <w:spacing w:after="0" w:line="266" w:lineRule="auto"/>
        <w:rPr>
          <w:sz w:val="20"/>
          <w:szCs w:val="20"/>
          <w:color w:val="auto"/>
        </w:rPr>
      </w:pPr>
      <w:r>
        <w:rPr>
          <w:rFonts w:ascii="Arial" w:cs="Arial" w:eastAsia="Arial" w:hAnsi="Arial"/>
          <w:sz w:val="16"/>
          <w:szCs w:val="16"/>
          <w:color w:val="auto"/>
        </w:rPr>
        <w:t>We will also transact such other business as may properly come before the meeting, or any adjournment or postponement thereof. These proxy materials are being mailed or otherwise sent to shareholders of Embecta on or about December 19, 2024.</w:t>
      </w:r>
    </w:p>
    <w:p>
      <w:pPr>
        <w:spacing w:after="0" w:line="117" w:lineRule="exact"/>
        <w:rPr>
          <w:sz w:val="20"/>
          <w:szCs w:val="20"/>
          <w:color w:val="auto"/>
        </w:rPr>
      </w:pPr>
    </w:p>
    <w:p>
      <w:pPr>
        <w:ind w:left="300" w:right="439"/>
        <w:spacing w:after="0" w:line="286" w:lineRule="auto"/>
        <w:rPr>
          <w:sz w:val="20"/>
          <w:szCs w:val="20"/>
          <w:color w:val="auto"/>
        </w:rPr>
      </w:pPr>
      <w:r>
        <w:rPr>
          <w:rFonts w:ascii="Arial" w:cs="Arial" w:eastAsia="Arial" w:hAnsi="Arial"/>
          <w:sz w:val="16"/>
          <w:szCs w:val="16"/>
          <w:color w:val="auto"/>
        </w:rPr>
        <w:t>Stockholders of record as of the close of business on December 16, 2024, are entitled to notice of and to vote at the 2025 Annual Meeting (or any adjournment or postponement thereof).</w:t>
      </w:r>
    </w:p>
    <w:p>
      <w:pPr>
        <w:spacing w:after="0" w:line="14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166370</wp:posOffset>
            </wp:positionV>
            <wp:extent cx="651510" cy="2400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51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 xml:space="preserve">  </w:t>
      </w:r>
    </w:p>
    <w:p>
      <w:pPr>
        <w:spacing w:after="0" w:line="154"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Jeff Mann</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Senior Vice President, General Counsel and Product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96520</wp:posOffset>
            </wp:positionV>
            <wp:extent cx="53492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48"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123825</wp:posOffset>
            </wp:positionV>
            <wp:extent cx="411480" cy="3771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11480" cy="377190"/>
                    </a:xfrm>
                    <a:prstGeom prst="rect">
                      <a:avLst/>
                    </a:prstGeom>
                    <a:noFill/>
                  </pic:spPr>
                </pic:pic>
              </a:graphicData>
            </a:graphic>
          </wp:anchor>
        </w:drawing>
        <w:drawing>
          <wp:anchor simplePos="0" relativeHeight="251657728" behindDoc="1" locked="0" layoutInCell="0" allowOverlap="1">
            <wp:simplePos x="0" y="0"/>
            <wp:positionH relativeFrom="column">
              <wp:posOffset>4488815</wp:posOffset>
            </wp:positionH>
            <wp:positionV relativeFrom="paragraph">
              <wp:posOffset>217805</wp:posOffset>
            </wp:positionV>
            <wp:extent cx="386080" cy="316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86080"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460" w:type="dxa"/>
        <w:tblCellMar>
          <w:top w:w="0" w:type="dxa"/>
          <w:left w:w="0" w:type="dxa"/>
          <w:bottom w:w="0" w:type="dxa"/>
          <w:right w:w="0" w:type="dxa"/>
        </w:tblCellMar>
      </w:tblPr>
      <w:tr>
        <w:trPr>
          <w:trHeight w:val="215"/>
        </w:trPr>
        <w:tc>
          <w:tcPr>
            <w:tcW w:w="2800" w:type="dxa"/>
            <w:vAlign w:val="bottom"/>
          </w:tcPr>
          <w:p>
            <w:pPr>
              <w:spacing w:after="0"/>
              <w:rPr>
                <w:sz w:val="20"/>
                <w:szCs w:val="20"/>
                <w:color w:val="auto"/>
              </w:rPr>
            </w:pPr>
            <w:r>
              <w:rPr>
                <w:rFonts w:ascii="Arial" w:cs="Arial" w:eastAsia="Arial" w:hAnsi="Arial"/>
                <w:sz w:val="16"/>
                <w:szCs w:val="16"/>
                <w:color w:val="auto"/>
              </w:rPr>
              <w:t xml:space="preserve">  </w:t>
            </w:r>
          </w:p>
        </w:tc>
        <w:tc>
          <w:tcPr>
            <w:tcW w:w="2400" w:type="dxa"/>
            <w:vAlign w:val="bottom"/>
            <w:vMerge w:val="restart"/>
          </w:tcPr>
          <w:p>
            <w:pPr>
              <w:ind w:left="160"/>
              <w:spacing w:after="0"/>
              <w:rPr>
                <w:sz w:val="20"/>
                <w:szCs w:val="20"/>
                <w:color w:val="auto"/>
              </w:rPr>
            </w:pPr>
            <w:r>
              <w:rPr>
                <w:rFonts w:ascii="Arial" w:cs="Arial" w:eastAsia="Arial" w:hAnsi="Arial"/>
                <w:sz w:val="16"/>
                <w:szCs w:val="16"/>
                <w:color w:val="auto"/>
              </w:rPr>
              <w:t xml:space="preserve">  </w:t>
            </w:r>
          </w:p>
        </w:tc>
        <w:tc>
          <w:tcPr>
            <w:tcW w:w="2420" w:type="dxa"/>
            <w:vAlign w:val="bottom"/>
            <w:vMerge w:val="restart"/>
          </w:tcPr>
          <w:p>
            <w:pPr>
              <w:ind w:left="460"/>
              <w:spacing w:after="0"/>
              <w:rPr>
                <w:sz w:val="20"/>
                <w:szCs w:val="20"/>
                <w:color w:val="auto"/>
              </w:rPr>
            </w:pP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54"/>
        </w:trPr>
        <w:tc>
          <w:tcPr>
            <w:tcW w:w="2800" w:type="dxa"/>
            <w:vAlign w:val="bottom"/>
          </w:tcPr>
          <w:p>
            <w:pPr>
              <w:spacing w:after="0"/>
              <w:rPr>
                <w:sz w:val="4"/>
                <w:szCs w:val="4"/>
                <w:color w:val="auto"/>
              </w:rPr>
            </w:pPr>
          </w:p>
        </w:tc>
        <w:tc>
          <w:tcPr>
            <w:tcW w:w="2400" w:type="dxa"/>
            <w:vAlign w:val="bottom"/>
            <w:vMerge w:val="continue"/>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800" w:type="dxa"/>
            <w:vAlign w:val="bottom"/>
          </w:tcPr>
          <w:p>
            <w:pPr>
              <w:jc w:val="center"/>
              <w:ind w:right="39"/>
              <w:spacing w:after="0"/>
              <w:rPr>
                <w:sz w:val="20"/>
                <w:szCs w:val="20"/>
                <w:color w:val="auto"/>
              </w:rPr>
            </w:pPr>
            <w:r>
              <w:rPr>
                <w:rFonts w:ascii="Arial" w:cs="Arial" w:eastAsia="Arial" w:hAnsi="Arial"/>
                <w:sz w:val="16"/>
                <w:szCs w:val="16"/>
                <w:b w:val="1"/>
                <w:bCs w:val="1"/>
                <w:color w:val="auto"/>
                <w:w w:val="99"/>
              </w:rPr>
              <w:t>By Mail</w:t>
            </w:r>
          </w:p>
        </w:tc>
        <w:tc>
          <w:tcPr>
            <w:tcW w:w="2400" w:type="dxa"/>
            <w:vAlign w:val="bottom"/>
          </w:tcPr>
          <w:p>
            <w:pPr>
              <w:ind w:left="880"/>
              <w:spacing w:after="0"/>
              <w:rPr>
                <w:sz w:val="20"/>
                <w:szCs w:val="20"/>
                <w:color w:val="auto"/>
              </w:rPr>
            </w:pPr>
            <w:r>
              <w:rPr>
                <w:rFonts w:ascii="Arial" w:cs="Arial" w:eastAsia="Arial" w:hAnsi="Arial"/>
                <w:sz w:val="16"/>
                <w:szCs w:val="16"/>
                <w:b w:val="1"/>
                <w:bCs w:val="1"/>
                <w:color w:val="auto"/>
              </w:rPr>
              <w:t>By Telephone</w:t>
            </w:r>
          </w:p>
        </w:tc>
        <w:tc>
          <w:tcPr>
            <w:tcW w:w="2420" w:type="dxa"/>
            <w:vAlign w:val="bottom"/>
          </w:tcPr>
          <w:p>
            <w:pPr>
              <w:jc w:val="center"/>
              <w:ind w:left="879"/>
              <w:spacing w:after="0"/>
              <w:rPr>
                <w:sz w:val="20"/>
                <w:szCs w:val="20"/>
                <w:color w:val="auto"/>
              </w:rPr>
            </w:pPr>
            <w:r>
              <w:rPr>
                <w:rFonts w:ascii="Arial" w:cs="Arial" w:eastAsia="Arial" w:hAnsi="Arial"/>
                <w:sz w:val="16"/>
                <w:szCs w:val="16"/>
                <w:b w:val="1"/>
                <w:bCs w:val="1"/>
                <w:color w:val="auto"/>
              </w:rPr>
              <w:t>Online</w:t>
            </w:r>
          </w:p>
        </w:tc>
        <w:tc>
          <w:tcPr>
            <w:tcW w:w="0" w:type="dxa"/>
            <w:vAlign w:val="bottom"/>
          </w:tcPr>
          <w:p>
            <w:pPr>
              <w:spacing w:after="0"/>
              <w:rPr>
                <w:sz w:val="1"/>
                <w:szCs w:val="1"/>
                <w:color w:val="auto"/>
              </w:rPr>
            </w:pPr>
          </w:p>
        </w:tc>
      </w:tr>
      <w:tr>
        <w:trPr>
          <w:trHeight w:val="209"/>
        </w:trPr>
        <w:tc>
          <w:tcPr>
            <w:tcW w:w="2800" w:type="dxa"/>
            <w:vAlign w:val="bottom"/>
          </w:tcPr>
          <w:p>
            <w:pPr>
              <w:jc w:val="center"/>
              <w:ind w:right="39"/>
              <w:spacing w:after="0"/>
              <w:rPr>
                <w:sz w:val="20"/>
                <w:szCs w:val="20"/>
                <w:color w:val="auto"/>
              </w:rPr>
            </w:pPr>
            <w:r>
              <w:rPr>
                <w:rFonts w:ascii="Arial" w:cs="Arial" w:eastAsia="Arial" w:hAnsi="Arial"/>
                <w:sz w:val="16"/>
                <w:szCs w:val="16"/>
                <w:color w:val="auto"/>
              </w:rPr>
              <w:t>Sign, complete and return the proxy</w:t>
            </w:r>
          </w:p>
        </w:tc>
        <w:tc>
          <w:tcPr>
            <w:tcW w:w="2400" w:type="dxa"/>
            <w:vAlign w:val="bottom"/>
          </w:tcPr>
          <w:p>
            <w:pPr>
              <w:ind w:left="900"/>
              <w:spacing w:after="0"/>
              <w:rPr>
                <w:sz w:val="20"/>
                <w:szCs w:val="20"/>
                <w:color w:val="auto"/>
              </w:rPr>
            </w:pPr>
            <w:r>
              <w:rPr>
                <w:rFonts w:ascii="Arial" w:cs="Arial" w:eastAsia="Arial" w:hAnsi="Arial"/>
                <w:sz w:val="16"/>
                <w:szCs w:val="16"/>
                <w:color w:val="auto"/>
              </w:rPr>
              <w:t>800-690-6903</w:t>
            </w:r>
          </w:p>
        </w:tc>
        <w:tc>
          <w:tcPr>
            <w:tcW w:w="2420" w:type="dxa"/>
            <w:vAlign w:val="bottom"/>
          </w:tcPr>
          <w:p>
            <w:pPr>
              <w:jc w:val="center"/>
              <w:ind w:left="899"/>
              <w:spacing w:after="0"/>
              <w:rPr>
                <w:sz w:val="20"/>
                <w:szCs w:val="20"/>
                <w:color w:val="auto"/>
              </w:rPr>
            </w:pPr>
            <w:r>
              <w:rPr>
                <w:rFonts w:ascii="Arial" w:cs="Arial" w:eastAsia="Arial" w:hAnsi="Arial"/>
                <w:sz w:val="16"/>
                <w:szCs w:val="16"/>
                <w:color w:val="auto"/>
              </w:rPr>
              <w:t>www.proxyvote.com</w:t>
            </w:r>
          </w:p>
        </w:tc>
        <w:tc>
          <w:tcPr>
            <w:tcW w:w="0" w:type="dxa"/>
            <w:vAlign w:val="bottom"/>
          </w:tcPr>
          <w:p>
            <w:pPr>
              <w:spacing w:after="0"/>
              <w:rPr>
                <w:sz w:val="1"/>
                <w:szCs w:val="1"/>
                <w:color w:val="auto"/>
              </w:rPr>
            </w:pPr>
          </w:p>
        </w:tc>
      </w:tr>
      <w:tr>
        <w:trPr>
          <w:trHeight w:val="189"/>
        </w:trPr>
        <w:tc>
          <w:tcPr>
            <w:tcW w:w="2800" w:type="dxa"/>
            <w:vAlign w:val="bottom"/>
          </w:tcPr>
          <w:p>
            <w:pPr>
              <w:jc w:val="center"/>
              <w:ind w:right="39"/>
              <w:spacing w:after="0"/>
              <w:rPr>
                <w:sz w:val="20"/>
                <w:szCs w:val="20"/>
                <w:color w:val="auto"/>
              </w:rPr>
            </w:pPr>
            <w:r>
              <w:rPr>
                <w:rFonts w:ascii="Arial" w:cs="Arial" w:eastAsia="Arial" w:hAnsi="Arial"/>
                <w:sz w:val="16"/>
                <w:szCs w:val="16"/>
                <w:color w:val="auto"/>
              </w:rPr>
              <w:t>card in the postage-paid envelope</w:t>
            </w:r>
          </w:p>
        </w:tc>
        <w:tc>
          <w:tcPr>
            <w:tcW w:w="24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800" w:type="dxa"/>
            <w:vAlign w:val="bottom"/>
          </w:tcPr>
          <w:p>
            <w:pPr>
              <w:jc w:val="center"/>
              <w:ind w:right="19"/>
              <w:spacing w:after="0"/>
              <w:rPr>
                <w:sz w:val="20"/>
                <w:szCs w:val="20"/>
                <w:color w:val="auto"/>
              </w:rPr>
            </w:pPr>
            <w:r>
              <w:rPr>
                <w:rFonts w:ascii="Arial" w:cs="Arial" w:eastAsia="Arial" w:hAnsi="Arial"/>
                <w:sz w:val="16"/>
                <w:szCs w:val="16"/>
                <w:color w:val="auto"/>
              </w:rPr>
              <w:t>provided</w:t>
            </w:r>
          </w:p>
        </w:tc>
        <w:tc>
          <w:tcPr>
            <w:tcW w:w="24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146685</wp:posOffset>
            </wp:positionV>
            <wp:extent cx="5349240" cy="685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49240" cy="685800"/>
                    </a:xfrm>
                    <a:prstGeom prst="rect">
                      <a:avLst/>
                    </a:prstGeom>
                    <a:noFill/>
                  </pic:spPr>
                </pic:pic>
              </a:graphicData>
            </a:graphic>
          </wp:anchor>
        </w:drawing>
      </w:r>
    </w:p>
    <w:p>
      <w:pPr>
        <w:spacing w:after="0" w:line="355" w:lineRule="exact"/>
        <w:rPr>
          <w:sz w:val="20"/>
          <w:szCs w:val="20"/>
          <w:color w:val="auto"/>
        </w:rPr>
      </w:pPr>
    </w:p>
    <w:p>
      <w:pPr>
        <w:ind w:left="540" w:right="539"/>
        <w:spacing w:after="0" w:line="250" w:lineRule="auto"/>
        <w:rPr>
          <w:sz w:val="20"/>
          <w:szCs w:val="20"/>
          <w:color w:val="auto"/>
        </w:rPr>
      </w:pPr>
      <w:r>
        <w:rPr>
          <w:rFonts w:ascii="Arial" w:cs="Arial" w:eastAsia="Arial" w:hAnsi="Arial"/>
          <w:sz w:val="18"/>
          <w:szCs w:val="18"/>
          <w:b w:val="1"/>
          <w:bCs w:val="1"/>
          <w:color w:val="auto"/>
        </w:rPr>
        <w:t>Important Notice Regarding the Availability of Proxy Materials for the 2025 Annual Meeting of Stockholders to be held on February 12, 2025. Embecta’s proxy statement and 2024 Annual Report of Stockholders, which includes Embecta’s consolidated financial statements, are available at investors.embecta.com/financials-filings/annual-reports.</w:t>
      </w:r>
    </w:p>
    <w:p>
      <w:pPr>
        <w:spacing w:after="0" w:line="6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123825</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6" w:lineRule="exact"/>
        <w:rPr>
          <w:sz w:val="20"/>
          <w:szCs w:val="20"/>
          <w:color w:val="auto"/>
        </w:rPr>
      </w:pPr>
    </w:p>
    <w:p>
      <w:pPr>
        <w:ind w:left="300"/>
        <w:spacing w:after="0"/>
        <w:rPr>
          <w:sz w:val="20"/>
          <w:szCs w:val="20"/>
          <w:color w:val="auto"/>
        </w:rPr>
      </w:pPr>
      <w:r>
        <w:rPr>
          <w:rFonts w:ascii="Arial" w:cs="Arial" w:eastAsia="Arial" w:hAnsi="Arial"/>
          <w:sz w:val="43"/>
          <w:szCs w:val="43"/>
          <w:color w:val="342C82"/>
        </w:rPr>
        <w:t>Proxy statement overview</w:t>
      </w:r>
    </w:p>
    <w:p>
      <w:pPr>
        <w:spacing w:after="0" w:line="284" w:lineRule="exact"/>
        <w:rPr>
          <w:sz w:val="20"/>
          <w:szCs w:val="20"/>
          <w:color w:val="auto"/>
        </w:rPr>
      </w:pPr>
    </w:p>
    <w:p>
      <w:pPr>
        <w:ind w:left="300"/>
        <w:spacing w:after="0"/>
        <w:rPr>
          <w:sz w:val="20"/>
          <w:szCs w:val="20"/>
          <w:color w:val="auto"/>
        </w:rPr>
      </w:pPr>
      <w:r>
        <w:rPr>
          <w:rFonts w:ascii="Arial" w:cs="Arial" w:eastAsia="Arial" w:hAnsi="Arial"/>
          <w:sz w:val="28"/>
          <w:szCs w:val="28"/>
          <w:color w:val="auto"/>
        </w:rPr>
        <w:t>Proposals to be considered at the 2025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150495</wp:posOffset>
            </wp:positionV>
            <wp:extent cx="53492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Proposal</w:t>
      </w:r>
    </w:p>
    <w:p>
      <w:pPr>
        <w:spacing w:after="0" w:line="77" w:lineRule="exact"/>
        <w:rPr>
          <w:sz w:val="20"/>
          <w:szCs w:val="20"/>
          <w:color w:val="auto"/>
        </w:rPr>
      </w:pPr>
    </w:p>
    <w:p>
      <w:pPr>
        <w:ind w:left="800" w:right="460" w:hanging="360"/>
        <w:spacing w:after="0" w:line="286" w:lineRule="auto"/>
        <w:tabs>
          <w:tab w:leader="none" w:pos="80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The election as directors of the three nominees named in the attached proxy statement for a one-year term</w:t>
      </w:r>
    </w:p>
    <w:p>
      <w:pPr>
        <w:spacing w:after="0" w:line="7" w:lineRule="exact"/>
        <w:rPr>
          <w:rFonts w:ascii="Arial" w:cs="Arial" w:eastAsia="Arial" w:hAnsi="Arial"/>
          <w:sz w:val="16"/>
          <w:szCs w:val="16"/>
          <w:b w:val="1"/>
          <w:bCs w:val="1"/>
          <w:color w:val="auto"/>
        </w:rPr>
      </w:pPr>
    </w:p>
    <w:p>
      <w:pPr>
        <w:ind w:left="800" w:hanging="360"/>
        <w:spacing w:after="0" w:line="286" w:lineRule="auto"/>
        <w:tabs>
          <w:tab w:leader="none" w:pos="80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The ratification of the selection of the independent registered public accounting firm</w:t>
      </w:r>
    </w:p>
    <w:p>
      <w:pPr>
        <w:spacing w:after="0" w:line="7" w:lineRule="exact"/>
        <w:rPr>
          <w:rFonts w:ascii="Arial" w:cs="Arial" w:eastAsia="Arial" w:hAnsi="Arial"/>
          <w:sz w:val="16"/>
          <w:szCs w:val="16"/>
          <w:b w:val="1"/>
          <w:bCs w:val="1"/>
          <w:color w:val="auto"/>
        </w:rPr>
      </w:pPr>
    </w:p>
    <w:p>
      <w:pPr>
        <w:ind w:left="800" w:hanging="360"/>
        <w:spacing w:after="0"/>
        <w:tabs>
          <w:tab w:leader="none" w:pos="80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An advisory vote to approve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183515</wp:posOffset>
            </wp:positionV>
            <wp:extent cx="53492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Board Recommendation</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0" w:type="dxa"/>
            <w:vAlign w:val="bottom"/>
            <w:vMerge w:val="restart"/>
          </w:tcPr>
          <w:p>
            <w:pPr>
              <w:spacing w:after="0"/>
              <w:rPr>
                <w:sz w:val="20"/>
                <w:szCs w:val="20"/>
                <w:color w:val="auto"/>
              </w:rPr>
            </w:pPr>
            <w:r>
              <w:rPr>
                <w:rFonts w:ascii="Arial" w:cs="Arial" w:eastAsia="Arial" w:hAnsi="Arial"/>
                <w:sz w:val="16"/>
                <w:szCs w:val="16"/>
                <w:color w:val="auto"/>
              </w:rPr>
              <w:t> </w:t>
            </w:r>
          </w:p>
        </w:tc>
        <w:tc>
          <w:tcPr>
            <w:tcW w:w="1820" w:type="dxa"/>
            <w:vAlign w:val="bottom"/>
          </w:tcPr>
          <w:p>
            <w:pPr>
              <w:ind w:left="300"/>
              <w:spacing w:after="0"/>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each of the</w:t>
            </w:r>
          </w:p>
        </w:tc>
        <w:tc>
          <w:tcPr>
            <w:tcW w:w="0" w:type="dxa"/>
            <w:vAlign w:val="bottom"/>
          </w:tcPr>
          <w:p>
            <w:pPr>
              <w:spacing w:after="0"/>
              <w:rPr>
                <w:sz w:val="1"/>
                <w:szCs w:val="1"/>
                <w:color w:val="auto"/>
              </w:rPr>
            </w:pPr>
          </w:p>
        </w:tc>
      </w:tr>
      <w:tr>
        <w:trPr>
          <w:trHeight w:val="134"/>
        </w:trPr>
        <w:tc>
          <w:tcPr>
            <w:tcW w:w="360" w:type="dxa"/>
            <w:vAlign w:val="bottom"/>
            <w:vMerge w:val="continue"/>
          </w:tcPr>
          <w:p>
            <w:pPr>
              <w:spacing w:after="0"/>
              <w:rPr>
                <w:sz w:val="11"/>
                <w:szCs w:val="11"/>
                <w:color w:val="auto"/>
              </w:rPr>
            </w:pPr>
          </w:p>
        </w:tc>
        <w:tc>
          <w:tcPr>
            <w:tcW w:w="1820" w:type="dxa"/>
            <w:vAlign w:val="bottom"/>
            <w:vMerge w:val="restart"/>
          </w:tcPr>
          <w:p>
            <w:pPr>
              <w:ind w:left="300"/>
              <w:spacing w:after="0"/>
              <w:rPr>
                <w:sz w:val="20"/>
                <w:szCs w:val="20"/>
                <w:color w:val="auto"/>
              </w:rPr>
            </w:pPr>
            <w:r>
              <w:rPr>
                <w:rFonts w:ascii="Arial" w:cs="Arial" w:eastAsia="Arial" w:hAnsi="Arial"/>
                <w:sz w:val="16"/>
                <w:szCs w:val="16"/>
                <w:color w:val="auto"/>
                <w:w w:val="99"/>
              </w:rPr>
              <w:t>nominees for director</w:t>
            </w:r>
          </w:p>
        </w:tc>
        <w:tc>
          <w:tcPr>
            <w:tcW w:w="0" w:type="dxa"/>
            <w:vAlign w:val="bottom"/>
          </w:tcPr>
          <w:p>
            <w:pPr>
              <w:spacing w:after="0"/>
              <w:rPr>
                <w:sz w:val="1"/>
                <w:szCs w:val="1"/>
                <w:color w:val="auto"/>
              </w:rPr>
            </w:pPr>
          </w:p>
        </w:tc>
      </w:tr>
      <w:tr>
        <w:trPr>
          <w:trHeight w:val="81"/>
        </w:trPr>
        <w:tc>
          <w:tcPr>
            <w:tcW w:w="360" w:type="dxa"/>
            <w:vAlign w:val="bottom"/>
          </w:tcPr>
          <w:p>
            <w:pPr>
              <w:spacing w:after="0"/>
              <w:rPr>
                <w:sz w:val="7"/>
                <w:szCs w:val="7"/>
                <w:color w:val="auto"/>
              </w:rPr>
            </w:pPr>
          </w:p>
        </w:tc>
        <w:tc>
          <w:tcPr>
            <w:tcW w:w="1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5"/>
        </w:trPr>
        <w:tc>
          <w:tcPr>
            <w:tcW w:w="360" w:type="dxa"/>
            <w:vAlign w:val="bottom"/>
            <w:vMerge w:val="restart"/>
          </w:tcPr>
          <w:p>
            <w:pPr>
              <w:spacing w:after="0"/>
              <w:rPr>
                <w:sz w:val="20"/>
                <w:szCs w:val="20"/>
                <w:color w:val="auto"/>
              </w:rPr>
            </w:pPr>
            <w:r>
              <w:rPr>
                <w:rFonts w:ascii="Arial" w:cs="Arial" w:eastAsia="Arial" w:hAnsi="Arial"/>
                <w:sz w:val="16"/>
                <w:szCs w:val="16"/>
                <w:color w:val="auto"/>
              </w:rPr>
              <w:t> </w:t>
            </w:r>
          </w:p>
        </w:tc>
        <w:tc>
          <w:tcPr>
            <w:tcW w:w="1820" w:type="dxa"/>
            <w:vAlign w:val="bottom"/>
          </w:tcPr>
          <w:p>
            <w:pPr>
              <w:ind w:left="300"/>
              <w:spacing w:after="0"/>
              <w:rPr>
                <w:sz w:val="20"/>
                <w:szCs w:val="20"/>
                <w:color w:val="auto"/>
              </w:rPr>
            </w:pPr>
            <w:r>
              <w:rPr>
                <w:rFonts w:ascii="Arial" w:cs="Arial" w:eastAsia="Arial" w:hAnsi="Arial"/>
                <w:sz w:val="16"/>
                <w:szCs w:val="16"/>
                <w:b w:val="1"/>
                <w:bCs w:val="1"/>
                <w:color w:val="auto"/>
              </w:rPr>
              <w:t>FOR</w:t>
            </w:r>
          </w:p>
        </w:tc>
        <w:tc>
          <w:tcPr>
            <w:tcW w:w="0" w:type="dxa"/>
            <w:vAlign w:val="bottom"/>
          </w:tcPr>
          <w:p>
            <w:pPr>
              <w:spacing w:after="0"/>
              <w:rPr>
                <w:sz w:val="1"/>
                <w:szCs w:val="1"/>
                <w:color w:val="auto"/>
              </w:rPr>
            </w:pPr>
          </w:p>
        </w:tc>
      </w:tr>
      <w:tr>
        <w:trPr>
          <w:trHeight w:val="100"/>
        </w:trPr>
        <w:tc>
          <w:tcPr>
            <w:tcW w:w="360" w:type="dxa"/>
            <w:vAlign w:val="bottom"/>
            <w:vMerge w:val="continue"/>
          </w:tcPr>
          <w:p>
            <w:pPr>
              <w:spacing w:after="0"/>
              <w:rPr>
                <w:sz w:val="8"/>
                <w:szCs w:val="8"/>
                <w:color w:val="auto"/>
              </w:rPr>
            </w:pPr>
          </w:p>
        </w:tc>
        <w:tc>
          <w:tcPr>
            <w:tcW w:w="1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6"/>
        </w:trPr>
        <w:tc>
          <w:tcPr>
            <w:tcW w:w="360" w:type="dxa"/>
            <w:vAlign w:val="bottom"/>
            <w:vMerge w:val="restart"/>
          </w:tcPr>
          <w:p>
            <w:pPr>
              <w:spacing w:after="0"/>
              <w:rPr>
                <w:sz w:val="20"/>
                <w:szCs w:val="20"/>
                <w:color w:val="auto"/>
              </w:rPr>
            </w:pPr>
            <w:r>
              <w:rPr>
                <w:rFonts w:ascii="Arial" w:cs="Arial" w:eastAsia="Arial" w:hAnsi="Arial"/>
                <w:sz w:val="16"/>
                <w:szCs w:val="16"/>
                <w:color w:val="auto"/>
              </w:rPr>
              <w:t> </w:t>
            </w:r>
          </w:p>
        </w:tc>
        <w:tc>
          <w:tcPr>
            <w:tcW w:w="1820" w:type="dxa"/>
            <w:vAlign w:val="bottom"/>
          </w:tcPr>
          <w:p>
            <w:pPr>
              <w:ind w:left="300"/>
              <w:spacing w:after="0"/>
              <w:rPr>
                <w:sz w:val="20"/>
                <w:szCs w:val="20"/>
                <w:color w:val="auto"/>
              </w:rPr>
            </w:pPr>
            <w:r>
              <w:rPr>
                <w:rFonts w:ascii="Arial" w:cs="Arial" w:eastAsia="Arial" w:hAnsi="Arial"/>
                <w:sz w:val="16"/>
                <w:szCs w:val="16"/>
                <w:b w:val="1"/>
                <w:bCs w:val="1"/>
                <w:color w:val="auto"/>
              </w:rPr>
              <w:t>FOR</w:t>
            </w:r>
          </w:p>
        </w:tc>
        <w:tc>
          <w:tcPr>
            <w:tcW w:w="0" w:type="dxa"/>
            <w:vAlign w:val="bottom"/>
          </w:tcPr>
          <w:p>
            <w:pPr>
              <w:spacing w:after="0"/>
              <w:rPr>
                <w:sz w:val="1"/>
                <w:szCs w:val="1"/>
                <w:color w:val="auto"/>
              </w:rPr>
            </w:pPr>
          </w:p>
        </w:tc>
      </w:tr>
      <w:tr>
        <w:trPr>
          <w:trHeight w:val="100"/>
        </w:trPr>
        <w:tc>
          <w:tcPr>
            <w:tcW w:w="360" w:type="dxa"/>
            <w:vAlign w:val="bottom"/>
            <w:vMerge w:val="continue"/>
          </w:tcPr>
          <w:p>
            <w:pPr>
              <w:spacing w:after="0"/>
              <w:rPr>
                <w:sz w:val="8"/>
                <w:szCs w:val="8"/>
                <w:color w:val="auto"/>
              </w:rPr>
            </w:pPr>
          </w:p>
        </w:tc>
        <w:tc>
          <w:tcPr>
            <w:tcW w:w="18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620" w:space="400"/>
            <w:col w:w="2999"/>
          </w:cols>
          <w:pgMar w:left="1440" w:top="114" w:right="1440" w:bottom="1440" w:gutter="0" w:footer="0" w:header="0"/>
          <w:type w:val="continuous"/>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123825</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6"/>
          <w:szCs w:val="16"/>
          <w:color w:val="342C82"/>
        </w:rPr>
        <w:t>Proxy statement overview</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342C82"/>
        </w:rPr>
        <w:t>Proposal</w:t>
      </w:r>
    </w:p>
    <w:p>
      <w:pPr>
        <w:ind w:left="1660" w:hanging="978"/>
        <w:spacing w:after="0" w:line="180" w:lineRule="auto"/>
        <w:tabs>
          <w:tab w:leader="none" w:pos="1660" w:val="left"/>
        </w:tabs>
        <w:numPr>
          <w:ilvl w:val="0"/>
          <w:numId w:val="5"/>
        </w:numPr>
        <w:rPr>
          <w:rFonts w:ascii="Arial" w:cs="Arial" w:eastAsia="Arial" w:hAnsi="Arial"/>
          <w:sz w:val="63"/>
          <w:szCs w:val="63"/>
          <w:color w:val="342C82"/>
          <w:vertAlign w:val="subscript"/>
        </w:rPr>
      </w:pPr>
      <w:r>
        <w:rPr>
          <w:rFonts w:ascii="Arial" w:cs="Arial" w:eastAsia="Arial" w:hAnsi="Arial"/>
          <w:sz w:val="33"/>
          <w:szCs w:val="33"/>
          <w:color w:val="342C82"/>
        </w:rPr>
        <w:t>Election of directors</w:t>
      </w:r>
    </w:p>
    <w:p>
      <w:pPr>
        <w:spacing w:after="0" w:line="396" w:lineRule="exact"/>
        <w:rPr>
          <w:sz w:val="20"/>
          <w:szCs w:val="20"/>
          <w:color w:val="auto"/>
        </w:rPr>
      </w:pPr>
    </w:p>
    <w:tbl>
      <w:tblPr>
        <w:tblLayout w:type="fixed"/>
        <w:tblInd w:w="300" w:type="dxa"/>
        <w:tblCellMar>
          <w:top w:w="0" w:type="dxa"/>
          <w:left w:w="0" w:type="dxa"/>
          <w:bottom w:w="0" w:type="dxa"/>
          <w:right w:w="0" w:type="dxa"/>
        </w:tblCellMar>
      </w:tblPr>
      <w:tr>
        <w:trPr>
          <w:trHeight w:val="467"/>
        </w:trPr>
        <w:tc>
          <w:tcPr>
            <w:tcW w:w="920" w:type="dxa"/>
            <w:vAlign w:val="bottom"/>
            <w:tcBorders>
              <w:top w:val="single" w:sz="8" w:color="auto"/>
              <w:right w:val="single" w:sz="8" w:color="auto"/>
            </w:tcBorders>
            <w:vMerge w:val="restart"/>
          </w:tcPr>
          <w:p>
            <w:pPr>
              <w:ind w:left="480"/>
              <w:spacing w:after="0"/>
              <w:rPr>
                <w:sz w:val="20"/>
                <w:szCs w:val="20"/>
                <w:color w:val="auto"/>
              </w:rPr>
            </w:pPr>
            <w:r>
              <w:rPr>
                <w:rFonts w:ascii="Arial" w:cs="Arial" w:eastAsia="Arial" w:hAnsi="Arial"/>
                <w:sz w:val="18"/>
                <w:szCs w:val="18"/>
                <w:color w:val="auto"/>
              </w:rPr>
              <w:t> </w:t>
            </w:r>
          </w:p>
        </w:tc>
        <w:tc>
          <w:tcPr>
            <w:tcW w:w="7500" w:type="dxa"/>
            <w:vAlign w:val="bottom"/>
            <w:tcBorders>
              <w:top w:val="single" w:sz="8" w:color="auto"/>
            </w:tcBorders>
          </w:tcPr>
          <w:p>
            <w:pPr>
              <w:ind w:left="360"/>
              <w:spacing w:after="0"/>
              <w:rPr>
                <w:sz w:val="20"/>
                <w:szCs w:val="20"/>
                <w:color w:val="auto"/>
              </w:rPr>
            </w:pPr>
            <w:r>
              <w:rPr>
                <w:rFonts w:ascii="Arial" w:cs="Arial" w:eastAsia="Arial" w:hAnsi="Arial"/>
                <w:sz w:val="18"/>
                <w:szCs w:val="18"/>
                <w:b w:val="1"/>
                <w:bCs w:val="1"/>
                <w:color w:val="auto"/>
              </w:rPr>
              <w:t>THE BOARD OF DIRECTORS RECOMMENDS A VOTE “FOR” EACH OF THE</w:t>
            </w:r>
          </w:p>
        </w:tc>
        <w:tc>
          <w:tcPr>
            <w:tcW w:w="0" w:type="dxa"/>
            <w:vAlign w:val="bottom"/>
          </w:tcPr>
          <w:p>
            <w:pPr>
              <w:spacing w:after="0"/>
              <w:rPr>
                <w:sz w:val="1"/>
                <w:szCs w:val="1"/>
                <w:color w:val="auto"/>
              </w:rPr>
            </w:pPr>
          </w:p>
        </w:tc>
      </w:tr>
      <w:tr>
        <w:trPr>
          <w:trHeight w:val="247"/>
        </w:trPr>
        <w:tc>
          <w:tcPr>
            <w:tcW w:w="920" w:type="dxa"/>
            <w:vAlign w:val="bottom"/>
            <w:tcBorders>
              <w:right w:val="single" w:sz="8" w:color="auto"/>
            </w:tcBorders>
            <w:vMerge w:val="continue"/>
          </w:tcPr>
          <w:p>
            <w:pPr>
              <w:spacing w:after="0"/>
              <w:rPr>
                <w:sz w:val="21"/>
                <w:szCs w:val="21"/>
                <w:color w:val="auto"/>
              </w:rPr>
            </w:pPr>
          </w:p>
        </w:tc>
        <w:tc>
          <w:tcPr>
            <w:tcW w:w="7500" w:type="dxa"/>
            <w:vAlign w:val="bottom"/>
          </w:tcPr>
          <w:p>
            <w:pPr>
              <w:ind w:left="360"/>
              <w:spacing w:after="0"/>
              <w:rPr>
                <w:sz w:val="20"/>
                <w:szCs w:val="20"/>
                <w:color w:val="auto"/>
              </w:rPr>
            </w:pPr>
            <w:r>
              <w:rPr>
                <w:rFonts w:ascii="Arial" w:cs="Arial" w:eastAsia="Arial" w:hAnsi="Arial"/>
                <w:sz w:val="18"/>
                <w:szCs w:val="18"/>
                <w:b w:val="1"/>
                <w:bCs w:val="1"/>
                <w:color w:val="auto"/>
              </w:rPr>
              <w:t>NOMINEES FOR DIRECTOR.</w:t>
            </w:r>
          </w:p>
        </w:tc>
        <w:tc>
          <w:tcPr>
            <w:tcW w:w="0" w:type="dxa"/>
            <w:vAlign w:val="bottom"/>
          </w:tcPr>
          <w:p>
            <w:pPr>
              <w:spacing w:after="0"/>
              <w:rPr>
                <w:sz w:val="1"/>
                <w:szCs w:val="1"/>
                <w:color w:val="auto"/>
              </w:rPr>
            </w:pPr>
          </w:p>
        </w:tc>
      </w:tr>
      <w:tr>
        <w:trPr>
          <w:trHeight w:val="191"/>
        </w:trPr>
        <w:tc>
          <w:tcPr>
            <w:tcW w:w="920" w:type="dxa"/>
            <w:vAlign w:val="bottom"/>
            <w:tcBorders>
              <w:bottom w:val="single" w:sz="8" w:color="auto"/>
              <w:right w:val="single" w:sz="8" w:color="auto"/>
            </w:tcBorders>
          </w:tcPr>
          <w:p>
            <w:pPr>
              <w:spacing w:after="0"/>
              <w:rPr>
                <w:sz w:val="16"/>
                <w:szCs w:val="16"/>
                <w:color w:val="auto"/>
              </w:rPr>
            </w:pPr>
          </w:p>
        </w:tc>
        <w:tc>
          <w:tcPr>
            <w:tcW w:w="7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00" w:right="499"/>
        <w:spacing w:after="0" w:line="254" w:lineRule="auto"/>
        <w:rPr>
          <w:sz w:val="20"/>
          <w:szCs w:val="20"/>
          <w:color w:val="auto"/>
        </w:rPr>
      </w:pPr>
      <w:r>
        <w:rPr>
          <w:rFonts w:ascii="Arial" w:cs="Arial" w:eastAsia="Arial" w:hAnsi="Arial"/>
          <w:sz w:val="16"/>
          <w:szCs w:val="16"/>
          <w:color w:val="auto"/>
        </w:rPr>
        <w:t>Our Board of Directors (the “Board”) currently consists of nine members. Messrs. Robert (Bob) J. Hombach and Devdatt (Dev) Kurdikar and LTG (Ret.) David F. Melcher, each currently serving a term expiring at the 2025 Annual Meeting, have each been nominated for election at the 2025 Annual Meeting for a term expiring at Embecta’s 2026 annual stockholder meeting. Drs. Milton M. Morris and Claire Pomeroy, Mses. Carrie L. Anderson and Karen N. Prange and Messrs. David J. Albritton and Christopher R. Reidy are each currently serving a term expiring at the 2026 annual stockholder meeting.</w:t>
      </w:r>
    </w:p>
    <w:p>
      <w:pPr>
        <w:spacing w:after="0" w:line="16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 xml:space="preserve">A more detailed discussion of this proposal and related disclosures can be found beginning on page </w:t>
      </w:r>
      <w:r>
        <w:rPr>
          <w:rFonts w:ascii="Arial" w:cs="Arial" w:eastAsia="Arial" w:hAnsi="Arial"/>
          <w:sz w:val="16"/>
          <w:szCs w:val="16"/>
          <w:u w:val="single" w:color="auto"/>
          <w:color w:val="0000EE"/>
        </w:rPr>
        <w:t>1</w:t>
      </w:r>
      <w:r>
        <w:rPr>
          <w:rFonts w:ascii="Arial" w:cs="Arial" w:eastAsia="Arial" w:hAnsi="Arial"/>
          <w:sz w:val="16"/>
          <w:szCs w:val="16"/>
          <w:color w:val="auto"/>
        </w:rPr>
        <w:t>.</w:t>
      </w:r>
    </w:p>
    <w:p>
      <w:pPr>
        <w:spacing w:after="0" w:line="181" w:lineRule="exact"/>
        <w:rPr>
          <w:sz w:val="20"/>
          <w:szCs w:val="20"/>
          <w:color w:val="auto"/>
        </w:rPr>
      </w:pPr>
    </w:p>
    <w:tbl>
      <w:tblPr>
        <w:tblLayout w:type="fixed"/>
        <w:tblInd w:w="300" w:type="dxa"/>
        <w:tblCellMar>
          <w:top w:w="0" w:type="dxa"/>
          <w:left w:w="0" w:type="dxa"/>
          <w:bottom w:w="0" w:type="dxa"/>
          <w:right w:w="0" w:type="dxa"/>
        </w:tblCellMar>
      </w:tblPr>
      <w:tr>
        <w:trPr>
          <w:trHeight w:val="223"/>
        </w:trPr>
        <w:tc>
          <w:tcPr>
            <w:tcW w:w="4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Director</w:t>
            </w:r>
          </w:p>
        </w:tc>
        <w:tc>
          <w:tcPr>
            <w:tcW w:w="2600" w:type="dxa"/>
            <w:vAlign w:val="bottom"/>
          </w:tcPr>
          <w:p>
            <w:pPr>
              <w:ind w:left="360"/>
              <w:spacing w:after="0"/>
              <w:rPr>
                <w:sz w:val="20"/>
                <w:szCs w:val="20"/>
                <w:color w:val="auto"/>
              </w:rPr>
            </w:pPr>
            <w:r>
              <w:rPr>
                <w:rFonts w:ascii="Arial" w:cs="Arial" w:eastAsia="Arial" w:hAnsi="Arial"/>
                <w:sz w:val="16"/>
                <w:szCs w:val="16"/>
                <w:b w:val="1"/>
                <w:bCs w:val="1"/>
                <w:color w:val="auto"/>
              </w:rPr>
              <w:t>Committee Membership</w:t>
            </w:r>
          </w:p>
        </w:tc>
        <w:tc>
          <w:tcPr>
            <w:tcW w:w="0" w:type="dxa"/>
            <w:vAlign w:val="bottom"/>
          </w:tcPr>
          <w:p>
            <w:pPr>
              <w:spacing w:after="0"/>
              <w:rPr>
                <w:sz w:val="1"/>
                <w:szCs w:val="1"/>
                <w:color w:val="auto"/>
              </w:rPr>
            </w:pPr>
          </w:p>
        </w:tc>
      </w:tr>
      <w:tr>
        <w:trPr>
          <w:trHeight w:val="21"/>
        </w:trPr>
        <w:tc>
          <w:tcPr>
            <w:tcW w:w="4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2600" w:type="dxa"/>
            <w:vAlign w:val="bottom"/>
            <w:tcBorders>
              <w:bottom w:val="single" w:sz="8" w:color="342C8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120"/>
              <w:spacing w:after="0"/>
              <w:rPr>
                <w:sz w:val="20"/>
                <w:szCs w:val="20"/>
                <w:color w:val="auto"/>
              </w:rPr>
            </w:pPr>
            <w:r>
              <w:rPr>
                <w:rFonts w:ascii="Arial" w:cs="Arial" w:eastAsia="Arial" w:hAnsi="Arial"/>
                <w:sz w:val="16"/>
                <w:szCs w:val="16"/>
                <w:b w:val="1"/>
                <w:bCs w:val="1"/>
                <w:color w:val="auto"/>
              </w:rPr>
              <w:t>Name</w:t>
            </w:r>
          </w:p>
        </w:tc>
        <w:tc>
          <w:tcPr>
            <w:tcW w:w="600" w:type="dxa"/>
            <w:vAlign w:val="bottom"/>
          </w:tcPr>
          <w:p>
            <w:pPr>
              <w:jc w:val="center"/>
              <w:spacing w:after="0"/>
              <w:rPr>
                <w:sz w:val="20"/>
                <w:szCs w:val="20"/>
                <w:color w:val="auto"/>
              </w:rPr>
            </w:pPr>
            <w:r>
              <w:rPr>
                <w:rFonts w:ascii="Arial" w:cs="Arial" w:eastAsia="Arial" w:hAnsi="Arial"/>
                <w:sz w:val="16"/>
                <w:szCs w:val="16"/>
                <w:b w:val="1"/>
                <w:bCs w:val="1"/>
                <w:color w:val="auto"/>
                <w:w w:val="99"/>
              </w:rPr>
              <w:t>Age</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rPr>
              <w:t>Since</w:t>
            </w:r>
          </w:p>
        </w:tc>
        <w:tc>
          <w:tcPr>
            <w:tcW w:w="2600" w:type="dxa"/>
            <w:vAlign w:val="bottom"/>
          </w:tcPr>
          <w:p>
            <w:pPr>
              <w:ind w:left="80"/>
              <w:spacing w:after="0"/>
              <w:rPr>
                <w:sz w:val="20"/>
                <w:szCs w:val="20"/>
                <w:color w:val="auto"/>
              </w:rPr>
            </w:pPr>
            <w:r>
              <w:rPr>
                <w:rFonts w:ascii="Arial" w:cs="Arial" w:eastAsia="Arial" w:hAnsi="Arial"/>
                <w:sz w:val="16"/>
                <w:szCs w:val="16"/>
                <w:b w:val="1"/>
                <w:bCs w:val="1"/>
                <w:color w:val="auto"/>
              </w:rPr>
              <w:t>AC  CMDC   CGNC   TQRC</w:t>
            </w:r>
          </w:p>
        </w:tc>
        <w:tc>
          <w:tcPr>
            <w:tcW w:w="0" w:type="dxa"/>
            <w:vAlign w:val="bottom"/>
          </w:tcPr>
          <w:p>
            <w:pPr>
              <w:spacing w:after="0"/>
              <w:rPr>
                <w:sz w:val="1"/>
                <w:szCs w:val="1"/>
                <w:color w:val="auto"/>
              </w:rPr>
            </w:pPr>
          </w:p>
        </w:tc>
      </w:tr>
      <w:tr>
        <w:trPr>
          <w:trHeight w:val="21"/>
        </w:trPr>
        <w:tc>
          <w:tcPr>
            <w:tcW w:w="8420" w:type="dxa"/>
            <w:vAlign w:val="bottom"/>
            <w:tcBorders>
              <w:bottom w:val="single" w:sz="8" w:color="342C82"/>
            </w:tcBorders>
            <w:gridSpan w:val="4"/>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8420" w:type="dxa"/>
            <w:vAlign w:val="bottom"/>
            <w:gridSpan w:val="4"/>
          </w:tcPr>
          <w:p>
            <w:pPr>
              <w:ind w:left="1840"/>
              <w:spacing w:after="0"/>
              <w:rPr>
                <w:sz w:val="20"/>
                <w:szCs w:val="20"/>
                <w:color w:val="auto"/>
              </w:rPr>
            </w:pPr>
            <w:r>
              <w:rPr>
                <w:rFonts w:ascii="Arial" w:cs="Arial" w:eastAsia="Arial" w:hAnsi="Arial"/>
                <w:sz w:val="16"/>
                <w:szCs w:val="16"/>
                <w:b w:val="1"/>
                <w:bCs w:val="1"/>
                <w:color w:val="auto"/>
              </w:rPr>
              <w:t>Directors nominated for election at the 2025 Annual Meeting:</w:t>
            </w:r>
          </w:p>
        </w:tc>
        <w:tc>
          <w:tcPr>
            <w:tcW w:w="0" w:type="dxa"/>
            <w:vAlign w:val="bottom"/>
          </w:tcPr>
          <w:p>
            <w:pPr>
              <w:spacing w:after="0"/>
              <w:rPr>
                <w:sz w:val="1"/>
                <w:szCs w:val="1"/>
                <w:color w:val="auto"/>
              </w:rPr>
            </w:pPr>
          </w:p>
        </w:tc>
      </w:tr>
      <w:tr>
        <w:trPr>
          <w:trHeight w:val="304"/>
        </w:trPr>
        <w:tc>
          <w:tcPr>
            <w:tcW w:w="4300" w:type="dxa"/>
            <w:vAlign w:val="bottom"/>
          </w:tcPr>
          <w:p>
            <w:pPr>
              <w:ind w:left="120"/>
              <w:spacing w:after="0"/>
              <w:rPr>
                <w:sz w:val="20"/>
                <w:szCs w:val="20"/>
                <w:color w:val="auto"/>
              </w:rPr>
            </w:pPr>
            <w:r>
              <w:rPr>
                <w:rFonts w:ascii="Arial" w:cs="Arial" w:eastAsia="Arial" w:hAnsi="Arial"/>
                <w:sz w:val="16"/>
                <w:szCs w:val="16"/>
                <w:b w:val="1"/>
                <w:bCs w:val="1"/>
                <w:color w:val="auto"/>
              </w:rPr>
              <w:t>Robert (Bob) J. Hombach</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300" w:type="dxa"/>
            <w:vAlign w:val="bottom"/>
          </w:tcPr>
          <w:p>
            <w:pPr>
              <w:ind w:left="120"/>
              <w:spacing w:after="0"/>
              <w:rPr>
                <w:sz w:val="20"/>
                <w:szCs w:val="20"/>
                <w:color w:val="auto"/>
              </w:rPr>
            </w:pPr>
            <w:r>
              <w:rPr>
                <w:rFonts w:ascii="Arial" w:cs="Arial" w:eastAsia="Arial" w:hAnsi="Arial"/>
                <w:sz w:val="16"/>
                <w:szCs w:val="16"/>
                <w:color w:val="auto"/>
              </w:rPr>
              <w:t>Former Executive Vice President, Chief Financial Officer</w:t>
            </w:r>
          </w:p>
        </w:tc>
        <w:tc>
          <w:tcPr>
            <w:tcW w:w="600" w:type="dxa"/>
            <w:vAlign w:val="bottom"/>
          </w:tcPr>
          <w:p>
            <w:pPr>
              <w:jc w:val="center"/>
              <w:spacing w:after="0"/>
              <w:rPr>
                <w:sz w:val="20"/>
                <w:szCs w:val="20"/>
                <w:color w:val="auto"/>
              </w:rPr>
            </w:pPr>
            <w:r>
              <w:rPr>
                <w:rFonts w:ascii="Arial" w:cs="Arial" w:eastAsia="Arial" w:hAnsi="Arial"/>
                <w:sz w:val="16"/>
                <w:szCs w:val="16"/>
                <w:color w:val="auto"/>
              </w:rPr>
              <w:t>58</w:t>
            </w:r>
          </w:p>
        </w:tc>
        <w:tc>
          <w:tcPr>
            <w:tcW w:w="920" w:type="dxa"/>
            <w:vAlign w:val="bottom"/>
          </w:tcPr>
          <w:p>
            <w:pPr>
              <w:jc w:val="center"/>
              <w:spacing w:after="0"/>
              <w:rPr>
                <w:sz w:val="20"/>
                <w:szCs w:val="20"/>
                <w:color w:val="auto"/>
              </w:rPr>
            </w:pPr>
            <w:r>
              <w:rPr>
                <w:rFonts w:ascii="Arial" w:cs="Arial" w:eastAsia="Arial" w:hAnsi="Arial"/>
                <w:sz w:val="16"/>
                <w:szCs w:val="16"/>
                <w:color w:val="auto"/>
              </w:rPr>
              <w:t>2022</w:t>
            </w:r>
          </w:p>
        </w:tc>
        <w:tc>
          <w:tcPr>
            <w:tcW w:w="2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300" w:type="dxa"/>
            <w:vAlign w:val="bottom"/>
          </w:tcPr>
          <w:p>
            <w:pPr>
              <w:ind w:left="120"/>
              <w:spacing w:after="0"/>
              <w:rPr>
                <w:sz w:val="20"/>
                <w:szCs w:val="20"/>
                <w:color w:val="auto"/>
              </w:rPr>
            </w:pPr>
            <w:r>
              <w:rPr>
                <w:rFonts w:ascii="Arial" w:cs="Arial" w:eastAsia="Arial" w:hAnsi="Arial"/>
                <w:sz w:val="16"/>
                <w:szCs w:val="16"/>
                <w:color w:val="auto"/>
              </w:rPr>
              <w:t>and Chief Operations Officer, Baxalta Incorporated</w:t>
            </w: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4300" w:type="dxa"/>
            <w:vAlign w:val="bottom"/>
          </w:tcPr>
          <w:p>
            <w:pPr>
              <w:ind w:left="120"/>
              <w:spacing w:after="0"/>
              <w:rPr>
                <w:sz w:val="20"/>
                <w:szCs w:val="20"/>
                <w:color w:val="auto"/>
              </w:rPr>
            </w:pPr>
            <w:r>
              <w:rPr>
                <w:rFonts w:ascii="Arial" w:cs="Arial" w:eastAsia="Arial" w:hAnsi="Arial"/>
                <w:sz w:val="16"/>
                <w:szCs w:val="16"/>
                <w:b w:val="1"/>
                <w:bCs w:val="1"/>
                <w:color w:val="auto"/>
              </w:rPr>
              <w:t>Devdatt (Dev) Kurdikar</w:t>
            </w:r>
          </w:p>
        </w:tc>
        <w:tc>
          <w:tcPr>
            <w:tcW w:w="600" w:type="dxa"/>
            <w:vAlign w:val="bottom"/>
            <w:vMerge w:val="restart"/>
          </w:tcPr>
          <w:p>
            <w:pPr>
              <w:jc w:val="center"/>
              <w:spacing w:after="0"/>
              <w:rPr>
                <w:sz w:val="20"/>
                <w:szCs w:val="20"/>
                <w:color w:val="auto"/>
              </w:rPr>
            </w:pPr>
            <w:r>
              <w:rPr>
                <w:rFonts w:ascii="Arial" w:cs="Arial" w:eastAsia="Arial" w:hAnsi="Arial"/>
                <w:sz w:val="16"/>
                <w:szCs w:val="16"/>
                <w:color w:val="auto"/>
              </w:rPr>
              <w:t>56</w:t>
            </w:r>
          </w:p>
        </w:tc>
        <w:tc>
          <w:tcPr>
            <w:tcW w:w="920" w:type="dxa"/>
            <w:vAlign w:val="bottom"/>
            <w:vMerge w:val="restart"/>
          </w:tcPr>
          <w:p>
            <w:pPr>
              <w:jc w:val="center"/>
              <w:spacing w:after="0"/>
              <w:rPr>
                <w:sz w:val="20"/>
                <w:szCs w:val="20"/>
                <w:color w:val="auto"/>
              </w:rPr>
            </w:pPr>
            <w:r>
              <w:rPr>
                <w:rFonts w:ascii="Arial" w:cs="Arial" w:eastAsia="Arial" w:hAnsi="Arial"/>
                <w:sz w:val="16"/>
                <w:szCs w:val="16"/>
                <w:color w:val="auto"/>
              </w:rPr>
              <w:t>2022</w:t>
            </w: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300" w:type="dxa"/>
            <w:vAlign w:val="bottom"/>
            <w:vMerge w:val="restart"/>
          </w:tcPr>
          <w:p>
            <w:pPr>
              <w:ind w:left="120"/>
              <w:spacing w:after="0"/>
              <w:rPr>
                <w:sz w:val="20"/>
                <w:szCs w:val="20"/>
                <w:color w:val="auto"/>
              </w:rPr>
            </w:pPr>
            <w:r>
              <w:rPr>
                <w:rFonts w:ascii="Arial" w:cs="Arial" w:eastAsia="Arial" w:hAnsi="Arial"/>
                <w:sz w:val="16"/>
                <w:szCs w:val="16"/>
                <w:color w:val="auto"/>
              </w:rPr>
              <w:t>President and Chief Executive Officer, Embecta Corp.</w:t>
            </w:r>
          </w:p>
        </w:tc>
        <w:tc>
          <w:tcPr>
            <w:tcW w:w="6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2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430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4300" w:type="dxa"/>
            <w:vAlign w:val="bottom"/>
          </w:tcPr>
          <w:p>
            <w:pPr>
              <w:ind w:left="1620"/>
              <w:spacing w:after="0" w:line="178" w:lineRule="exact"/>
              <w:rPr>
                <w:sz w:val="20"/>
                <w:szCs w:val="20"/>
                <w:color w:val="auto"/>
              </w:rPr>
            </w:pPr>
            <w:r>
              <w:rPr>
                <w:rFonts w:ascii="Arial" w:cs="Arial" w:eastAsia="Arial" w:hAnsi="Arial"/>
                <w:sz w:val="16"/>
                <w:szCs w:val="16"/>
                <w:color w:val="auto"/>
              </w:rPr>
              <w:t>  </w:t>
            </w:r>
          </w:p>
        </w:tc>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300" w:type="dxa"/>
            <w:vAlign w:val="bottom"/>
          </w:tcPr>
          <w:p>
            <w:pPr>
              <w:ind w:left="120"/>
              <w:spacing w:after="0"/>
              <w:rPr>
                <w:sz w:val="20"/>
                <w:szCs w:val="20"/>
                <w:color w:val="auto"/>
              </w:rPr>
            </w:pPr>
            <w:r>
              <w:rPr>
                <w:rFonts w:ascii="Arial" w:cs="Arial" w:eastAsia="Arial" w:hAnsi="Arial"/>
                <w:sz w:val="16"/>
                <w:szCs w:val="16"/>
                <w:b w:val="1"/>
                <w:bCs w:val="1"/>
                <w:color w:val="auto"/>
              </w:rPr>
              <w:t>David F. Melcher</w:t>
            </w:r>
            <w:r>
              <w:rPr>
                <w:rFonts w:ascii="Arial" w:cs="Arial" w:eastAsia="Arial" w:hAnsi="Arial"/>
                <w:sz w:val="16"/>
                <w:szCs w:val="16"/>
                <w:color w:val="auto"/>
              </w:rPr>
              <w:t xml:space="preserve"> </w:t>
            </w:r>
          </w:p>
        </w:tc>
        <w:tc>
          <w:tcPr>
            <w:tcW w:w="600" w:type="dxa"/>
            <w:vAlign w:val="bottom"/>
            <w:vMerge w:val="restart"/>
          </w:tcPr>
          <w:p>
            <w:pPr>
              <w:jc w:val="center"/>
              <w:spacing w:after="0"/>
              <w:rPr>
                <w:sz w:val="20"/>
                <w:szCs w:val="20"/>
                <w:color w:val="auto"/>
              </w:rPr>
            </w:pPr>
            <w:r>
              <w:rPr>
                <w:rFonts w:ascii="Arial" w:cs="Arial" w:eastAsia="Arial" w:hAnsi="Arial"/>
                <w:sz w:val="16"/>
                <w:szCs w:val="16"/>
                <w:color w:val="auto"/>
              </w:rPr>
              <w:t>70</w:t>
            </w:r>
          </w:p>
        </w:tc>
        <w:tc>
          <w:tcPr>
            <w:tcW w:w="920" w:type="dxa"/>
            <w:vAlign w:val="bottom"/>
            <w:vMerge w:val="restart"/>
          </w:tcPr>
          <w:p>
            <w:pPr>
              <w:jc w:val="center"/>
              <w:spacing w:after="0"/>
              <w:rPr>
                <w:sz w:val="20"/>
                <w:szCs w:val="20"/>
                <w:color w:val="auto"/>
              </w:rPr>
            </w:pPr>
            <w:r>
              <w:rPr>
                <w:rFonts w:ascii="Arial" w:cs="Arial" w:eastAsia="Arial" w:hAnsi="Arial"/>
                <w:sz w:val="16"/>
                <w:szCs w:val="16"/>
                <w:color w:val="auto"/>
              </w:rPr>
              <w:t>2022</w:t>
            </w:r>
          </w:p>
        </w:tc>
        <w:tc>
          <w:tcPr>
            <w:tcW w:w="2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4300" w:type="dxa"/>
            <w:vAlign w:val="bottom"/>
            <w:vMerge w:val="restart"/>
          </w:tcPr>
          <w:p>
            <w:pPr>
              <w:ind w:left="120"/>
              <w:spacing w:after="0"/>
              <w:rPr>
                <w:sz w:val="20"/>
                <w:szCs w:val="20"/>
                <w:color w:val="auto"/>
              </w:rPr>
            </w:pPr>
            <w:r>
              <w:rPr>
                <w:rFonts w:ascii="Arial" w:cs="Arial" w:eastAsia="Arial" w:hAnsi="Arial"/>
                <w:sz w:val="16"/>
                <w:szCs w:val="16"/>
                <w:color w:val="auto"/>
              </w:rPr>
              <w:t>Non-Executive Chairman of the Board, Embecta Corp.</w:t>
            </w:r>
          </w:p>
        </w:tc>
        <w:tc>
          <w:tcPr>
            <w:tcW w:w="60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2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430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3957320</wp:posOffset>
            </wp:positionH>
            <wp:positionV relativeFrom="paragraph">
              <wp:posOffset>-958215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-958215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-281305</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Directors whose terms expire at the 2026 annual stockholder meeting:</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David J. Albritton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3810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3810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 w:lineRule="exact"/>
        <w:rPr>
          <w:sz w:val="20"/>
          <w:szCs w:val="20"/>
          <w:color w:val="auto"/>
        </w:rPr>
      </w:pPr>
    </w:p>
    <w:p>
      <w:pPr>
        <w:ind w:left="420"/>
        <w:spacing w:after="0"/>
        <w:tabs>
          <w:tab w:leader="none" w:pos="4800" w:val="left"/>
          <w:tab w:leader="none" w:pos="5440" w:val="left"/>
        </w:tabs>
        <w:rPr>
          <w:sz w:val="20"/>
          <w:szCs w:val="20"/>
          <w:color w:val="auto"/>
        </w:rPr>
      </w:pPr>
      <w:r>
        <w:rPr>
          <w:rFonts w:ascii="Arial" w:cs="Arial" w:eastAsia="Arial" w:hAnsi="Arial"/>
          <w:sz w:val="16"/>
          <w:szCs w:val="16"/>
          <w:color w:val="auto"/>
        </w:rPr>
        <w:t>Founder and Chief Executive Officer, Nineteen88</w:t>
      </w:r>
      <w:r>
        <w:rPr>
          <w:sz w:val="20"/>
          <w:szCs w:val="20"/>
          <w:color w:val="auto"/>
        </w:rPr>
        <w:tab/>
      </w:r>
      <w:r>
        <w:rPr>
          <w:rFonts w:ascii="Arial" w:cs="Arial" w:eastAsia="Arial" w:hAnsi="Arial"/>
          <w:sz w:val="16"/>
          <w:szCs w:val="16"/>
          <w:color w:val="auto"/>
        </w:rPr>
        <w:t>58</w:t>
      </w:r>
      <w:r>
        <w:rPr>
          <w:sz w:val="20"/>
          <w:szCs w:val="20"/>
          <w:color w:val="auto"/>
        </w:rPr>
        <w:tab/>
      </w:r>
      <w:r>
        <w:rPr>
          <w:rFonts w:ascii="Arial" w:cs="Arial" w:eastAsia="Arial" w:hAnsi="Arial"/>
          <w:sz w:val="16"/>
          <w:szCs w:val="16"/>
          <w:color w:val="auto"/>
        </w:rPr>
        <w:t>2022</w:t>
      </w:r>
    </w:p>
    <w:p>
      <w:pPr>
        <w:spacing w:after="0" w:line="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Strategies</w:t>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Carrie 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3957320</wp:posOffset>
            </wp:positionH>
            <wp:positionV relativeFrom="paragraph">
              <wp:posOffset>3810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3810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 w:lineRule="exact"/>
        <w:rPr>
          <w:sz w:val="20"/>
          <w:szCs w:val="20"/>
          <w:color w:val="auto"/>
        </w:rPr>
      </w:pPr>
    </w:p>
    <w:p>
      <w:pPr>
        <w:ind w:left="420"/>
        <w:spacing w:after="0"/>
        <w:tabs>
          <w:tab w:leader="none" w:pos="4800" w:val="left"/>
          <w:tab w:leader="none" w:pos="5440" w:val="left"/>
        </w:tabs>
        <w:rPr>
          <w:sz w:val="20"/>
          <w:szCs w:val="20"/>
          <w:color w:val="auto"/>
        </w:rPr>
      </w:pPr>
      <w:r>
        <w:rPr>
          <w:rFonts w:ascii="Arial" w:cs="Arial" w:eastAsia="Arial" w:hAnsi="Arial"/>
          <w:sz w:val="16"/>
          <w:szCs w:val="16"/>
          <w:color w:val="auto"/>
        </w:rPr>
        <w:t>Executive Vice President and Chief Financial Officer, The</w:t>
      </w:r>
      <w:r>
        <w:rPr>
          <w:sz w:val="20"/>
          <w:szCs w:val="20"/>
          <w:color w:val="auto"/>
        </w:rPr>
        <w:tab/>
      </w:r>
      <w:r>
        <w:rPr>
          <w:rFonts w:ascii="Arial" w:cs="Arial" w:eastAsia="Arial" w:hAnsi="Arial"/>
          <w:sz w:val="16"/>
          <w:szCs w:val="16"/>
          <w:color w:val="auto"/>
        </w:rPr>
        <w:t>56</w:t>
      </w:r>
      <w:r>
        <w:rPr>
          <w:sz w:val="20"/>
          <w:szCs w:val="20"/>
          <w:color w:val="auto"/>
        </w:rPr>
        <w:tab/>
      </w:r>
      <w:r>
        <w:rPr>
          <w:rFonts w:ascii="Arial" w:cs="Arial" w:eastAsia="Arial" w:hAnsi="Arial"/>
          <w:sz w:val="16"/>
          <w:szCs w:val="16"/>
          <w:color w:val="auto"/>
        </w:rPr>
        <w:t>2022</w:t>
      </w:r>
    </w:p>
    <w:p>
      <w:pPr>
        <w:spacing w:after="0" w:line="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Campbell’s Company</w:t>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Christopher R. Reidy</w:t>
      </w:r>
    </w:p>
    <w:p>
      <w:pPr>
        <w:ind w:left="420"/>
        <w:spacing w:after="0" w:line="182" w:lineRule="auto"/>
        <w:tabs>
          <w:tab w:leader="none" w:pos="4800" w:val="left"/>
          <w:tab w:leader="none" w:pos="5440" w:val="left"/>
        </w:tabs>
        <w:rPr>
          <w:sz w:val="20"/>
          <w:szCs w:val="20"/>
          <w:color w:val="auto"/>
        </w:rPr>
      </w:pPr>
      <w:r>
        <w:rPr>
          <w:rFonts w:ascii="Arial" w:cs="Arial" w:eastAsia="Arial" w:hAnsi="Arial"/>
          <w:sz w:val="16"/>
          <w:szCs w:val="16"/>
          <w:color w:val="auto"/>
        </w:rPr>
        <w:t>Retired Executive Vice President, Chief</w:t>
      </w:r>
      <w:r>
        <w:rPr>
          <w:sz w:val="20"/>
          <w:szCs w:val="20"/>
          <w:color w:val="auto"/>
        </w:rPr>
        <w:tab/>
      </w:r>
      <w:r>
        <w:rPr>
          <w:rFonts w:ascii="Arial" w:cs="Arial" w:eastAsia="Arial" w:hAnsi="Arial"/>
          <w:sz w:val="24"/>
          <w:szCs w:val="24"/>
          <w:color w:val="auto"/>
          <w:vertAlign w:val="subscript"/>
        </w:rPr>
        <w:t>68</w:t>
      </w:r>
      <w:r>
        <w:rPr>
          <w:sz w:val="20"/>
          <w:szCs w:val="20"/>
          <w:color w:val="auto"/>
        </w:rPr>
        <w:tab/>
      </w:r>
      <w:r>
        <w:rPr>
          <w:rFonts w:ascii="Arial" w:cs="Arial" w:eastAsia="Arial" w:hAnsi="Arial"/>
          <w:sz w:val="24"/>
          <w:szCs w:val="24"/>
          <w:color w:val="auto"/>
          <w:vertAlign w:val="subscript"/>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5226050</wp:posOffset>
            </wp:positionH>
            <wp:positionV relativeFrom="paragraph">
              <wp:posOffset>-68580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420" w:right="4479"/>
        <w:spacing w:after="0" w:line="265" w:lineRule="auto"/>
        <w:rPr>
          <w:sz w:val="20"/>
          <w:szCs w:val="20"/>
          <w:color w:val="auto"/>
        </w:rPr>
      </w:pPr>
      <w:r>
        <w:rPr>
          <w:rFonts w:ascii="Arial" w:cs="Arial" w:eastAsia="Arial" w:hAnsi="Arial"/>
          <w:sz w:val="16"/>
          <w:szCs w:val="16"/>
          <w:color w:val="auto"/>
        </w:rPr>
        <w:t>Administrative Officer and Chief Financial Officer, Becton, Dickinson and Company (“BD”)</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Milton M. Morris,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4317365</wp:posOffset>
            </wp:positionH>
            <wp:positionV relativeFrom="paragraph">
              <wp:posOffset>3810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3810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 w:lineRule="exact"/>
        <w:rPr>
          <w:sz w:val="20"/>
          <w:szCs w:val="20"/>
          <w:color w:val="auto"/>
        </w:rPr>
      </w:pPr>
    </w:p>
    <w:p>
      <w:pPr>
        <w:ind w:left="420"/>
        <w:spacing w:after="0"/>
        <w:tabs>
          <w:tab w:leader="none" w:pos="4800" w:val="left"/>
          <w:tab w:leader="none" w:pos="5440" w:val="left"/>
        </w:tabs>
        <w:rPr>
          <w:sz w:val="20"/>
          <w:szCs w:val="20"/>
          <w:color w:val="auto"/>
        </w:rPr>
      </w:pPr>
      <w:r>
        <w:rPr>
          <w:rFonts w:ascii="Arial" w:cs="Arial" w:eastAsia="Arial" w:hAnsi="Arial"/>
          <w:sz w:val="16"/>
          <w:szCs w:val="16"/>
          <w:color w:val="auto"/>
        </w:rPr>
        <w:t>Former Chairman and Chief Executive</w:t>
      </w:r>
      <w:r>
        <w:rPr>
          <w:sz w:val="20"/>
          <w:szCs w:val="20"/>
          <w:color w:val="auto"/>
        </w:rPr>
        <w:tab/>
      </w:r>
      <w:r>
        <w:rPr>
          <w:rFonts w:ascii="Arial" w:cs="Arial" w:eastAsia="Arial" w:hAnsi="Arial"/>
          <w:sz w:val="16"/>
          <w:szCs w:val="16"/>
          <w:color w:val="auto"/>
        </w:rPr>
        <w:t>54</w:t>
      </w:r>
      <w:r>
        <w:rPr>
          <w:sz w:val="20"/>
          <w:szCs w:val="20"/>
          <w:color w:val="auto"/>
        </w:rPr>
        <w:tab/>
      </w:r>
      <w:r>
        <w:rPr>
          <w:rFonts w:ascii="Arial" w:cs="Arial" w:eastAsia="Arial" w:hAnsi="Arial"/>
          <w:sz w:val="16"/>
          <w:szCs w:val="16"/>
          <w:color w:val="auto"/>
        </w:rPr>
        <w:t>2022</w:t>
      </w:r>
    </w:p>
    <w:p>
      <w:pPr>
        <w:spacing w:after="0" w:line="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Officer, Neuspera Medical,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10795</wp:posOffset>
            </wp:positionV>
            <wp:extent cx="534924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132080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 w:name="page7"/>
    <w:bookmarkEnd w:id="6"/>
    <w:tbl>
      <w:tblPr>
        <w:tblLayout w:type="fixed"/>
        <w:tblInd w:w="300" w:type="dxa"/>
        <w:tblCellMar>
          <w:top w:w="0" w:type="dxa"/>
          <w:left w:w="0" w:type="dxa"/>
          <w:bottom w:w="0" w:type="dxa"/>
          <w:right w:w="0" w:type="dxa"/>
        </w:tblCellMar>
      </w:tblPr>
      <w:tr>
        <w:trPr>
          <w:trHeight w:val="161"/>
        </w:trPr>
        <w:tc>
          <w:tcPr>
            <w:tcW w:w="2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3"/>
        </w:trPr>
        <w:tc>
          <w:tcPr>
            <w:tcW w:w="1540" w:type="dxa"/>
            <w:vAlign w:val="bottom"/>
            <w:tcBorders>
              <w:top w:val="single" w:sz="8" w:color="0000EE"/>
            </w:tcBorders>
          </w:tcPr>
          <w:p>
            <w:pPr>
              <w:spacing w:after="0"/>
              <w:rPr>
                <w:sz w:val="24"/>
                <w:szCs w:val="24"/>
                <w:color w:val="auto"/>
              </w:rPr>
            </w:pPr>
          </w:p>
        </w:tc>
        <w:tc>
          <w:tcPr>
            <w:tcW w:w="14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0" w:type="dxa"/>
            <w:vAlign w:val="bottom"/>
          </w:tcPr>
          <w:p>
            <w:pPr>
              <w:ind w:left="740"/>
              <w:spacing w:after="0"/>
              <w:rPr>
                <w:sz w:val="20"/>
                <w:szCs w:val="20"/>
                <w:color w:val="auto"/>
              </w:rPr>
            </w:pPr>
            <w:r>
              <w:rPr>
                <w:rFonts w:ascii="Arial" w:cs="Arial" w:eastAsia="Arial" w:hAnsi="Arial"/>
                <w:sz w:val="16"/>
                <w:szCs w:val="16"/>
                <w:color w:val="342C82"/>
              </w:rPr>
              <w:t>Proxy statement overview</w:t>
            </w:r>
          </w:p>
        </w:tc>
        <w:tc>
          <w:tcPr>
            <w:tcW w:w="0" w:type="dxa"/>
            <w:vAlign w:val="bottom"/>
          </w:tcPr>
          <w:p>
            <w:pPr>
              <w:spacing w:after="0"/>
              <w:rPr>
                <w:sz w:val="1"/>
                <w:szCs w:val="1"/>
                <w:color w:val="auto"/>
              </w:rPr>
            </w:pPr>
          </w:p>
        </w:tc>
      </w:tr>
      <w:tr>
        <w:trPr>
          <w:trHeight w:val="373"/>
        </w:trPr>
        <w:tc>
          <w:tcPr>
            <w:tcW w:w="1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94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Director</w:t>
            </w:r>
          </w:p>
        </w:tc>
        <w:tc>
          <w:tcPr>
            <w:tcW w:w="2600" w:type="dxa"/>
            <w:vAlign w:val="bottom"/>
          </w:tcPr>
          <w:p>
            <w:pPr>
              <w:ind w:left="360"/>
              <w:spacing w:after="0"/>
              <w:rPr>
                <w:sz w:val="20"/>
                <w:szCs w:val="20"/>
                <w:color w:val="auto"/>
              </w:rPr>
            </w:pPr>
            <w:r>
              <w:rPr>
                <w:rFonts w:ascii="Arial" w:cs="Arial" w:eastAsia="Arial" w:hAnsi="Arial"/>
                <w:sz w:val="16"/>
                <w:szCs w:val="16"/>
                <w:b w:val="1"/>
                <w:bCs w:val="1"/>
                <w:color w:val="auto"/>
              </w:rPr>
              <w:t>Committee Membership</w:t>
            </w:r>
          </w:p>
        </w:tc>
        <w:tc>
          <w:tcPr>
            <w:tcW w:w="0" w:type="dxa"/>
            <w:vAlign w:val="bottom"/>
          </w:tcPr>
          <w:p>
            <w:pPr>
              <w:spacing w:after="0"/>
              <w:rPr>
                <w:sz w:val="1"/>
                <w:szCs w:val="1"/>
                <w:color w:val="auto"/>
              </w:rPr>
            </w:pPr>
          </w:p>
        </w:tc>
      </w:tr>
      <w:tr>
        <w:trPr>
          <w:trHeight w:val="21"/>
        </w:trPr>
        <w:tc>
          <w:tcPr>
            <w:tcW w:w="298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Name</w:t>
            </w:r>
          </w:p>
        </w:tc>
        <w:tc>
          <w:tcPr>
            <w:tcW w:w="1900" w:type="dxa"/>
            <w:vAlign w:val="bottom"/>
            <w:vMerge w:val="restart"/>
          </w:tcPr>
          <w:p>
            <w:pPr>
              <w:ind w:left="1460"/>
              <w:spacing w:after="0"/>
              <w:rPr>
                <w:sz w:val="20"/>
                <w:szCs w:val="20"/>
                <w:color w:val="auto"/>
              </w:rPr>
            </w:pPr>
            <w:r>
              <w:rPr>
                <w:rFonts w:ascii="Arial" w:cs="Arial" w:eastAsia="Arial" w:hAnsi="Arial"/>
                <w:sz w:val="16"/>
                <w:szCs w:val="16"/>
                <w:b w:val="1"/>
                <w:bCs w:val="1"/>
                <w:color w:val="auto"/>
              </w:rPr>
              <w:t>Age</w:t>
            </w:r>
          </w:p>
        </w:tc>
        <w:tc>
          <w:tcPr>
            <w:tcW w:w="940" w:type="dxa"/>
            <w:vAlign w:val="bottom"/>
            <w:vMerge w:val="continue"/>
          </w:tcPr>
          <w:p>
            <w:pPr>
              <w:spacing w:after="0" w:line="20" w:lineRule="exact"/>
              <w:rPr>
                <w:sz w:val="1"/>
                <w:szCs w:val="1"/>
                <w:color w:val="auto"/>
              </w:rPr>
            </w:pPr>
          </w:p>
        </w:tc>
        <w:tc>
          <w:tcPr>
            <w:tcW w:w="2600" w:type="dxa"/>
            <w:vAlign w:val="bottom"/>
            <w:tcBorders>
              <w:bottom w:val="single" w:sz="8" w:color="342C8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2980" w:type="dxa"/>
            <w:vAlign w:val="bottom"/>
            <w:gridSpan w:val="2"/>
            <w:vMerge w:val="continue"/>
          </w:tcPr>
          <w:p>
            <w:pPr>
              <w:spacing w:after="0"/>
              <w:rPr>
                <w:sz w:val="19"/>
                <w:szCs w:val="19"/>
                <w:color w:val="auto"/>
              </w:rPr>
            </w:pPr>
          </w:p>
        </w:tc>
        <w:tc>
          <w:tcPr>
            <w:tcW w:w="1900" w:type="dxa"/>
            <w:vAlign w:val="bottom"/>
            <w:vMerge w:val="continue"/>
          </w:tcPr>
          <w:p>
            <w:pPr>
              <w:spacing w:after="0"/>
              <w:rPr>
                <w:sz w:val="19"/>
                <w:szCs w:val="19"/>
                <w:color w:val="auto"/>
              </w:rPr>
            </w:pPr>
          </w:p>
        </w:tc>
        <w:tc>
          <w:tcPr>
            <w:tcW w:w="3540" w:type="dxa"/>
            <w:vAlign w:val="bottom"/>
            <w:gridSpan w:val="2"/>
          </w:tcPr>
          <w:p>
            <w:pPr>
              <w:ind w:left="240"/>
              <w:spacing w:after="0"/>
              <w:rPr>
                <w:sz w:val="20"/>
                <w:szCs w:val="20"/>
                <w:color w:val="auto"/>
              </w:rPr>
            </w:pPr>
            <w:r>
              <w:rPr>
                <w:rFonts w:ascii="Arial" w:cs="Arial" w:eastAsia="Arial" w:hAnsi="Arial"/>
                <w:sz w:val="16"/>
                <w:szCs w:val="16"/>
                <w:b w:val="1"/>
                <w:bCs w:val="1"/>
                <w:color w:val="auto"/>
              </w:rPr>
              <w:t>SinceAC  CMDC   CGNC   TQRC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13335</wp:posOffset>
            </wp:positionV>
            <wp:extent cx="534924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Directors whose terms expire at the 2026 annual stockholder meeting (continued):</w:t>
      </w:r>
    </w:p>
    <w:p>
      <w:pPr>
        <w:spacing w:after="0" w:line="154" w:lineRule="exact"/>
        <w:rPr>
          <w:sz w:val="20"/>
          <w:szCs w:val="20"/>
          <w:color w:val="auto"/>
        </w:rPr>
      </w:pPr>
    </w:p>
    <w:tbl>
      <w:tblPr>
        <w:tblLayout w:type="fixed"/>
        <w:tblInd w:w="300" w:type="dxa"/>
        <w:tblCellMar>
          <w:top w:w="0" w:type="dxa"/>
          <w:left w:w="0" w:type="dxa"/>
          <w:bottom w:w="0" w:type="dxa"/>
          <w:right w:w="0" w:type="dxa"/>
        </w:tblCellMar>
      </w:tblPr>
      <w:tr>
        <w:trPr>
          <w:trHeight w:val="189"/>
        </w:trPr>
        <w:tc>
          <w:tcPr>
            <w:tcW w:w="4400" w:type="dxa"/>
            <w:vAlign w:val="bottom"/>
          </w:tcPr>
          <w:p>
            <w:pPr>
              <w:ind w:left="120"/>
              <w:spacing w:after="0"/>
              <w:rPr>
                <w:sz w:val="20"/>
                <w:szCs w:val="20"/>
                <w:color w:val="auto"/>
              </w:rPr>
            </w:pPr>
            <w:r>
              <w:rPr>
                <w:rFonts w:ascii="Arial" w:cs="Arial" w:eastAsia="Arial" w:hAnsi="Arial"/>
                <w:sz w:val="16"/>
                <w:szCs w:val="16"/>
                <w:b w:val="1"/>
                <w:bCs w:val="1"/>
                <w:color w:val="auto"/>
              </w:rPr>
              <w:t>Claire Pomeroy, M.D.</w:t>
            </w:r>
          </w:p>
        </w:tc>
        <w:tc>
          <w:tcPr>
            <w:tcW w:w="5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120"/>
              <w:spacing w:after="0"/>
              <w:rPr>
                <w:sz w:val="20"/>
                <w:szCs w:val="20"/>
                <w:color w:val="auto"/>
              </w:rPr>
            </w:pPr>
            <w:r>
              <w:rPr>
                <w:rFonts w:ascii="Arial" w:cs="Arial" w:eastAsia="Arial" w:hAnsi="Arial"/>
                <w:sz w:val="16"/>
                <w:szCs w:val="16"/>
                <w:color w:val="auto"/>
              </w:rPr>
              <w:t>President, The Albert and Mary Lasker</w:t>
            </w:r>
          </w:p>
        </w:tc>
        <w:tc>
          <w:tcPr>
            <w:tcW w:w="540" w:type="dxa"/>
            <w:vAlign w:val="bottom"/>
          </w:tcPr>
          <w:p>
            <w:pPr>
              <w:jc w:val="right"/>
              <w:ind w:right="159"/>
              <w:spacing w:after="0"/>
              <w:rPr>
                <w:sz w:val="20"/>
                <w:szCs w:val="20"/>
                <w:color w:val="auto"/>
              </w:rPr>
            </w:pPr>
            <w:r>
              <w:rPr>
                <w:rFonts w:ascii="Arial" w:cs="Arial" w:eastAsia="Arial" w:hAnsi="Arial"/>
                <w:sz w:val="16"/>
                <w:szCs w:val="16"/>
                <w:color w:val="auto"/>
              </w:rPr>
              <w:t>69</w:t>
            </w:r>
          </w:p>
        </w:tc>
        <w:tc>
          <w:tcPr>
            <w:tcW w:w="1240" w:type="dxa"/>
            <w:vAlign w:val="bottom"/>
          </w:tcPr>
          <w:p>
            <w:pPr>
              <w:jc w:val="right"/>
              <w:ind w:right="584"/>
              <w:spacing w:after="0"/>
              <w:rPr>
                <w:sz w:val="20"/>
                <w:szCs w:val="20"/>
                <w:color w:val="auto"/>
              </w:rPr>
            </w:pPr>
            <w:r>
              <w:rPr>
                <w:rFonts w:ascii="Arial" w:cs="Arial" w:eastAsia="Arial" w:hAnsi="Arial"/>
                <w:sz w:val="16"/>
                <w:szCs w:val="16"/>
                <w:color w:val="auto"/>
              </w:rPr>
              <w:t>2022</w:t>
            </w:r>
          </w:p>
        </w:tc>
        <w:tc>
          <w:tcPr>
            <w:tcW w:w="2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400" w:type="dxa"/>
            <w:vAlign w:val="bottom"/>
          </w:tcPr>
          <w:p>
            <w:pPr>
              <w:ind w:left="120"/>
              <w:spacing w:after="0"/>
              <w:rPr>
                <w:sz w:val="20"/>
                <w:szCs w:val="20"/>
                <w:color w:val="auto"/>
              </w:rPr>
            </w:pPr>
            <w:r>
              <w:rPr>
                <w:rFonts w:ascii="Arial" w:cs="Arial" w:eastAsia="Arial" w:hAnsi="Arial"/>
                <w:sz w:val="16"/>
                <w:szCs w:val="16"/>
                <w:color w:val="auto"/>
              </w:rPr>
              <w:t>Foundation</w:t>
            </w:r>
          </w:p>
        </w:tc>
        <w:tc>
          <w:tcPr>
            <w:tcW w:w="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4400" w:type="dxa"/>
            <w:vAlign w:val="bottom"/>
          </w:tcPr>
          <w:p>
            <w:pPr>
              <w:ind w:left="120"/>
              <w:spacing w:after="0"/>
              <w:rPr>
                <w:sz w:val="20"/>
                <w:szCs w:val="20"/>
                <w:color w:val="auto"/>
              </w:rPr>
            </w:pPr>
            <w:r>
              <w:rPr>
                <w:rFonts w:ascii="Arial" w:cs="Arial" w:eastAsia="Arial" w:hAnsi="Arial"/>
                <w:sz w:val="16"/>
                <w:szCs w:val="16"/>
                <w:b w:val="1"/>
                <w:bCs w:val="1"/>
                <w:color w:val="auto"/>
              </w:rPr>
              <w:t>Karen N. Prange</w:t>
            </w: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120"/>
              <w:spacing w:after="0"/>
              <w:rPr>
                <w:sz w:val="20"/>
                <w:szCs w:val="20"/>
                <w:color w:val="auto"/>
              </w:rPr>
            </w:pPr>
            <w:r>
              <w:rPr>
                <w:rFonts w:ascii="Arial" w:cs="Arial" w:eastAsia="Arial" w:hAnsi="Arial"/>
                <w:sz w:val="16"/>
                <w:szCs w:val="16"/>
                <w:color w:val="auto"/>
              </w:rPr>
              <w:t>Industrial Advisor, EQT Group and Former Executive Vice</w:t>
            </w:r>
          </w:p>
        </w:tc>
        <w:tc>
          <w:tcPr>
            <w:tcW w:w="5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120"/>
              <w:spacing w:after="0"/>
              <w:rPr>
                <w:sz w:val="20"/>
                <w:szCs w:val="20"/>
                <w:color w:val="auto"/>
              </w:rPr>
            </w:pPr>
            <w:r>
              <w:rPr>
                <w:rFonts w:ascii="Arial" w:cs="Arial" w:eastAsia="Arial" w:hAnsi="Arial"/>
                <w:sz w:val="16"/>
                <w:szCs w:val="16"/>
                <w:color w:val="auto"/>
              </w:rPr>
              <w:t>President and Chief Executive Officer, Global Animal</w:t>
            </w:r>
          </w:p>
        </w:tc>
        <w:tc>
          <w:tcPr>
            <w:tcW w:w="540" w:type="dxa"/>
            <w:vAlign w:val="bottom"/>
          </w:tcPr>
          <w:p>
            <w:pPr>
              <w:jc w:val="right"/>
              <w:ind w:right="159"/>
              <w:spacing w:after="0"/>
              <w:rPr>
                <w:sz w:val="20"/>
                <w:szCs w:val="20"/>
                <w:color w:val="auto"/>
              </w:rPr>
            </w:pPr>
            <w:r>
              <w:rPr>
                <w:rFonts w:ascii="Arial" w:cs="Arial" w:eastAsia="Arial" w:hAnsi="Arial"/>
                <w:sz w:val="16"/>
                <w:szCs w:val="16"/>
                <w:color w:val="auto"/>
              </w:rPr>
              <w:t>60</w:t>
            </w:r>
          </w:p>
        </w:tc>
        <w:tc>
          <w:tcPr>
            <w:tcW w:w="1240" w:type="dxa"/>
            <w:vAlign w:val="bottom"/>
          </w:tcPr>
          <w:p>
            <w:pPr>
              <w:jc w:val="right"/>
              <w:ind w:right="584"/>
              <w:spacing w:after="0"/>
              <w:rPr>
                <w:sz w:val="20"/>
                <w:szCs w:val="20"/>
                <w:color w:val="auto"/>
              </w:rPr>
            </w:pPr>
            <w:r>
              <w:rPr>
                <w:rFonts w:ascii="Arial" w:cs="Arial" w:eastAsia="Arial" w:hAnsi="Arial"/>
                <w:sz w:val="16"/>
                <w:szCs w:val="16"/>
                <w:color w:val="auto"/>
              </w:rPr>
              <w:t>2022</w:t>
            </w:r>
          </w:p>
        </w:tc>
        <w:tc>
          <w:tcPr>
            <w:tcW w:w="2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120"/>
              <w:spacing w:after="0"/>
              <w:rPr>
                <w:sz w:val="20"/>
                <w:szCs w:val="20"/>
                <w:color w:val="auto"/>
              </w:rPr>
            </w:pPr>
            <w:r>
              <w:rPr>
                <w:rFonts w:ascii="Arial" w:cs="Arial" w:eastAsia="Arial" w:hAnsi="Arial"/>
                <w:sz w:val="16"/>
                <w:szCs w:val="16"/>
                <w:color w:val="auto"/>
              </w:rPr>
              <w:t>Health, Medical and Dental Surgical Group of Henry</w:t>
            </w:r>
          </w:p>
        </w:tc>
        <w:tc>
          <w:tcPr>
            <w:tcW w:w="5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00" w:type="dxa"/>
            <w:vAlign w:val="bottom"/>
            <w:tcBorders>
              <w:bottom w:val="single" w:sz="8" w:color="342C82"/>
            </w:tcBorders>
          </w:tcPr>
          <w:p>
            <w:pPr>
              <w:ind w:left="120"/>
              <w:spacing w:after="0"/>
              <w:rPr>
                <w:sz w:val="20"/>
                <w:szCs w:val="20"/>
                <w:color w:val="auto"/>
              </w:rPr>
            </w:pPr>
            <w:r>
              <w:rPr>
                <w:rFonts w:ascii="Arial" w:cs="Arial" w:eastAsia="Arial" w:hAnsi="Arial"/>
                <w:sz w:val="16"/>
                <w:szCs w:val="16"/>
                <w:color w:val="auto"/>
              </w:rPr>
              <w:t>Schein, Inc.</w:t>
            </w:r>
          </w:p>
        </w:tc>
        <w:tc>
          <w:tcPr>
            <w:tcW w:w="540" w:type="dxa"/>
            <w:vAlign w:val="bottom"/>
            <w:tcBorders>
              <w:bottom w:val="single" w:sz="8" w:color="342C82"/>
            </w:tcBorders>
          </w:tcPr>
          <w:p>
            <w:pPr>
              <w:spacing w:after="0"/>
              <w:rPr>
                <w:sz w:val="18"/>
                <w:szCs w:val="18"/>
                <w:color w:val="auto"/>
              </w:rPr>
            </w:pPr>
          </w:p>
        </w:tc>
        <w:tc>
          <w:tcPr>
            <w:tcW w:w="1240" w:type="dxa"/>
            <w:vAlign w:val="bottom"/>
            <w:tcBorders>
              <w:bottom w:val="single" w:sz="8" w:color="342C82"/>
            </w:tcBorders>
          </w:tcPr>
          <w:p>
            <w:pPr>
              <w:spacing w:after="0"/>
              <w:rPr>
                <w:sz w:val="18"/>
                <w:szCs w:val="18"/>
                <w:color w:val="auto"/>
              </w:rPr>
            </w:pPr>
          </w:p>
        </w:tc>
        <w:tc>
          <w:tcPr>
            <w:tcW w:w="2240" w:type="dxa"/>
            <w:vAlign w:val="bottom"/>
            <w:tcBorders>
              <w:bottom w:val="single" w:sz="8" w:color="342C82"/>
            </w:tcBorders>
          </w:tcPr>
          <w:p>
            <w:pPr>
              <w:spacing w:after="0"/>
              <w:rPr>
                <w:sz w:val="18"/>
                <w:szCs w:val="18"/>
                <w:color w:val="auto"/>
              </w:rPr>
            </w:pPr>
          </w:p>
        </w:tc>
        <w:tc>
          <w:tcPr>
            <w:tcW w:w="0" w:type="dxa"/>
            <w:vAlign w:val="bottom"/>
          </w:tcPr>
          <w:p>
            <w:pPr>
              <w:spacing w:after="0"/>
              <w:rPr>
                <w:sz w:val="1"/>
                <w:szCs w:val="1"/>
                <w:color w:val="auto"/>
              </w:rPr>
            </w:pPr>
          </w:p>
        </w:tc>
      </w:tr>
      <w:tr>
        <w:trPr>
          <w:trHeight w:val="357"/>
        </w:trPr>
        <w:tc>
          <w:tcPr>
            <w:tcW w:w="4400" w:type="dxa"/>
            <w:vAlign w:val="bottom"/>
          </w:tcPr>
          <w:p>
            <w:pPr>
              <w:spacing w:after="0"/>
              <w:rPr>
                <w:sz w:val="20"/>
                <w:szCs w:val="20"/>
                <w:color w:val="auto"/>
              </w:rPr>
            </w:pPr>
            <w:r>
              <w:rPr>
                <w:rFonts w:ascii="Arial" w:cs="Arial" w:eastAsia="Arial" w:hAnsi="Arial"/>
                <w:sz w:val="14"/>
                <w:szCs w:val="14"/>
                <w:b w:val="1"/>
                <w:bCs w:val="1"/>
                <w:color w:val="auto"/>
              </w:rPr>
              <w:t xml:space="preserve">AC - </w:t>
            </w:r>
            <w:r>
              <w:rPr>
                <w:rFonts w:ascii="Arial" w:cs="Arial" w:eastAsia="Arial" w:hAnsi="Arial"/>
                <w:sz w:val="14"/>
                <w:szCs w:val="14"/>
                <w:color w:val="auto"/>
              </w:rPr>
              <w:t>Audit Committee</w:t>
            </w:r>
          </w:p>
        </w:tc>
        <w:tc>
          <w:tcPr>
            <w:tcW w:w="540" w:type="dxa"/>
            <w:vAlign w:val="bottom"/>
          </w:tcPr>
          <w:p>
            <w:pPr>
              <w:spacing w:after="0"/>
              <w:rPr>
                <w:sz w:val="24"/>
                <w:szCs w:val="24"/>
                <w:color w:val="auto"/>
              </w:rPr>
            </w:pPr>
          </w:p>
        </w:tc>
        <w:tc>
          <w:tcPr>
            <w:tcW w:w="1240" w:type="dxa"/>
            <w:vAlign w:val="bottom"/>
            <w:vMerge w:val="restart"/>
          </w:tcPr>
          <w:p>
            <w:pPr>
              <w:ind w:left="960"/>
              <w:spacing w:after="0"/>
              <w:rPr>
                <w:sz w:val="20"/>
                <w:szCs w:val="20"/>
                <w:color w:val="auto"/>
              </w:rPr>
            </w:pPr>
            <w:r>
              <w:rPr>
                <w:rFonts w:ascii="Arial" w:cs="Arial" w:eastAsia="Arial" w:hAnsi="Arial"/>
                <w:sz w:val="14"/>
                <w:szCs w:val="14"/>
                <w:color w:val="auto"/>
              </w:rPr>
              <w:t> </w:t>
            </w:r>
          </w:p>
        </w:tc>
        <w:tc>
          <w:tcPr>
            <w:tcW w:w="22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Chair of the Board</w:t>
            </w:r>
          </w:p>
        </w:tc>
        <w:tc>
          <w:tcPr>
            <w:tcW w:w="0" w:type="dxa"/>
            <w:vAlign w:val="bottom"/>
          </w:tcPr>
          <w:p>
            <w:pPr>
              <w:spacing w:after="0"/>
              <w:rPr>
                <w:sz w:val="1"/>
                <w:szCs w:val="1"/>
                <w:color w:val="auto"/>
              </w:rPr>
            </w:pPr>
          </w:p>
        </w:tc>
      </w:tr>
      <w:tr>
        <w:trPr>
          <w:trHeight w:val="68"/>
        </w:trPr>
        <w:tc>
          <w:tcPr>
            <w:tcW w:w="44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2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4400" w:type="dxa"/>
            <w:vAlign w:val="bottom"/>
          </w:tcPr>
          <w:p>
            <w:pPr>
              <w:spacing w:after="0"/>
              <w:rPr>
                <w:sz w:val="20"/>
                <w:szCs w:val="20"/>
                <w:color w:val="auto"/>
              </w:rPr>
            </w:pPr>
            <w:r>
              <w:rPr>
                <w:rFonts w:ascii="Arial" w:cs="Arial" w:eastAsia="Arial" w:hAnsi="Arial"/>
                <w:sz w:val="14"/>
                <w:szCs w:val="14"/>
                <w:b w:val="1"/>
                <w:bCs w:val="1"/>
                <w:color w:val="auto"/>
              </w:rPr>
              <w:t>CMDC -</w:t>
            </w:r>
            <w:r>
              <w:rPr>
                <w:rFonts w:ascii="Arial" w:cs="Arial" w:eastAsia="Arial" w:hAnsi="Arial"/>
                <w:sz w:val="14"/>
                <w:szCs w:val="14"/>
                <w:color w:val="auto"/>
              </w:rPr>
              <w:t>Compensation and Management Development Committee</w:t>
            </w:r>
          </w:p>
        </w:tc>
        <w:tc>
          <w:tcPr>
            <w:tcW w:w="540" w:type="dxa"/>
            <w:vAlign w:val="bottom"/>
          </w:tcPr>
          <w:p>
            <w:pPr>
              <w:spacing w:after="0"/>
              <w:rPr>
                <w:sz w:val="24"/>
                <w:szCs w:val="24"/>
                <w:color w:val="auto"/>
              </w:rPr>
            </w:pPr>
          </w:p>
        </w:tc>
        <w:tc>
          <w:tcPr>
            <w:tcW w:w="1240" w:type="dxa"/>
            <w:vAlign w:val="bottom"/>
            <w:vMerge w:val="restart"/>
          </w:tcPr>
          <w:p>
            <w:pPr>
              <w:ind w:left="960"/>
              <w:spacing w:after="0"/>
              <w:rPr>
                <w:sz w:val="20"/>
                <w:szCs w:val="20"/>
                <w:color w:val="auto"/>
              </w:rPr>
            </w:pPr>
            <w:r>
              <w:rPr>
                <w:rFonts w:ascii="Arial" w:cs="Arial" w:eastAsia="Arial" w:hAnsi="Arial"/>
                <w:sz w:val="14"/>
                <w:szCs w:val="14"/>
                <w:color w:val="auto"/>
              </w:rPr>
              <w:t> </w:t>
            </w:r>
          </w:p>
        </w:tc>
        <w:tc>
          <w:tcPr>
            <w:tcW w:w="22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Committee Chair</w:t>
            </w:r>
          </w:p>
        </w:tc>
        <w:tc>
          <w:tcPr>
            <w:tcW w:w="0" w:type="dxa"/>
            <w:vAlign w:val="bottom"/>
          </w:tcPr>
          <w:p>
            <w:pPr>
              <w:spacing w:after="0"/>
              <w:rPr>
                <w:sz w:val="1"/>
                <w:szCs w:val="1"/>
                <w:color w:val="auto"/>
              </w:rPr>
            </w:pPr>
          </w:p>
        </w:tc>
      </w:tr>
      <w:tr>
        <w:trPr>
          <w:trHeight w:val="68"/>
        </w:trPr>
        <w:tc>
          <w:tcPr>
            <w:tcW w:w="44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2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4400" w:type="dxa"/>
            <w:vAlign w:val="bottom"/>
          </w:tcPr>
          <w:p>
            <w:pPr>
              <w:spacing w:after="0"/>
              <w:rPr>
                <w:sz w:val="20"/>
                <w:szCs w:val="20"/>
                <w:color w:val="auto"/>
              </w:rPr>
            </w:pPr>
            <w:r>
              <w:rPr>
                <w:rFonts w:ascii="Arial" w:cs="Arial" w:eastAsia="Arial" w:hAnsi="Arial"/>
                <w:sz w:val="14"/>
                <w:szCs w:val="14"/>
                <w:b w:val="1"/>
                <w:bCs w:val="1"/>
                <w:color w:val="auto"/>
              </w:rPr>
              <w:t xml:space="preserve">CGNC - </w:t>
            </w:r>
            <w:r>
              <w:rPr>
                <w:rFonts w:ascii="Arial" w:cs="Arial" w:eastAsia="Arial" w:hAnsi="Arial"/>
                <w:sz w:val="14"/>
                <w:szCs w:val="14"/>
                <w:color w:val="auto"/>
              </w:rPr>
              <w:t>Corporate Governance and Nominating Committee</w:t>
            </w:r>
          </w:p>
        </w:tc>
        <w:tc>
          <w:tcPr>
            <w:tcW w:w="540" w:type="dxa"/>
            <w:vAlign w:val="bottom"/>
          </w:tcPr>
          <w:p>
            <w:pPr>
              <w:spacing w:after="0"/>
              <w:rPr>
                <w:sz w:val="24"/>
                <w:szCs w:val="24"/>
                <w:color w:val="auto"/>
              </w:rPr>
            </w:pPr>
          </w:p>
        </w:tc>
        <w:tc>
          <w:tcPr>
            <w:tcW w:w="1240" w:type="dxa"/>
            <w:vAlign w:val="bottom"/>
            <w:vMerge w:val="restart"/>
          </w:tcPr>
          <w:p>
            <w:pPr>
              <w:ind w:left="960"/>
              <w:spacing w:after="0"/>
              <w:rPr>
                <w:sz w:val="20"/>
                <w:szCs w:val="20"/>
                <w:color w:val="auto"/>
              </w:rPr>
            </w:pPr>
            <w:r>
              <w:rPr>
                <w:rFonts w:ascii="Arial" w:cs="Arial" w:eastAsia="Arial" w:hAnsi="Arial"/>
                <w:sz w:val="14"/>
                <w:szCs w:val="14"/>
                <w:color w:val="auto"/>
              </w:rPr>
              <w:t> </w:t>
            </w:r>
          </w:p>
        </w:tc>
        <w:tc>
          <w:tcPr>
            <w:tcW w:w="22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Member</w:t>
            </w:r>
          </w:p>
        </w:tc>
        <w:tc>
          <w:tcPr>
            <w:tcW w:w="0" w:type="dxa"/>
            <w:vAlign w:val="bottom"/>
          </w:tcPr>
          <w:p>
            <w:pPr>
              <w:spacing w:after="0"/>
              <w:rPr>
                <w:sz w:val="1"/>
                <w:szCs w:val="1"/>
                <w:color w:val="auto"/>
              </w:rPr>
            </w:pPr>
          </w:p>
        </w:tc>
      </w:tr>
      <w:tr>
        <w:trPr>
          <w:trHeight w:val="68"/>
        </w:trPr>
        <w:tc>
          <w:tcPr>
            <w:tcW w:w="44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2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4400" w:type="dxa"/>
            <w:vAlign w:val="bottom"/>
          </w:tcPr>
          <w:p>
            <w:pPr>
              <w:spacing w:after="0"/>
              <w:rPr>
                <w:sz w:val="20"/>
                <w:szCs w:val="20"/>
                <w:color w:val="auto"/>
              </w:rPr>
            </w:pPr>
            <w:r>
              <w:rPr>
                <w:rFonts w:ascii="Arial" w:cs="Arial" w:eastAsia="Arial" w:hAnsi="Arial"/>
                <w:sz w:val="14"/>
                <w:szCs w:val="14"/>
                <w:b w:val="1"/>
                <w:bCs w:val="1"/>
                <w:color w:val="auto"/>
              </w:rPr>
              <w:t xml:space="preserve">TQRC - </w:t>
            </w:r>
            <w:r>
              <w:rPr>
                <w:rFonts w:ascii="Arial" w:cs="Arial" w:eastAsia="Arial" w:hAnsi="Arial"/>
                <w:sz w:val="14"/>
                <w:szCs w:val="14"/>
                <w:color w:val="auto"/>
              </w:rPr>
              <w:t>Technology, Quality and Regulatory Committee</w:t>
            </w: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40" w:type="dxa"/>
            <w:vAlign w:val="bottom"/>
          </w:tcPr>
          <w:p>
            <w:pPr>
              <w:ind w:left="220"/>
              <w:spacing w:after="0"/>
              <w:rPr>
                <w:sz w:val="20"/>
                <w:szCs w:val="20"/>
                <w:color w:val="auto"/>
              </w:rPr>
            </w:pPr>
            <w:r>
              <w:rPr>
                <w:rFonts w:ascii="Arial" w:cs="Arial" w:eastAsia="Arial" w:hAnsi="Arial"/>
                <w:sz w:val="14"/>
                <w:szCs w:val="14"/>
                <w:b w:val="1"/>
                <w:bCs w:val="1"/>
                <w:color w:val="auto"/>
              </w:rPr>
              <w:t>Independent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-1910080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-1910080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-1335405</wp:posOffset>
            </wp:positionV>
            <wp:extent cx="128905"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-1335405</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-838200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-598170</wp:posOffset>
            </wp:positionV>
            <wp:extent cx="128905"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-358140</wp:posOffset>
            </wp:positionV>
            <wp:extent cx="128905"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38" w:lineRule="exact"/>
        <w:rPr>
          <w:sz w:val="20"/>
          <w:szCs w:val="20"/>
          <w:color w:val="auto"/>
        </w:rPr>
      </w:pPr>
    </w:p>
    <w:p>
      <w:pPr>
        <w:ind w:left="300"/>
        <w:spacing w:after="0"/>
        <w:rPr>
          <w:sz w:val="20"/>
          <w:szCs w:val="20"/>
          <w:color w:val="auto"/>
        </w:rPr>
      </w:pPr>
      <w:r>
        <w:rPr>
          <w:rFonts w:ascii="Arial" w:cs="Arial" w:eastAsia="Arial" w:hAnsi="Arial"/>
          <w:sz w:val="25"/>
          <w:szCs w:val="25"/>
          <w:color w:val="342C82"/>
        </w:rPr>
        <w:t>Board key attributes</w:t>
      </w:r>
    </w:p>
    <w:p>
      <w:pPr>
        <w:spacing w:after="0" w:line="139" w:lineRule="exact"/>
        <w:rPr>
          <w:sz w:val="20"/>
          <w:szCs w:val="20"/>
          <w:color w:val="auto"/>
        </w:rPr>
      </w:pPr>
    </w:p>
    <w:p>
      <w:pPr>
        <w:ind w:left="300" w:right="339"/>
        <w:spacing w:after="0" w:line="256" w:lineRule="auto"/>
        <w:rPr>
          <w:sz w:val="20"/>
          <w:szCs w:val="20"/>
          <w:color w:val="auto"/>
        </w:rPr>
      </w:pPr>
      <w:r>
        <w:rPr>
          <w:rFonts w:ascii="Arial" w:cs="Arial" w:eastAsia="Arial" w:hAnsi="Arial"/>
          <w:sz w:val="16"/>
          <w:szCs w:val="16"/>
          <w:color w:val="auto"/>
        </w:rPr>
        <w:t>Ensuring that the Board is composed of directors who possess a wide variety of relevant skills, professional experience and backgrounds, bring diverse viewpoints and perspectives, and effectively represent the long-term interests of stockholders is a top priority of the Board and the Corporate Governance and Nominating Committee (the “Governance Committee”). Our Board composition reflects strong Board practices that support regular refreshment based on Board needs and proactive succession planning.</w:t>
      </w:r>
    </w:p>
    <w:p>
      <w:pPr>
        <w:spacing w:after="0" w:line="235" w:lineRule="exact"/>
        <w:rPr>
          <w:sz w:val="20"/>
          <w:szCs w:val="20"/>
          <w:color w:val="auto"/>
        </w:rPr>
      </w:pPr>
    </w:p>
    <w:p>
      <w:pPr>
        <w:ind w:left="300"/>
        <w:spacing w:after="0"/>
        <w:rPr>
          <w:sz w:val="20"/>
          <w:szCs w:val="20"/>
          <w:color w:val="auto"/>
        </w:rPr>
      </w:pPr>
      <w:r>
        <w:rPr>
          <w:rFonts w:ascii="Arial" w:cs="Arial" w:eastAsia="Arial" w:hAnsi="Arial"/>
          <w:sz w:val="22"/>
          <w:szCs w:val="22"/>
          <w:b w:val="1"/>
          <w:bCs w:val="1"/>
          <w:i w:val="1"/>
          <w:iCs w:val="1"/>
          <w:color w:val="auto"/>
        </w:rPr>
        <w:t>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70485</wp:posOffset>
            </wp:positionV>
            <wp:extent cx="1808480" cy="6858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08480" cy="68580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00"/>
        <w:spacing w:after="0"/>
        <w:rPr>
          <w:sz w:val="20"/>
          <w:szCs w:val="20"/>
          <w:color w:val="auto"/>
        </w:rPr>
      </w:pPr>
      <w:r>
        <w:rPr>
          <w:rFonts w:ascii="Arial" w:cs="Arial" w:eastAsia="Arial" w:hAnsi="Arial"/>
          <w:sz w:val="22"/>
          <w:szCs w:val="22"/>
          <w:b w:val="1"/>
          <w:bCs w:val="1"/>
          <w:i w:val="1"/>
          <w:iCs w:val="1"/>
          <w:color w:val="auto"/>
        </w:rPr>
        <w:t> </w:t>
      </w:r>
    </w:p>
    <w:p>
      <w:pPr>
        <w:spacing w:after="0" w:line="193" w:lineRule="exact"/>
        <w:rPr>
          <w:sz w:val="20"/>
          <w:szCs w:val="20"/>
          <w:color w:val="auto"/>
        </w:rPr>
      </w:pPr>
    </w:p>
    <w:p>
      <w:pPr>
        <w:ind w:left="300"/>
        <w:spacing w:after="0"/>
        <w:rPr>
          <w:sz w:val="20"/>
          <w:szCs w:val="20"/>
          <w:color w:val="auto"/>
        </w:rPr>
      </w:pPr>
      <w:r>
        <w:rPr>
          <w:rFonts w:ascii="Arial" w:cs="Arial" w:eastAsia="Arial" w:hAnsi="Arial"/>
          <w:sz w:val="21"/>
          <w:szCs w:val="21"/>
          <w:b w:val="1"/>
          <w:bCs w:val="1"/>
          <w:i w:val="1"/>
          <w:iCs w:val="1"/>
          <w:color w:val="auto"/>
        </w:rPr>
        <w:t>Diverse board representation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77470</wp:posOffset>
            </wp:positionV>
            <wp:extent cx="1054100" cy="1054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54100" cy="1054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00"/>
        <w:spacing w:after="0"/>
        <w:rPr>
          <w:sz w:val="20"/>
          <w:szCs w:val="20"/>
          <w:color w:val="auto"/>
        </w:rPr>
      </w:pPr>
      <w:r>
        <w:rPr>
          <w:rFonts w:ascii="Arial" w:cs="Arial" w:eastAsia="Arial" w:hAnsi="Arial"/>
          <w:sz w:val="22"/>
          <w:szCs w:val="22"/>
          <w:b w:val="1"/>
          <w:bCs w:val="1"/>
          <w:i w:val="1"/>
          <w:iCs w:val="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79375</wp:posOffset>
            </wp:positionV>
            <wp:extent cx="8229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342C82"/>
        </w:rPr>
        <w:t xml:space="preserve">7 </w:t>
      </w:r>
      <w:r>
        <w:rPr>
          <w:rFonts w:ascii="Arial" w:cs="Arial" w:eastAsia="Arial" w:hAnsi="Arial"/>
          <w:sz w:val="18"/>
          <w:szCs w:val="18"/>
          <w:b w:val="1"/>
          <w:bCs w:val="1"/>
          <w:color w:val="000000"/>
        </w:rPr>
        <w:t>of 9 director nominees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members of the</w:t>
      </w:r>
    </w:p>
    <w:p>
      <w:pPr>
        <w:spacing w:after="0"/>
        <w:rPr>
          <w:sz w:val="20"/>
          <w:szCs w:val="20"/>
          <w:color w:val="auto"/>
        </w:rPr>
      </w:pPr>
      <w:r>
        <w:rPr>
          <w:rFonts w:ascii="Arial" w:cs="Arial" w:eastAsia="Arial" w:hAnsi="Arial"/>
          <w:sz w:val="18"/>
          <w:szCs w:val="18"/>
          <w:b w:val="1"/>
          <w:bCs w:val="1"/>
          <w:color w:val="auto"/>
        </w:rPr>
        <w:t xml:space="preserve">Board are </w:t>
      </w:r>
      <w:r>
        <w:rPr>
          <w:rFonts w:ascii="Arial" w:cs="Arial" w:eastAsia="Arial" w:hAnsi="Arial"/>
          <w:sz w:val="18"/>
          <w:szCs w:val="18"/>
          <w:b w:val="1"/>
          <w:bCs w:val="1"/>
          <w:i w:val="1"/>
          <w:iCs w:val="1"/>
          <w:color w:val="342C82"/>
        </w:rPr>
        <w:t>independent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699"/>
        <w:spacing w:after="0" w:line="213" w:lineRule="auto"/>
        <w:rPr>
          <w:sz w:val="20"/>
          <w:szCs w:val="20"/>
          <w:color w:val="auto"/>
        </w:rPr>
      </w:pPr>
      <w:r>
        <w:rPr>
          <w:rFonts w:ascii="Arial" w:cs="Arial" w:eastAsia="Arial" w:hAnsi="Arial"/>
          <w:sz w:val="18"/>
          <w:szCs w:val="18"/>
          <w:b w:val="1"/>
          <w:bCs w:val="1"/>
          <w:color w:val="342C82"/>
        </w:rPr>
        <w:t xml:space="preserve">67% </w:t>
      </w:r>
      <w:r>
        <w:rPr>
          <w:rFonts w:ascii="Arial" w:cs="Arial" w:eastAsia="Arial" w:hAnsi="Arial"/>
          <w:sz w:val="18"/>
          <w:szCs w:val="18"/>
          <w:b w:val="1"/>
          <w:bCs w:val="1"/>
          <w:color w:val="000000"/>
        </w:rPr>
        <w:t>of director nominees and continuing</w:t>
      </w:r>
      <w:r>
        <w:rPr>
          <w:rFonts w:ascii="Arial" w:cs="Arial" w:eastAsia="Arial" w:hAnsi="Arial"/>
          <w:sz w:val="18"/>
          <w:szCs w:val="18"/>
          <w:b w:val="1"/>
          <w:bCs w:val="1"/>
          <w:color w:val="342C82"/>
        </w:rPr>
        <w:t xml:space="preserve"> </w:t>
      </w:r>
      <w:r>
        <w:rPr>
          <w:rFonts w:ascii="Arial" w:cs="Arial" w:eastAsia="Arial" w:hAnsi="Arial"/>
          <w:sz w:val="18"/>
          <w:szCs w:val="18"/>
          <w:b w:val="1"/>
          <w:bCs w:val="1"/>
          <w:color w:val="000000"/>
        </w:rPr>
        <w:t>members of the Board are ethnically and/or gender diverse</w:t>
      </w:r>
      <w:r>
        <w:rPr>
          <w:rFonts w:ascii="Arial" w:cs="Arial" w:eastAsia="Arial" w:hAnsi="Arial"/>
          <w:sz w:val="29"/>
          <w:szCs w:val="29"/>
          <w:b w:val="1"/>
          <w:bCs w:val="1"/>
          <w:color w:val="000000"/>
          <w:vertAlign w:val="superscript"/>
        </w:rPr>
        <w:t>1</w:t>
      </w:r>
    </w:p>
    <w:p>
      <w:pPr>
        <w:spacing w:after="0" w:line="237" w:lineRule="auto"/>
        <w:rPr>
          <w:sz w:val="20"/>
          <w:szCs w:val="20"/>
          <w:color w:val="auto"/>
        </w:rPr>
      </w:pPr>
      <w:r>
        <w:rPr>
          <w:rFonts w:ascii="Arial" w:cs="Arial" w:eastAsia="Arial" w:hAnsi="Arial"/>
          <w:sz w:val="18"/>
          <w:szCs w:val="18"/>
          <w:b w:val="1"/>
          <w:bCs w:val="1"/>
          <w:color w:val="auto"/>
        </w:rPr>
        <w:t> </w:t>
      </w:r>
    </w:p>
    <w:p>
      <w:pPr>
        <w:spacing w:after="0" w:line="235" w:lineRule="auto"/>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b w:val="1"/>
          <w:bCs w:val="1"/>
          <w:color w:val="342C82"/>
        </w:rPr>
        <w:t>3</w:t>
      </w:r>
      <w:r>
        <w:rPr>
          <w:rFonts w:ascii="Arial" w:cs="Arial" w:eastAsia="Arial" w:hAnsi="Arial"/>
          <w:sz w:val="18"/>
          <w:szCs w:val="18"/>
          <w:b w:val="1"/>
          <w:bCs w:val="1"/>
          <w:color w:val="auto"/>
        </w:rPr>
        <w:t xml:space="preserve"> directors are women</w:t>
      </w:r>
    </w:p>
    <w:p>
      <w:pPr>
        <w:spacing w:after="0" w:line="235" w:lineRule="auto"/>
        <w:rPr>
          <w:sz w:val="20"/>
          <w:szCs w:val="20"/>
          <w:color w:val="auto"/>
        </w:rPr>
      </w:pPr>
      <w:r>
        <w:rPr>
          <w:rFonts w:ascii="Arial" w:cs="Arial" w:eastAsia="Arial" w:hAnsi="Arial"/>
          <w:sz w:val="18"/>
          <w:szCs w:val="18"/>
          <w:b w:val="1"/>
          <w:bCs w:val="1"/>
          <w:color w:val="auto"/>
        </w:rPr>
        <w:t> </w:t>
      </w:r>
    </w:p>
    <w:p>
      <w:pPr>
        <w:spacing w:after="0" w:line="235" w:lineRule="auto"/>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b w:val="1"/>
          <w:bCs w:val="1"/>
          <w:color w:val="342C82"/>
        </w:rPr>
        <w:t>1</w:t>
      </w:r>
      <w:r>
        <w:rPr>
          <w:rFonts w:ascii="Arial" w:cs="Arial" w:eastAsia="Arial" w:hAnsi="Arial"/>
          <w:sz w:val="18"/>
          <w:szCs w:val="18"/>
          <w:b w:val="1"/>
          <w:bCs w:val="1"/>
          <w:color w:val="auto"/>
        </w:rPr>
        <w:t xml:space="preserve"> director is Asian</w:t>
      </w:r>
    </w:p>
    <w:p>
      <w:pPr>
        <w:spacing w:after="0" w:line="235" w:lineRule="auto"/>
        <w:rPr>
          <w:sz w:val="20"/>
          <w:szCs w:val="20"/>
          <w:color w:val="auto"/>
        </w:rPr>
      </w:pPr>
      <w:r>
        <w:rPr>
          <w:rFonts w:ascii="Arial" w:cs="Arial" w:eastAsia="Arial" w:hAnsi="Arial"/>
          <w:sz w:val="18"/>
          <w:szCs w:val="18"/>
          <w:b w:val="1"/>
          <w:bCs w:val="1"/>
          <w:color w:val="auto"/>
        </w:rPr>
        <w:t> </w:t>
      </w:r>
    </w:p>
    <w:p>
      <w:pPr>
        <w:ind w:left="260" w:right="1379" w:hanging="262"/>
        <w:spacing w:after="0" w:line="260" w:lineRule="auto"/>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b w:val="1"/>
          <w:bCs w:val="1"/>
          <w:color w:val="342C82"/>
        </w:rPr>
        <w:t>2</w:t>
      </w:r>
      <w:r>
        <w:rPr>
          <w:rFonts w:ascii="Arial" w:cs="Arial" w:eastAsia="Arial" w:hAnsi="Arial"/>
          <w:sz w:val="18"/>
          <w:szCs w:val="18"/>
          <w:b w:val="1"/>
          <w:bCs w:val="1"/>
          <w:color w:val="auto"/>
        </w:rPr>
        <w:t xml:space="preserve"> directors are African American or Black</w:t>
      </w:r>
    </w:p>
    <w:p>
      <w:pPr>
        <w:spacing w:after="0" w:line="213" w:lineRule="exact"/>
        <w:rPr>
          <w:sz w:val="20"/>
          <w:szCs w:val="20"/>
          <w:color w:val="auto"/>
        </w:rPr>
      </w:pPr>
    </w:p>
    <w:p>
      <w:pPr>
        <w:sectPr>
          <w:pgSz w:w="11900" w:h="16838" w:orient="portrait"/>
          <w:cols w:equalWidth="0" w:num="2">
            <w:col w:w="3900" w:space="720"/>
            <w:col w:w="4399"/>
          </w:cols>
          <w:pgMar w:left="1440" w:top="114" w:right="1440" w:bottom="1440" w:gutter="0" w:footer="0" w:header="0"/>
          <w:type w:val="continuous"/>
        </w:sectPr>
      </w:pPr>
    </w:p>
    <w:p>
      <w:pPr>
        <w:ind w:left="300"/>
        <w:spacing w:after="0"/>
        <w:rPr>
          <w:sz w:val="20"/>
          <w:szCs w:val="20"/>
          <w:color w:val="auto"/>
        </w:rPr>
      </w:pPr>
      <w:r>
        <w:rPr>
          <w:rFonts w:ascii="Arial" w:cs="Arial" w:eastAsia="Arial" w:hAnsi="Arial"/>
          <w:sz w:val="11"/>
          <w:szCs w:val="11"/>
          <w:color w:val="auto"/>
        </w:rPr>
        <w:t>1</w:t>
      </w:r>
    </w:p>
    <w:p>
      <w:pPr>
        <w:ind w:left="540" w:right="579"/>
        <w:spacing w:after="0" w:line="264" w:lineRule="auto"/>
        <w:rPr>
          <w:sz w:val="20"/>
          <w:szCs w:val="20"/>
          <w:color w:val="auto"/>
        </w:rPr>
      </w:pPr>
      <w:r>
        <w:rPr>
          <w:rFonts w:ascii="Arial" w:cs="Arial" w:eastAsia="Arial" w:hAnsi="Arial"/>
          <w:sz w:val="14"/>
          <w:szCs w:val="14"/>
          <w:color w:val="auto"/>
        </w:rPr>
        <w:t>Ethnically diverse means identification as a member of one of the following ethnic groups: African American or Black, Alaska Native or Native American, Asian, Hispanic or Latinx, or Native Hawaiian or Pacific Islander.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123825</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7" w:name="page8"/>
    <w:bookmarkEnd w:id="7"/>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1300"/>
        <w:spacing w:after="0"/>
        <w:rPr>
          <w:sz w:val="20"/>
          <w:szCs w:val="20"/>
          <w:color w:val="auto"/>
        </w:rPr>
      </w:pPr>
      <w:r>
        <w:rPr>
          <w:rFonts w:ascii="Arial" w:cs="Arial" w:eastAsia="Arial" w:hAnsi="Arial"/>
          <w:sz w:val="16"/>
          <w:szCs w:val="16"/>
          <w:color w:val="342C82"/>
        </w:rPr>
        <w:t>Proxy statement overview</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5"/>
          <w:szCs w:val="25"/>
          <w:color w:val="342C82"/>
        </w:rPr>
        <w:t>Director diversity matrix (as of December 1, 2024)</w:t>
      </w:r>
    </w:p>
    <w:p>
      <w:pPr>
        <w:spacing w:after="0" w:line="166" w:lineRule="exact"/>
        <w:rPr>
          <w:sz w:val="20"/>
          <w:szCs w:val="20"/>
          <w:color w:val="auto"/>
        </w:rPr>
      </w:pPr>
    </w:p>
    <w:tbl>
      <w:tblPr>
        <w:tblLayout w:type="fixed"/>
        <w:tblInd w:w="1300" w:type="dxa"/>
        <w:tblCellMar>
          <w:top w:w="0" w:type="dxa"/>
          <w:left w:w="0" w:type="dxa"/>
          <w:bottom w:w="0" w:type="dxa"/>
          <w:right w:w="0" w:type="dxa"/>
        </w:tblCellMar>
      </w:tblPr>
      <w:tr>
        <w:trPr>
          <w:trHeight w:val="223"/>
        </w:trPr>
        <w:tc>
          <w:tcPr>
            <w:tcW w:w="4200" w:type="dxa"/>
            <w:vAlign w:val="bottom"/>
          </w:tcPr>
          <w:p>
            <w:pPr>
              <w:ind w:left="80"/>
              <w:spacing w:after="0"/>
              <w:rPr>
                <w:sz w:val="20"/>
                <w:szCs w:val="20"/>
                <w:color w:val="auto"/>
              </w:rPr>
            </w:pPr>
            <w:r>
              <w:rPr>
                <w:rFonts w:ascii="Arial" w:cs="Arial" w:eastAsia="Arial" w:hAnsi="Arial"/>
                <w:sz w:val="16"/>
                <w:szCs w:val="16"/>
                <w:b w:val="1"/>
                <w:bCs w:val="1"/>
                <w:color w:val="auto"/>
              </w:rPr>
              <w:t>Total Number of Directors</w:t>
            </w:r>
          </w:p>
        </w:tc>
        <w:tc>
          <w:tcPr>
            <w:tcW w:w="2020" w:type="dxa"/>
            <w:vAlign w:val="bottom"/>
          </w:tcPr>
          <w:p>
            <w:pPr>
              <w:spacing w:after="0"/>
              <w:rPr>
                <w:sz w:val="19"/>
                <w:szCs w:val="19"/>
                <w:color w:val="auto"/>
              </w:rPr>
            </w:pPr>
          </w:p>
        </w:tc>
        <w:tc>
          <w:tcPr>
            <w:tcW w:w="2200" w:type="dxa"/>
            <w:vAlign w:val="bottom"/>
          </w:tcPr>
          <w:p>
            <w:pPr>
              <w:jc w:val="right"/>
              <w:ind w:right="1579"/>
              <w:spacing w:after="0"/>
              <w:rPr>
                <w:sz w:val="20"/>
                <w:szCs w:val="20"/>
                <w:color w:val="auto"/>
              </w:rPr>
            </w:pPr>
            <w:r>
              <w:rPr>
                <w:rFonts w:ascii="Arial" w:cs="Arial" w:eastAsia="Arial" w:hAnsi="Arial"/>
                <w:sz w:val="16"/>
                <w:szCs w:val="16"/>
                <w:b w:val="1"/>
                <w:bCs w:val="1"/>
                <w:color w:val="auto"/>
              </w:rPr>
              <w:t>9</w:t>
            </w:r>
          </w:p>
        </w:tc>
      </w:tr>
      <w:tr>
        <w:trPr>
          <w:trHeight w:val="21"/>
        </w:trPr>
        <w:tc>
          <w:tcPr>
            <w:tcW w:w="4200" w:type="dxa"/>
            <w:vAlign w:val="bottom"/>
            <w:tcBorders>
              <w:bottom w:val="single" w:sz="8" w:color="342C82"/>
            </w:tcBorders>
          </w:tcPr>
          <w:p>
            <w:pPr>
              <w:spacing w:after="0" w:line="20" w:lineRule="exact"/>
              <w:rPr>
                <w:sz w:val="1"/>
                <w:szCs w:val="1"/>
                <w:color w:val="auto"/>
              </w:rPr>
            </w:pPr>
          </w:p>
        </w:tc>
        <w:tc>
          <w:tcPr>
            <w:tcW w:w="2020" w:type="dxa"/>
            <w:vAlign w:val="bottom"/>
            <w:tcBorders>
              <w:bottom w:val="single" w:sz="8" w:color="342C82"/>
            </w:tcBorders>
          </w:tcPr>
          <w:p>
            <w:pPr>
              <w:spacing w:after="0" w:line="20" w:lineRule="exact"/>
              <w:rPr>
                <w:sz w:val="1"/>
                <w:szCs w:val="1"/>
                <w:color w:val="auto"/>
              </w:rPr>
            </w:pPr>
          </w:p>
        </w:tc>
        <w:tc>
          <w:tcPr>
            <w:tcW w:w="2200" w:type="dxa"/>
            <w:vAlign w:val="bottom"/>
            <w:tcBorders>
              <w:bottom w:val="single" w:sz="8" w:color="342C82"/>
            </w:tcBorders>
          </w:tcPr>
          <w:p>
            <w:pPr>
              <w:spacing w:after="0" w:line="20" w:lineRule="exact"/>
              <w:rPr>
                <w:sz w:val="1"/>
                <w:szCs w:val="1"/>
                <w:color w:val="auto"/>
              </w:rPr>
            </w:pPr>
          </w:p>
        </w:tc>
      </w:tr>
      <w:tr>
        <w:trPr>
          <w:trHeight w:val="243"/>
        </w:trPr>
        <w:tc>
          <w:tcPr>
            <w:tcW w:w="42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Part I: Gender Identity</w:t>
            </w:r>
          </w:p>
        </w:tc>
        <w:tc>
          <w:tcPr>
            <w:tcW w:w="2020" w:type="dxa"/>
            <w:vAlign w:val="bottom"/>
            <w:tcBorders>
              <w:bottom w:val="single" w:sz="8" w:color="auto"/>
            </w:tcBorders>
          </w:tcPr>
          <w:p>
            <w:pPr>
              <w:ind w:left="1020"/>
              <w:spacing w:after="0"/>
              <w:rPr>
                <w:sz w:val="20"/>
                <w:szCs w:val="20"/>
                <w:color w:val="auto"/>
              </w:rPr>
            </w:pPr>
            <w:r>
              <w:rPr>
                <w:rFonts w:ascii="Arial" w:cs="Arial" w:eastAsia="Arial" w:hAnsi="Arial"/>
                <w:sz w:val="16"/>
                <w:szCs w:val="16"/>
                <w:b w:val="1"/>
                <w:bCs w:val="1"/>
                <w:color w:val="auto"/>
              </w:rPr>
              <w:t>Female</w:t>
            </w:r>
          </w:p>
        </w:tc>
        <w:tc>
          <w:tcPr>
            <w:tcW w:w="22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Male</w:t>
            </w:r>
          </w:p>
        </w:tc>
      </w:tr>
      <w:tr>
        <w:trPr>
          <w:trHeight w:val="223"/>
        </w:trPr>
        <w:tc>
          <w:tcPr>
            <w:tcW w:w="4200" w:type="dxa"/>
            <w:vAlign w:val="bottom"/>
            <w:tcBorders>
              <w:bottom w:val="single" w:sz="8" w:color="808080"/>
            </w:tcBorders>
          </w:tcPr>
          <w:p>
            <w:pPr>
              <w:ind w:left="80"/>
              <w:spacing w:after="0"/>
              <w:rPr>
                <w:sz w:val="20"/>
                <w:szCs w:val="20"/>
                <w:color w:val="auto"/>
              </w:rPr>
            </w:pPr>
            <w:r>
              <w:rPr>
                <w:rFonts w:ascii="Arial" w:cs="Arial" w:eastAsia="Arial" w:hAnsi="Arial"/>
                <w:sz w:val="16"/>
                <w:szCs w:val="16"/>
                <w:color w:val="auto"/>
              </w:rPr>
              <w:t>Directors</w:t>
            </w:r>
          </w:p>
        </w:tc>
        <w:tc>
          <w:tcPr>
            <w:tcW w:w="2020" w:type="dxa"/>
            <w:vAlign w:val="bottom"/>
            <w:tcBorders>
              <w:bottom w:val="single" w:sz="8" w:color="808080"/>
            </w:tcBorders>
          </w:tcPr>
          <w:p>
            <w:pPr>
              <w:jc w:val="center"/>
              <w:ind w:left="579"/>
              <w:spacing w:after="0"/>
              <w:rPr>
                <w:sz w:val="20"/>
                <w:szCs w:val="20"/>
                <w:color w:val="auto"/>
              </w:rPr>
            </w:pPr>
            <w:r>
              <w:rPr>
                <w:rFonts w:ascii="Arial" w:cs="Arial" w:eastAsia="Arial" w:hAnsi="Arial"/>
                <w:sz w:val="16"/>
                <w:szCs w:val="16"/>
                <w:color w:val="auto"/>
                <w:w w:val="89"/>
              </w:rPr>
              <w:t>3</w:t>
            </w:r>
          </w:p>
        </w:tc>
        <w:tc>
          <w:tcPr>
            <w:tcW w:w="2200" w:type="dxa"/>
            <w:vAlign w:val="bottom"/>
            <w:tcBorders>
              <w:bottom w:val="single" w:sz="8" w:color="808080"/>
            </w:tcBorders>
          </w:tcPr>
          <w:p>
            <w:pPr>
              <w:jc w:val="center"/>
              <w:ind w:left="959"/>
              <w:spacing w:after="0"/>
              <w:rPr>
                <w:sz w:val="20"/>
                <w:szCs w:val="20"/>
                <w:color w:val="auto"/>
              </w:rPr>
            </w:pPr>
            <w:r>
              <w:rPr>
                <w:rFonts w:ascii="Arial" w:cs="Arial" w:eastAsia="Arial" w:hAnsi="Arial"/>
                <w:sz w:val="16"/>
                <w:szCs w:val="16"/>
                <w:color w:val="auto"/>
                <w:w w:val="89"/>
              </w:rPr>
              <w:t>6</w:t>
            </w:r>
          </w:p>
        </w:tc>
      </w:tr>
      <w:tr>
        <w:trPr>
          <w:trHeight w:val="250"/>
        </w:trPr>
        <w:tc>
          <w:tcPr>
            <w:tcW w:w="42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Part II: Demographic Background</w:t>
            </w:r>
          </w:p>
        </w:tc>
        <w:tc>
          <w:tcPr>
            <w:tcW w:w="202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tcPr>
          <w:p>
            <w:pPr>
              <w:spacing w:after="0"/>
              <w:rPr>
                <w:sz w:val="21"/>
                <w:szCs w:val="21"/>
                <w:color w:val="auto"/>
              </w:rPr>
            </w:pPr>
          </w:p>
        </w:tc>
      </w:tr>
      <w:tr>
        <w:trPr>
          <w:trHeight w:val="223"/>
        </w:trPr>
        <w:tc>
          <w:tcPr>
            <w:tcW w:w="4200" w:type="dxa"/>
            <w:vAlign w:val="bottom"/>
            <w:tcBorders>
              <w:bottom w:val="single" w:sz="8" w:color="808080"/>
            </w:tcBorders>
          </w:tcPr>
          <w:p>
            <w:pPr>
              <w:ind w:left="80"/>
              <w:spacing w:after="0"/>
              <w:rPr>
                <w:sz w:val="20"/>
                <w:szCs w:val="20"/>
                <w:color w:val="auto"/>
              </w:rPr>
            </w:pPr>
            <w:r>
              <w:rPr>
                <w:rFonts w:ascii="Arial" w:cs="Arial" w:eastAsia="Arial" w:hAnsi="Arial"/>
                <w:sz w:val="16"/>
                <w:szCs w:val="16"/>
                <w:color w:val="auto"/>
              </w:rPr>
              <w:t>African American or Black</w:t>
            </w:r>
          </w:p>
        </w:tc>
        <w:tc>
          <w:tcPr>
            <w:tcW w:w="2020" w:type="dxa"/>
            <w:vAlign w:val="bottom"/>
            <w:tcBorders>
              <w:bottom w:val="single" w:sz="8" w:color="808080"/>
            </w:tcBorders>
          </w:tcPr>
          <w:p>
            <w:pPr>
              <w:jc w:val="center"/>
              <w:ind w:left="579"/>
              <w:spacing w:after="0"/>
              <w:rPr>
                <w:sz w:val="20"/>
                <w:szCs w:val="20"/>
                <w:color w:val="auto"/>
              </w:rPr>
            </w:pPr>
            <w:r>
              <w:rPr>
                <w:rFonts w:ascii="Arial" w:cs="Arial" w:eastAsia="Arial" w:hAnsi="Arial"/>
                <w:sz w:val="16"/>
                <w:szCs w:val="16"/>
                <w:color w:val="auto"/>
                <w:w w:val="74"/>
              </w:rPr>
              <w:t>-</w:t>
            </w:r>
          </w:p>
        </w:tc>
        <w:tc>
          <w:tcPr>
            <w:tcW w:w="2200" w:type="dxa"/>
            <w:vAlign w:val="bottom"/>
            <w:tcBorders>
              <w:bottom w:val="single" w:sz="8" w:color="808080"/>
            </w:tcBorders>
          </w:tcPr>
          <w:p>
            <w:pPr>
              <w:jc w:val="center"/>
              <w:ind w:left="959"/>
              <w:spacing w:after="0"/>
              <w:rPr>
                <w:sz w:val="20"/>
                <w:szCs w:val="20"/>
                <w:color w:val="auto"/>
              </w:rPr>
            </w:pPr>
            <w:r>
              <w:rPr>
                <w:rFonts w:ascii="Arial" w:cs="Arial" w:eastAsia="Arial" w:hAnsi="Arial"/>
                <w:sz w:val="16"/>
                <w:szCs w:val="16"/>
                <w:color w:val="auto"/>
                <w:w w:val="89"/>
              </w:rPr>
              <w:t>2</w:t>
            </w:r>
          </w:p>
        </w:tc>
      </w:tr>
      <w:tr>
        <w:trPr>
          <w:trHeight w:val="237"/>
        </w:trPr>
        <w:tc>
          <w:tcPr>
            <w:tcW w:w="4200" w:type="dxa"/>
            <w:vAlign w:val="bottom"/>
            <w:tcBorders>
              <w:bottom w:val="single" w:sz="8" w:color="808080"/>
            </w:tcBorders>
          </w:tcPr>
          <w:p>
            <w:pPr>
              <w:ind w:left="80"/>
              <w:spacing w:after="0"/>
              <w:rPr>
                <w:sz w:val="20"/>
                <w:szCs w:val="20"/>
                <w:color w:val="auto"/>
              </w:rPr>
            </w:pPr>
            <w:r>
              <w:rPr>
                <w:rFonts w:ascii="Arial" w:cs="Arial" w:eastAsia="Arial" w:hAnsi="Arial"/>
                <w:sz w:val="16"/>
                <w:szCs w:val="16"/>
                <w:color w:val="auto"/>
              </w:rPr>
              <w:t>Alaskan Native or Native American</w:t>
            </w:r>
          </w:p>
        </w:tc>
        <w:tc>
          <w:tcPr>
            <w:tcW w:w="2020" w:type="dxa"/>
            <w:vAlign w:val="bottom"/>
            <w:tcBorders>
              <w:bottom w:val="single" w:sz="8" w:color="808080"/>
            </w:tcBorders>
          </w:tcPr>
          <w:p>
            <w:pPr>
              <w:jc w:val="center"/>
              <w:ind w:left="579"/>
              <w:spacing w:after="0"/>
              <w:rPr>
                <w:sz w:val="20"/>
                <w:szCs w:val="20"/>
                <w:color w:val="auto"/>
              </w:rPr>
            </w:pPr>
            <w:r>
              <w:rPr>
                <w:rFonts w:ascii="Arial" w:cs="Arial" w:eastAsia="Arial" w:hAnsi="Arial"/>
                <w:sz w:val="16"/>
                <w:szCs w:val="16"/>
                <w:color w:val="auto"/>
                <w:w w:val="74"/>
              </w:rPr>
              <w:t>-</w:t>
            </w:r>
          </w:p>
        </w:tc>
        <w:tc>
          <w:tcPr>
            <w:tcW w:w="2200" w:type="dxa"/>
            <w:vAlign w:val="bottom"/>
            <w:tcBorders>
              <w:bottom w:val="single" w:sz="8" w:color="808080"/>
            </w:tcBorders>
          </w:tcPr>
          <w:p>
            <w:pPr>
              <w:jc w:val="center"/>
              <w:ind w:left="939"/>
              <w:spacing w:after="0"/>
              <w:rPr>
                <w:sz w:val="20"/>
                <w:szCs w:val="20"/>
                <w:color w:val="auto"/>
              </w:rPr>
            </w:pPr>
            <w:r>
              <w:rPr>
                <w:rFonts w:ascii="Arial" w:cs="Arial" w:eastAsia="Arial" w:hAnsi="Arial"/>
                <w:sz w:val="16"/>
                <w:szCs w:val="16"/>
                <w:color w:val="auto"/>
              </w:rPr>
              <w:t>-</w:t>
            </w:r>
          </w:p>
        </w:tc>
      </w:tr>
      <w:tr>
        <w:trPr>
          <w:trHeight w:val="237"/>
        </w:trPr>
        <w:tc>
          <w:tcPr>
            <w:tcW w:w="4200" w:type="dxa"/>
            <w:vAlign w:val="bottom"/>
            <w:tcBorders>
              <w:bottom w:val="single" w:sz="8" w:color="808080"/>
            </w:tcBorders>
          </w:tcPr>
          <w:p>
            <w:pPr>
              <w:ind w:left="80"/>
              <w:spacing w:after="0"/>
              <w:rPr>
                <w:sz w:val="20"/>
                <w:szCs w:val="20"/>
                <w:color w:val="auto"/>
              </w:rPr>
            </w:pPr>
            <w:r>
              <w:rPr>
                <w:rFonts w:ascii="Arial" w:cs="Arial" w:eastAsia="Arial" w:hAnsi="Arial"/>
                <w:sz w:val="16"/>
                <w:szCs w:val="16"/>
                <w:color w:val="auto"/>
              </w:rPr>
              <w:t>Asian</w:t>
            </w:r>
          </w:p>
        </w:tc>
        <w:tc>
          <w:tcPr>
            <w:tcW w:w="2020" w:type="dxa"/>
            <w:vAlign w:val="bottom"/>
            <w:tcBorders>
              <w:bottom w:val="single" w:sz="8" w:color="808080"/>
            </w:tcBorders>
          </w:tcPr>
          <w:p>
            <w:pPr>
              <w:jc w:val="center"/>
              <w:ind w:left="579"/>
              <w:spacing w:after="0"/>
              <w:rPr>
                <w:sz w:val="20"/>
                <w:szCs w:val="20"/>
                <w:color w:val="auto"/>
              </w:rPr>
            </w:pPr>
            <w:r>
              <w:rPr>
                <w:rFonts w:ascii="Arial" w:cs="Arial" w:eastAsia="Arial" w:hAnsi="Arial"/>
                <w:sz w:val="16"/>
                <w:szCs w:val="16"/>
                <w:color w:val="auto"/>
                <w:w w:val="74"/>
              </w:rPr>
              <w:t>-</w:t>
            </w:r>
          </w:p>
        </w:tc>
        <w:tc>
          <w:tcPr>
            <w:tcW w:w="2200" w:type="dxa"/>
            <w:vAlign w:val="bottom"/>
            <w:tcBorders>
              <w:bottom w:val="single" w:sz="8" w:color="808080"/>
            </w:tcBorders>
          </w:tcPr>
          <w:p>
            <w:pPr>
              <w:jc w:val="center"/>
              <w:ind w:left="959"/>
              <w:spacing w:after="0"/>
              <w:rPr>
                <w:sz w:val="20"/>
                <w:szCs w:val="20"/>
                <w:color w:val="auto"/>
              </w:rPr>
            </w:pPr>
            <w:r>
              <w:rPr>
                <w:rFonts w:ascii="Arial" w:cs="Arial" w:eastAsia="Arial" w:hAnsi="Arial"/>
                <w:sz w:val="16"/>
                <w:szCs w:val="16"/>
                <w:color w:val="auto"/>
                <w:w w:val="89"/>
              </w:rPr>
              <w:t>1</w:t>
            </w:r>
          </w:p>
        </w:tc>
      </w:tr>
      <w:tr>
        <w:trPr>
          <w:trHeight w:val="237"/>
        </w:trPr>
        <w:tc>
          <w:tcPr>
            <w:tcW w:w="4200" w:type="dxa"/>
            <w:vAlign w:val="bottom"/>
            <w:tcBorders>
              <w:bottom w:val="single" w:sz="8" w:color="808080"/>
            </w:tcBorders>
          </w:tcPr>
          <w:p>
            <w:pPr>
              <w:ind w:left="80"/>
              <w:spacing w:after="0"/>
              <w:rPr>
                <w:sz w:val="20"/>
                <w:szCs w:val="20"/>
                <w:color w:val="auto"/>
              </w:rPr>
            </w:pPr>
            <w:r>
              <w:rPr>
                <w:rFonts w:ascii="Arial" w:cs="Arial" w:eastAsia="Arial" w:hAnsi="Arial"/>
                <w:sz w:val="16"/>
                <w:szCs w:val="16"/>
                <w:color w:val="auto"/>
              </w:rPr>
              <w:t>Hispanic or Latinx</w:t>
            </w:r>
          </w:p>
        </w:tc>
        <w:tc>
          <w:tcPr>
            <w:tcW w:w="2020" w:type="dxa"/>
            <w:vAlign w:val="bottom"/>
            <w:tcBorders>
              <w:bottom w:val="single" w:sz="8" w:color="808080"/>
            </w:tcBorders>
          </w:tcPr>
          <w:p>
            <w:pPr>
              <w:jc w:val="center"/>
              <w:ind w:left="579"/>
              <w:spacing w:after="0"/>
              <w:rPr>
                <w:sz w:val="20"/>
                <w:szCs w:val="20"/>
                <w:color w:val="auto"/>
              </w:rPr>
            </w:pPr>
            <w:r>
              <w:rPr>
                <w:rFonts w:ascii="Arial" w:cs="Arial" w:eastAsia="Arial" w:hAnsi="Arial"/>
                <w:sz w:val="16"/>
                <w:szCs w:val="16"/>
                <w:color w:val="auto"/>
                <w:w w:val="74"/>
              </w:rPr>
              <w:t>-</w:t>
            </w:r>
          </w:p>
        </w:tc>
        <w:tc>
          <w:tcPr>
            <w:tcW w:w="2200" w:type="dxa"/>
            <w:vAlign w:val="bottom"/>
            <w:tcBorders>
              <w:bottom w:val="single" w:sz="8" w:color="808080"/>
            </w:tcBorders>
          </w:tcPr>
          <w:p>
            <w:pPr>
              <w:jc w:val="center"/>
              <w:ind w:left="939"/>
              <w:spacing w:after="0"/>
              <w:rPr>
                <w:sz w:val="20"/>
                <w:szCs w:val="20"/>
                <w:color w:val="auto"/>
              </w:rPr>
            </w:pPr>
            <w:r>
              <w:rPr>
                <w:rFonts w:ascii="Arial" w:cs="Arial" w:eastAsia="Arial" w:hAnsi="Arial"/>
                <w:sz w:val="16"/>
                <w:szCs w:val="16"/>
                <w:color w:val="auto"/>
              </w:rPr>
              <w:t>-</w:t>
            </w:r>
          </w:p>
        </w:tc>
      </w:tr>
      <w:tr>
        <w:trPr>
          <w:trHeight w:val="236"/>
        </w:trPr>
        <w:tc>
          <w:tcPr>
            <w:tcW w:w="4200" w:type="dxa"/>
            <w:vAlign w:val="bottom"/>
            <w:tcBorders>
              <w:bottom w:val="single" w:sz="8" w:color="808080"/>
            </w:tcBorders>
          </w:tcPr>
          <w:p>
            <w:pPr>
              <w:ind w:left="80"/>
              <w:spacing w:after="0"/>
              <w:rPr>
                <w:sz w:val="20"/>
                <w:szCs w:val="20"/>
                <w:color w:val="auto"/>
              </w:rPr>
            </w:pPr>
            <w:r>
              <w:rPr>
                <w:rFonts w:ascii="Arial" w:cs="Arial" w:eastAsia="Arial" w:hAnsi="Arial"/>
                <w:sz w:val="16"/>
                <w:szCs w:val="16"/>
                <w:color w:val="auto"/>
              </w:rPr>
              <w:t>Native Hawaiian or Pacific Islander</w:t>
            </w:r>
          </w:p>
        </w:tc>
        <w:tc>
          <w:tcPr>
            <w:tcW w:w="2020" w:type="dxa"/>
            <w:vAlign w:val="bottom"/>
            <w:tcBorders>
              <w:bottom w:val="single" w:sz="8" w:color="808080"/>
            </w:tcBorders>
          </w:tcPr>
          <w:p>
            <w:pPr>
              <w:jc w:val="center"/>
              <w:ind w:left="579"/>
              <w:spacing w:after="0"/>
              <w:rPr>
                <w:sz w:val="20"/>
                <w:szCs w:val="20"/>
                <w:color w:val="auto"/>
              </w:rPr>
            </w:pPr>
            <w:r>
              <w:rPr>
                <w:rFonts w:ascii="Arial" w:cs="Arial" w:eastAsia="Arial" w:hAnsi="Arial"/>
                <w:sz w:val="16"/>
                <w:szCs w:val="16"/>
                <w:color w:val="auto"/>
                <w:w w:val="74"/>
              </w:rPr>
              <w:t>-</w:t>
            </w:r>
          </w:p>
        </w:tc>
        <w:tc>
          <w:tcPr>
            <w:tcW w:w="2200" w:type="dxa"/>
            <w:vAlign w:val="bottom"/>
            <w:tcBorders>
              <w:bottom w:val="single" w:sz="8" w:color="808080"/>
            </w:tcBorders>
          </w:tcPr>
          <w:p>
            <w:pPr>
              <w:jc w:val="center"/>
              <w:ind w:left="939"/>
              <w:spacing w:after="0"/>
              <w:rPr>
                <w:sz w:val="20"/>
                <w:szCs w:val="20"/>
                <w:color w:val="auto"/>
              </w:rPr>
            </w:pPr>
            <w:r>
              <w:rPr>
                <w:rFonts w:ascii="Arial" w:cs="Arial" w:eastAsia="Arial" w:hAnsi="Arial"/>
                <w:sz w:val="16"/>
                <w:szCs w:val="16"/>
                <w:color w:val="auto"/>
              </w:rPr>
              <w:t>-</w:t>
            </w:r>
          </w:p>
        </w:tc>
      </w:tr>
      <w:tr>
        <w:trPr>
          <w:trHeight w:val="237"/>
        </w:trPr>
        <w:tc>
          <w:tcPr>
            <w:tcW w:w="4200" w:type="dxa"/>
            <w:vAlign w:val="bottom"/>
            <w:tcBorders>
              <w:bottom w:val="single" w:sz="8" w:color="808080"/>
            </w:tcBorders>
          </w:tcPr>
          <w:p>
            <w:pPr>
              <w:ind w:left="80"/>
              <w:spacing w:after="0"/>
              <w:rPr>
                <w:sz w:val="20"/>
                <w:szCs w:val="20"/>
                <w:color w:val="auto"/>
              </w:rPr>
            </w:pPr>
            <w:r>
              <w:rPr>
                <w:rFonts w:ascii="Arial" w:cs="Arial" w:eastAsia="Arial" w:hAnsi="Arial"/>
                <w:sz w:val="16"/>
                <w:szCs w:val="16"/>
                <w:color w:val="auto"/>
              </w:rPr>
              <w:t>White</w:t>
            </w:r>
          </w:p>
        </w:tc>
        <w:tc>
          <w:tcPr>
            <w:tcW w:w="2020" w:type="dxa"/>
            <w:vAlign w:val="bottom"/>
            <w:tcBorders>
              <w:bottom w:val="single" w:sz="8" w:color="808080"/>
            </w:tcBorders>
          </w:tcPr>
          <w:p>
            <w:pPr>
              <w:jc w:val="center"/>
              <w:ind w:left="579"/>
              <w:spacing w:after="0"/>
              <w:rPr>
                <w:sz w:val="20"/>
                <w:szCs w:val="20"/>
                <w:color w:val="auto"/>
              </w:rPr>
            </w:pPr>
            <w:r>
              <w:rPr>
                <w:rFonts w:ascii="Arial" w:cs="Arial" w:eastAsia="Arial" w:hAnsi="Arial"/>
                <w:sz w:val="16"/>
                <w:szCs w:val="16"/>
                <w:color w:val="auto"/>
                <w:w w:val="89"/>
              </w:rPr>
              <w:t>3</w:t>
            </w:r>
          </w:p>
        </w:tc>
        <w:tc>
          <w:tcPr>
            <w:tcW w:w="2200" w:type="dxa"/>
            <w:vAlign w:val="bottom"/>
            <w:tcBorders>
              <w:bottom w:val="single" w:sz="8" w:color="808080"/>
            </w:tcBorders>
          </w:tcPr>
          <w:p>
            <w:pPr>
              <w:jc w:val="center"/>
              <w:ind w:left="959"/>
              <w:spacing w:after="0"/>
              <w:rPr>
                <w:sz w:val="20"/>
                <w:szCs w:val="20"/>
                <w:color w:val="auto"/>
              </w:rPr>
            </w:pPr>
            <w:r>
              <w:rPr>
                <w:rFonts w:ascii="Arial" w:cs="Arial" w:eastAsia="Arial" w:hAnsi="Arial"/>
                <w:sz w:val="16"/>
                <w:szCs w:val="16"/>
                <w:color w:val="auto"/>
                <w:w w:val="89"/>
              </w:rPr>
              <w:t>3</w:t>
            </w:r>
          </w:p>
        </w:tc>
      </w:tr>
      <w:tr>
        <w:trPr>
          <w:trHeight w:val="237"/>
        </w:trPr>
        <w:tc>
          <w:tcPr>
            <w:tcW w:w="4200" w:type="dxa"/>
            <w:vAlign w:val="bottom"/>
            <w:tcBorders>
              <w:bottom w:val="single" w:sz="8" w:color="808080"/>
            </w:tcBorders>
          </w:tcPr>
          <w:p>
            <w:pPr>
              <w:ind w:left="80"/>
              <w:spacing w:after="0"/>
              <w:rPr>
                <w:sz w:val="20"/>
                <w:szCs w:val="20"/>
                <w:color w:val="auto"/>
              </w:rPr>
            </w:pPr>
            <w:r>
              <w:rPr>
                <w:rFonts w:ascii="Arial" w:cs="Arial" w:eastAsia="Arial" w:hAnsi="Arial"/>
                <w:sz w:val="16"/>
                <w:szCs w:val="16"/>
                <w:color w:val="auto"/>
              </w:rPr>
              <w:t>Two or More Races or Ethnicities</w:t>
            </w:r>
          </w:p>
        </w:tc>
        <w:tc>
          <w:tcPr>
            <w:tcW w:w="2020" w:type="dxa"/>
            <w:vAlign w:val="bottom"/>
            <w:tcBorders>
              <w:bottom w:val="single" w:sz="8" w:color="808080"/>
            </w:tcBorders>
          </w:tcPr>
          <w:p>
            <w:pPr>
              <w:jc w:val="center"/>
              <w:ind w:left="579"/>
              <w:spacing w:after="0"/>
              <w:rPr>
                <w:sz w:val="20"/>
                <w:szCs w:val="20"/>
                <w:color w:val="auto"/>
              </w:rPr>
            </w:pPr>
            <w:r>
              <w:rPr>
                <w:rFonts w:ascii="Arial" w:cs="Arial" w:eastAsia="Arial" w:hAnsi="Arial"/>
                <w:sz w:val="16"/>
                <w:szCs w:val="16"/>
                <w:color w:val="auto"/>
                <w:w w:val="74"/>
              </w:rPr>
              <w:t>-</w:t>
            </w:r>
          </w:p>
        </w:tc>
        <w:tc>
          <w:tcPr>
            <w:tcW w:w="2200" w:type="dxa"/>
            <w:vAlign w:val="bottom"/>
            <w:tcBorders>
              <w:bottom w:val="single" w:sz="8" w:color="808080"/>
            </w:tcBorders>
          </w:tcPr>
          <w:p>
            <w:pPr>
              <w:jc w:val="center"/>
              <w:ind w:left="939"/>
              <w:spacing w:after="0"/>
              <w:rPr>
                <w:sz w:val="20"/>
                <w:szCs w:val="20"/>
                <w:color w:val="auto"/>
              </w:rPr>
            </w:pPr>
            <w:r>
              <w:rPr>
                <w:rFonts w:ascii="Arial" w:cs="Arial" w:eastAsia="Arial" w:hAnsi="Arial"/>
                <w:sz w:val="16"/>
                <w:szCs w:val="16"/>
                <w:color w:val="auto"/>
              </w:rPr>
              <w:t>-</w:t>
            </w:r>
          </w:p>
        </w:tc>
      </w:tr>
      <w:tr>
        <w:trPr>
          <w:trHeight w:val="237"/>
        </w:trPr>
        <w:tc>
          <w:tcPr>
            <w:tcW w:w="4200" w:type="dxa"/>
            <w:vAlign w:val="bottom"/>
            <w:tcBorders>
              <w:bottom w:val="single" w:sz="8" w:color="808080"/>
            </w:tcBorders>
          </w:tcPr>
          <w:p>
            <w:pPr>
              <w:ind w:left="80"/>
              <w:spacing w:after="0"/>
              <w:rPr>
                <w:sz w:val="20"/>
                <w:szCs w:val="20"/>
                <w:color w:val="auto"/>
              </w:rPr>
            </w:pPr>
            <w:r>
              <w:rPr>
                <w:rFonts w:ascii="Arial" w:cs="Arial" w:eastAsia="Arial" w:hAnsi="Arial"/>
                <w:sz w:val="16"/>
                <w:szCs w:val="16"/>
                <w:color w:val="auto"/>
              </w:rPr>
              <w:t>LGBTQ+</w:t>
            </w:r>
          </w:p>
        </w:tc>
        <w:tc>
          <w:tcPr>
            <w:tcW w:w="2020" w:type="dxa"/>
            <w:vAlign w:val="bottom"/>
            <w:tcBorders>
              <w:bottom w:val="single" w:sz="8" w:color="808080"/>
            </w:tcBorders>
          </w:tcPr>
          <w:p>
            <w:pPr>
              <w:spacing w:after="0"/>
              <w:rPr>
                <w:sz w:val="20"/>
                <w:szCs w:val="20"/>
                <w:color w:val="auto"/>
              </w:rPr>
            </w:pPr>
          </w:p>
        </w:tc>
        <w:tc>
          <w:tcPr>
            <w:tcW w:w="2200" w:type="dxa"/>
            <w:vAlign w:val="bottom"/>
            <w:tcBorders>
              <w:bottom w:val="single" w:sz="8" w:color="808080"/>
            </w:tcBorders>
          </w:tcPr>
          <w:p>
            <w:pPr>
              <w:jc w:val="center"/>
              <w:ind w:right="1099"/>
              <w:spacing w:after="0"/>
              <w:rPr>
                <w:sz w:val="20"/>
                <w:szCs w:val="20"/>
                <w:color w:val="auto"/>
              </w:rPr>
            </w:pPr>
            <w:r>
              <w:rPr>
                <w:rFonts w:ascii="Arial" w:cs="Arial" w:eastAsia="Arial" w:hAnsi="Arial"/>
                <w:sz w:val="16"/>
                <w:szCs w:val="16"/>
                <w:color w:val="auto"/>
              </w:rPr>
              <w:t>-</w:t>
            </w:r>
          </w:p>
        </w:tc>
      </w:tr>
      <w:tr>
        <w:trPr>
          <w:trHeight w:val="237"/>
        </w:trPr>
        <w:tc>
          <w:tcPr>
            <w:tcW w:w="4200" w:type="dxa"/>
            <w:vAlign w:val="bottom"/>
            <w:tcBorders>
              <w:bottom w:val="single" w:sz="8" w:color="808080"/>
            </w:tcBorders>
          </w:tcPr>
          <w:p>
            <w:pPr>
              <w:ind w:left="80"/>
              <w:spacing w:after="0"/>
              <w:rPr>
                <w:sz w:val="20"/>
                <w:szCs w:val="20"/>
                <w:color w:val="auto"/>
              </w:rPr>
            </w:pPr>
            <w:r>
              <w:rPr>
                <w:rFonts w:ascii="Arial" w:cs="Arial" w:eastAsia="Arial" w:hAnsi="Arial"/>
                <w:sz w:val="16"/>
                <w:szCs w:val="16"/>
                <w:color w:val="auto"/>
              </w:rPr>
              <w:t>Did Not Disclose Demographic Background</w:t>
            </w:r>
          </w:p>
        </w:tc>
        <w:tc>
          <w:tcPr>
            <w:tcW w:w="2020" w:type="dxa"/>
            <w:vAlign w:val="bottom"/>
            <w:tcBorders>
              <w:bottom w:val="single" w:sz="8" w:color="808080"/>
            </w:tcBorders>
          </w:tcPr>
          <w:p>
            <w:pPr>
              <w:spacing w:after="0"/>
              <w:rPr>
                <w:sz w:val="20"/>
                <w:szCs w:val="20"/>
                <w:color w:val="auto"/>
              </w:rPr>
            </w:pPr>
          </w:p>
        </w:tc>
        <w:tc>
          <w:tcPr>
            <w:tcW w:w="2200" w:type="dxa"/>
            <w:vAlign w:val="bottom"/>
            <w:tcBorders>
              <w:bottom w:val="single" w:sz="8" w:color="808080"/>
            </w:tcBorders>
          </w:tcPr>
          <w:p>
            <w:pPr>
              <w:jc w:val="center"/>
              <w:ind w:right="1099"/>
              <w:spacing w:after="0"/>
              <w:rPr>
                <w:sz w:val="20"/>
                <w:szCs w:val="20"/>
                <w:color w:val="auto"/>
              </w:rPr>
            </w:pPr>
            <w:r>
              <w:rPr>
                <w:rFonts w:ascii="Arial" w:cs="Arial" w:eastAsia="Arial" w:hAnsi="Arial"/>
                <w:sz w:val="16"/>
                <w:szCs w:val="16"/>
                <w:color w:val="auto"/>
              </w:rPr>
              <w:t>-</w:t>
            </w:r>
          </w:p>
        </w:tc>
      </w:tr>
      <w:tr>
        <w:trPr>
          <w:trHeight w:val="229"/>
        </w:trPr>
        <w:tc>
          <w:tcPr>
            <w:tcW w:w="4200" w:type="dxa"/>
            <w:vAlign w:val="bottom"/>
            <w:tcBorders>
              <w:bottom w:val="single" w:sz="8" w:color="342C82"/>
            </w:tcBorders>
          </w:tcPr>
          <w:p>
            <w:pPr>
              <w:ind w:left="80"/>
              <w:spacing w:after="0"/>
              <w:rPr>
                <w:sz w:val="20"/>
                <w:szCs w:val="20"/>
                <w:color w:val="auto"/>
              </w:rPr>
            </w:pPr>
            <w:r>
              <w:rPr>
                <w:rFonts w:ascii="Arial" w:cs="Arial" w:eastAsia="Arial" w:hAnsi="Arial"/>
                <w:sz w:val="16"/>
                <w:szCs w:val="16"/>
                <w:b w:val="1"/>
                <w:bCs w:val="1"/>
                <w:color w:val="auto"/>
              </w:rPr>
              <w:t>Military Service</w:t>
            </w:r>
          </w:p>
        </w:tc>
        <w:tc>
          <w:tcPr>
            <w:tcW w:w="2020" w:type="dxa"/>
            <w:vAlign w:val="bottom"/>
            <w:tcBorders>
              <w:bottom w:val="single" w:sz="8" w:color="342C82"/>
            </w:tcBorders>
          </w:tcPr>
          <w:p>
            <w:pPr>
              <w:spacing w:after="0"/>
              <w:rPr>
                <w:sz w:val="19"/>
                <w:szCs w:val="19"/>
                <w:color w:val="auto"/>
              </w:rPr>
            </w:pPr>
          </w:p>
        </w:tc>
        <w:tc>
          <w:tcPr>
            <w:tcW w:w="2200" w:type="dxa"/>
            <w:vAlign w:val="bottom"/>
            <w:tcBorders>
              <w:bottom w:val="single" w:sz="8" w:color="342C82"/>
            </w:tcBorders>
          </w:tcPr>
          <w:p>
            <w:pPr>
              <w:jc w:val="center"/>
              <w:ind w:right="1099"/>
              <w:spacing w:after="0"/>
              <w:rPr>
                <w:sz w:val="20"/>
                <w:szCs w:val="20"/>
                <w:color w:val="auto"/>
              </w:rPr>
            </w:pPr>
            <w:r>
              <w:rPr>
                <w:rFonts w:ascii="Arial" w:cs="Arial" w:eastAsia="Arial" w:hAnsi="Arial"/>
                <w:sz w:val="16"/>
                <w:szCs w:val="16"/>
                <w:color w:val="auto"/>
              </w:rPr>
              <w:t>2</w:t>
            </w:r>
          </w:p>
        </w:tc>
      </w:tr>
    </w:tbl>
    <w:p>
      <w:pPr>
        <w:spacing w:after="0" w:line="202" w:lineRule="exact"/>
        <w:rPr>
          <w:sz w:val="20"/>
          <w:szCs w:val="20"/>
          <w:color w:val="auto"/>
        </w:rPr>
      </w:pPr>
    </w:p>
    <w:p>
      <w:pPr>
        <w:ind w:left="1300" w:right="1380"/>
        <w:spacing w:after="0" w:line="266" w:lineRule="auto"/>
        <w:rPr>
          <w:sz w:val="20"/>
          <w:szCs w:val="20"/>
          <w:color w:val="auto"/>
        </w:rPr>
      </w:pPr>
      <w:r>
        <w:rPr>
          <w:rFonts w:ascii="Arial" w:cs="Arial" w:eastAsia="Arial" w:hAnsi="Arial"/>
          <w:sz w:val="16"/>
          <w:szCs w:val="16"/>
          <w:color w:val="auto"/>
        </w:rPr>
        <w:t>In addition to gender and demographic diversity, we also recognize the value of other diverse attributes that directors may bring to our Board, including veterans of the U.S. military. We are proud to report that of our nine current directors, two are also military veterans.</w:t>
      </w:r>
    </w:p>
    <w:p>
      <w:pPr>
        <w:spacing w:after="0" w:line="325" w:lineRule="exact"/>
        <w:rPr>
          <w:sz w:val="20"/>
          <w:szCs w:val="20"/>
          <w:color w:val="auto"/>
        </w:rPr>
      </w:pPr>
    </w:p>
    <w:p>
      <w:pPr>
        <w:ind w:left="1300"/>
        <w:spacing w:after="0"/>
        <w:rPr>
          <w:sz w:val="20"/>
          <w:szCs w:val="20"/>
          <w:color w:val="auto"/>
        </w:rPr>
      </w:pPr>
      <w:r>
        <w:rPr>
          <w:rFonts w:ascii="Arial" w:cs="Arial" w:eastAsia="Arial" w:hAnsi="Arial"/>
          <w:sz w:val="25"/>
          <w:szCs w:val="25"/>
          <w:color w:val="342C82"/>
        </w:rPr>
        <w:t>Director skills and experience</w:t>
      </w:r>
    </w:p>
    <w:p>
      <w:pPr>
        <w:spacing w:after="0" w:line="139" w:lineRule="exact"/>
        <w:rPr>
          <w:sz w:val="20"/>
          <w:szCs w:val="20"/>
          <w:color w:val="auto"/>
        </w:rPr>
      </w:pPr>
    </w:p>
    <w:p>
      <w:pPr>
        <w:ind w:left="1300" w:right="1900"/>
        <w:spacing w:after="0" w:line="266" w:lineRule="auto"/>
        <w:rPr>
          <w:sz w:val="20"/>
          <w:szCs w:val="20"/>
          <w:color w:val="auto"/>
        </w:rPr>
      </w:pPr>
      <w:r>
        <w:rPr>
          <w:rFonts w:ascii="Arial" w:cs="Arial" w:eastAsia="Arial" w:hAnsi="Arial"/>
          <w:sz w:val="16"/>
          <w:szCs w:val="16"/>
          <w:color w:val="auto"/>
        </w:rPr>
        <w:t>The Board values having directors who possess a wide variety of relevant skills, professional experience, and backgrounds, bring diverse viewpoints and perspectives, and effectively represent the long-term interests of stockholders.</w:t>
      </w:r>
    </w:p>
    <w:p>
      <w:pPr>
        <w:spacing w:after="0" w:line="117" w:lineRule="exact"/>
        <w:rPr>
          <w:sz w:val="20"/>
          <w:szCs w:val="20"/>
          <w:color w:val="auto"/>
        </w:rPr>
      </w:pPr>
    </w:p>
    <w:p>
      <w:pPr>
        <w:ind w:left="1300" w:right="1440"/>
        <w:spacing w:after="0" w:line="266" w:lineRule="auto"/>
        <w:rPr>
          <w:sz w:val="20"/>
          <w:szCs w:val="20"/>
          <w:color w:val="auto"/>
        </w:rPr>
      </w:pPr>
      <w:r>
        <w:rPr>
          <w:rFonts w:ascii="Arial" w:cs="Arial" w:eastAsia="Arial" w:hAnsi="Arial"/>
          <w:sz w:val="16"/>
          <w:szCs w:val="16"/>
          <w:color w:val="auto"/>
        </w:rPr>
        <w:t>Listed below are certain of the key skills and experience that the Board considers important for our directors to have in light of our current business in order to contribute to the effective leadership and exercise of oversight responsibilities by the Board.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300" w:type="dxa"/>
            <w:vAlign w:val="bottom"/>
          </w:tcPr>
          <w:p>
            <w:pPr>
              <w:spacing w:after="0"/>
              <w:rPr>
                <w:sz w:val="22"/>
                <w:szCs w:val="22"/>
                <w:color w:val="auto"/>
              </w:rPr>
            </w:pPr>
          </w:p>
        </w:tc>
        <w:tc>
          <w:tcPr>
            <w:tcW w:w="2300" w:type="dxa"/>
            <w:vAlign w:val="bottom"/>
            <w:tcBorders>
              <w:top w:val="single" w:sz="8" w:color="342C82"/>
              <w:right w:val="single" w:sz="8" w:color="808080"/>
            </w:tcBorders>
          </w:tcPr>
          <w:p>
            <w:pPr>
              <w:ind w:left="100"/>
              <w:spacing w:after="0"/>
              <w:rPr>
                <w:sz w:val="20"/>
                <w:szCs w:val="20"/>
                <w:color w:val="auto"/>
              </w:rPr>
            </w:pPr>
            <w:r>
              <w:rPr>
                <w:rFonts w:ascii="Arial" w:cs="Arial" w:eastAsia="Arial" w:hAnsi="Arial"/>
                <w:sz w:val="16"/>
                <w:szCs w:val="16"/>
                <w:b w:val="1"/>
                <w:bCs w:val="1"/>
                <w:color w:val="auto"/>
              </w:rPr>
              <w:t>Medical Device / Medical</w:t>
            </w:r>
          </w:p>
        </w:tc>
        <w:tc>
          <w:tcPr>
            <w:tcW w:w="6120" w:type="dxa"/>
            <w:vAlign w:val="bottom"/>
            <w:tcBorders>
              <w:top w:val="single" w:sz="8" w:color="342C82"/>
            </w:tcBorders>
          </w:tcPr>
          <w:p>
            <w:pPr>
              <w:ind w:left="60"/>
              <w:spacing w:after="0"/>
              <w:rPr>
                <w:sz w:val="20"/>
                <w:szCs w:val="20"/>
                <w:color w:val="auto"/>
              </w:rPr>
            </w:pPr>
            <w:r>
              <w:rPr>
                <w:rFonts w:ascii="Arial" w:cs="Arial" w:eastAsia="Arial" w:hAnsi="Arial"/>
                <w:sz w:val="16"/>
                <w:szCs w:val="16"/>
                <w:color w:val="auto"/>
              </w:rPr>
              <w:t>Experience with and knowledge of our industry and technologies, as well as our</w:t>
            </w:r>
          </w:p>
        </w:tc>
        <w:tc>
          <w:tcPr>
            <w:tcW w:w="1300" w:type="dxa"/>
            <w:vAlign w:val="bottom"/>
          </w:tcPr>
          <w:p>
            <w:pPr>
              <w:spacing w:after="0"/>
              <w:rPr>
                <w:sz w:val="22"/>
                <w:szCs w:val="22"/>
                <w:color w:val="auto"/>
              </w:rPr>
            </w:pPr>
          </w:p>
        </w:tc>
      </w:tr>
      <w:tr>
        <w:trPr>
          <w:trHeight w:val="189"/>
        </w:trPr>
        <w:tc>
          <w:tcPr>
            <w:tcW w:w="1300" w:type="dxa"/>
            <w:vAlign w:val="bottom"/>
          </w:tcPr>
          <w:p>
            <w:pPr>
              <w:spacing w:after="0"/>
              <w:rPr>
                <w:sz w:val="16"/>
                <w:szCs w:val="16"/>
                <w:color w:val="auto"/>
              </w:rPr>
            </w:pPr>
          </w:p>
        </w:tc>
        <w:tc>
          <w:tcPr>
            <w:tcW w:w="2300" w:type="dxa"/>
            <w:vAlign w:val="bottom"/>
            <w:tcBorders>
              <w:right w:val="single" w:sz="8" w:color="808080"/>
            </w:tcBorders>
          </w:tcPr>
          <w:p>
            <w:pPr>
              <w:ind w:left="100"/>
              <w:spacing w:after="0"/>
              <w:rPr>
                <w:sz w:val="20"/>
                <w:szCs w:val="20"/>
                <w:color w:val="auto"/>
              </w:rPr>
            </w:pPr>
            <w:r>
              <w:rPr>
                <w:rFonts w:ascii="Arial" w:cs="Arial" w:eastAsia="Arial" w:hAnsi="Arial"/>
                <w:sz w:val="16"/>
                <w:szCs w:val="16"/>
                <w:b w:val="1"/>
                <w:bCs w:val="1"/>
                <w:color w:val="auto"/>
              </w:rPr>
              <w:t>Professional</w:t>
            </w:r>
          </w:p>
        </w:tc>
        <w:tc>
          <w:tcPr>
            <w:tcW w:w="6120" w:type="dxa"/>
            <w:vAlign w:val="bottom"/>
          </w:tcPr>
          <w:p>
            <w:pPr>
              <w:ind w:left="60"/>
              <w:spacing w:after="0"/>
              <w:rPr>
                <w:sz w:val="20"/>
                <w:szCs w:val="20"/>
                <w:color w:val="auto"/>
              </w:rPr>
            </w:pPr>
            <w:r>
              <w:rPr>
                <w:rFonts w:ascii="Arial" w:cs="Arial" w:eastAsia="Arial" w:hAnsi="Arial"/>
                <w:sz w:val="16"/>
                <w:szCs w:val="16"/>
                <w:color w:val="auto"/>
              </w:rPr>
              <w:t>end markets or credentialed or licensed as a professional in any of the medical</w:t>
            </w:r>
          </w:p>
        </w:tc>
        <w:tc>
          <w:tcPr>
            <w:tcW w:w="1300" w:type="dxa"/>
            <w:vAlign w:val="bottom"/>
          </w:tcPr>
          <w:p>
            <w:pPr>
              <w:spacing w:after="0"/>
              <w:rPr>
                <w:sz w:val="16"/>
                <w:szCs w:val="16"/>
                <w:color w:val="auto"/>
              </w:rPr>
            </w:pPr>
          </w:p>
        </w:tc>
      </w:tr>
      <w:tr>
        <w:trPr>
          <w:trHeight w:val="224"/>
        </w:trPr>
        <w:tc>
          <w:tcPr>
            <w:tcW w:w="1300" w:type="dxa"/>
            <w:vAlign w:val="bottom"/>
          </w:tcPr>
          <w:p>
            <w:pPr>
              <w:spacing w:after="0"/>
              <w:rPr>
                <w:sz w:val="19"/>
                <w:szCs w:val="19"/>
                <w:color w:val="auto"/>
              </w:rPr>
            </w:pPr>
          </w:p>
        </w:tc>
        <w:tc>
          <w:tcPr>
            <w:tcW w:w="2300" w:type="dxa"/>
            <w:vAlign w:val="bottom"/>
            <w:tcBorders>
              <w:bottom w:val="single" w:sz="8" w:color="808080"/>
              <w:right w:val="single" w:sz="8" w:color="808080"/>
            </w:tcBorders>
          </w:tcPr>
          <w:p>
            <w:pPr>
              <w:spacing w:after="0"/>
              <w:rPr>
                <w:sz w:val="19"/>
                <w:szCs w:val="19"/>
                <w:color w:val="auto"/>
              </w:rPr>
            </w:pPr>
          </w:p>
        </w:tc>
        <w:tc>
          <w:tcPr>
            <w:tcW w:w="6120" w:type="dxa"/>
            <w:vAlign w:val="bottom"/>
            <w:tcBorders>
              <w:bottom w:val="single" w:sz="8" w:color="808080"/>
            </w:tcBorders>
          </w:tcPr>
          <w:p>
            <w:pPr>
              <w:ind w:left="60"/>
              <w:spacing w:after="0"/>
              <w:rPr>
                <w:sz w:val="20"/>
                <w:szCs w:val="20"/>
                <w:color w:val="auto"/>
              </w:rPr>
            </w:pPr>
            <w:r>
              <w:rPr>
                <w:rFonts w:ascii="Arial" w:cs="Arial" w:eastAsia="Arial" w:hAnsi="Arial"/>
                <w:sz w:val="16"/>
                <w:szCs w:val="16"/>
                <w:color w:val="auto"/>
              </w:rPr>
              <w:t>fields, such as a registered nurse, physician or medical technician.</w:t>
            </w:r>
          </w:p>
        </w:tc>
        <w:tc>
          <w:tcPr>
            <w:tcW w:w="1300" w:type="dxa"/>
            <w:vAlign w:val="bottom"/>
          </w:tcPr>
          <w:p>
            <w:pPr>
              <w:spacing w:after="0"/>
              <w:rPr>
                <w:sz w:val="19"/>
                <w:szCs w:val="19"/>
                <w:color w:val="auto"/>
              </w:rPr>
            </w:pPr>
          </w:p>
        </w:tc>
      </w:tr>
      <w:tr>
        <w:trPr>
          <w:trHeight w:val="202"/>
        </w:trPr>
        <w:tc>
          <w:tcPr>
            <w:tcW w:w="1300" w:type="dxa"/>
            <w:vAlign w:val="bottom"/>
          </w:tcPr>
          <w:p>
            <w:pPr>
              <w:spacing w:after="0"/>
              <w:rPr>
                <w:sz w:val="17"/>
                <w:szCs w:val="17"/>
                <w:color w:val="auto"/>
              </w:rPr>
            </w:pPr>
          </w:p>
        </w:tc>
        <w:tc>
          <w:tcPr>
            <w:tcW w:w="2300" w:type="dxa"/>
            <w:vAlign w:val="bottom"/>
            <w:tcBorders>
              <w:right w:val="single" w:sz="8" w:color="808080"/>
            </w:tcBorders>
          </w:tcPr>
          <w:p>
            <w:pPr>
              <w:ind w:left="100"/>
              <w:spacing w:after="0"/>
              <w:rPr>
                <w:sz w:val="20"/>
                <w:szCs w:val="20"/>
                <w:color w:val="auto"/>
              </w:rPr>
            </w:pPr>
            <w:r>
              <w:rPr>
                <w:rFonts w:ascii="Arial" w:cs="Arial" w:eastAsia="Arial" w:hAnsi="Arial"/>
                <w:sz w:val="16"/>
                <w:szCs w:val="16"/>
                <w:b w:val="1"/>
                <w:bCs w:val="1"/>
                <w:color w:val="auto"/>
              </w:rPr>
              <w:t>Executive Leadership</w:t>
            </w:r>
          </w:p>
        </w:tc>
        <w:tc>
          <w:tcPr>
            <w:tcW w:w="6120" w:type="dxa"/>
            <w:vAlign w:val="bottom"/>
          </w:tcPr>
          <w:p>
            <w:pPr>
              <w:ind w:left="60"/>
              <w:spacing w:after="0"/>
              <w:rPr>
                <w:sz w:val="20"/>
                <w:szCs w:val="20"/>
                <w:color w:val="auto"/>
              </w:rPr>
            </w:pPr>
            <w:r>
              <w:rPr>
                <w:rFonts w:ascii="Arial" w:cs="Arial" w:eastAsia="Arial" w:hAnsi="Arial"/>
                <w:sz w:val="16"/>
                <w:szCs w:val="16"/>
                <w:color w:val="auto"/>
              </w:rPr>
              <w:t>Experience in executive-level positions, such as at large multi-national companies,</w:t>
            </w:r>
          </w:p>
        </w:tc>
        <w:tc>
          <w:tcPr>
            <w:tcW w:w="1300" w:type="dxa"/>
            <w:vAlign w:val="bottom"/>
          </w:tcPr>
          <w:p>
            <w:pPr>
              <w:spacing w:after="0"/>
              <w:rPr>
                <w:sz w:val="17"/>
                <w:szCs w:val="17"/>
                <w:color w:val="auto"/>
              </w:rPr>
            </w:pPr>
          </w:p>
        </w:tc>
      </w:tr>
      <w:tr>
        <w:trPr>
          <w:trHeight w:val="224"/>
        </w:trPr>
        <w:tc>
          <w:tcPr>
            <w:tcW w:w="1300" w:type="dxa"/>
            <w:vAlign w:val="bottom"/>
          </w:tcPr>
          <w:p>
            <w:pPr>
              <w:spacing w:after="0"/>
              <w:rPr>
                <w:sz w:val="19"/>
                <w:szCs w:val="19"/>
                <w:color w:val="auto"/>
              </w:rPr>
            </w:pPr>
          </w:p>
        </w:tc>
        <w:tc>
          <w:tcPr>
            <w:tcW w:w="2300" w:type="dxa"/>
            <w:vAlign w:val="bottom"/>
            <w:tcBorders>
              <w:bottom w:val="single" w:sz="8" w:color="808080"/>
              <w:right w:val="single" w:sz="8" w:color="808080"/>
            </w:tcBorders>
          </w:tcPr>
          <w:p>
            <w:pPr>
              <w:spacing w:after="0"/>
              <w:rPr>
                <w:sz w:val="19"/>
                <w:szCs w:val="19"/>
                <w:color w:val="auto"/>
              </w:rPr>
            </w:pPr>
          </w:p>
        </w:tc>
        <w:tc>
          <w:tcPr>
            <w:tcW w:w="6120" w:type="dxa"/>
            <w:vAlign w:val="bottom"/>
            <w:tcBorders>
              <w:bottom w:val="single" w:sz="8" w:color="808080"/>
            </w:tcBorders>
          </w:tcPr>
          <w:p>
            <w:pPr>
              <w:ind w:left="60"/>
              <w:spacing w:after="0"/>
              <w:rPr>
                <w:sz w:val="20"/>
                <w:szCs w:val="20"/>
                <w:color w:val="auto"/>
              </w:rPr>
            </w:pPr>
            <w:r>
              <w:rPr>
                <w:rFonts w:ascii="Arial" w:cs="Arial" w:eastAsia="Arial" w:hAnsi="Arial"/>
                <w:sz w:val="16"/>
                <w:szCs w:val="16"/>
                <w:color w:val="auto"/>
              </w:rPr>
              <w:t>including public company board experience.</w:t>
            </w:r>
          </w:p>
        </w:tc>
        <w:tc>
          <w:tcPr>
            <w:tcW w:w="1300" w:type="dxa"/>
            <w:vAlign w:val="bottom"/>
          </w:tcPr>
          <w:p>
            <w:pPr>
              <w:spacing w:after="0"/>
              <w:rPr>
                <w:sz w:val="19"/>
                <w:szCs w:val="19"/>
                <w:color w:val="auto"/>
              </w:rPr>
            </w:pPr>
          </w:p>
        </w:tc>
      </w:tr>
      <w:tr>
        <w:trPr>
          <w:trHeight w:val="202"/>
        </w:trPr>
        <w:tc>
          <w:tcPr>
            <w:tcW w:w="1300" w:type="dxa"/>
            <w:vAlign w:val="bottom"/>
          </w:tcPr>
          <w:p>
            <w:pPr>
              <w:spacing w:after="0"/>
              <w:rPr>
                <w:sz w:val="17"/>
                <w:szCs w:val="17"/>
                <w:color w:val="auto"/>
              </w:rPr>
            </w:pPr>
          </w:p>
        </w:tc>
        <w:tc>
          <w:tcPr>
            <w:tcW w:w="2300" w:type="dxa"/>
            <w:vAlign w:val="bottom"/>
            <w:tcBorders>
              <w:right w:val="single" w:sz="8" w:color="808080"/>
            </w:tcBorders>
          </w:tcPr>
          <w:p>
            <w:pPr>
              <w:ind w:left="100"/>
              <w:spacing w:after="0"/>
              <w:rPr>
                <w:sz w:val="20"/>
                <w:szCs w:val="20"/>
                <w:color w:val="auto"/>
              </w:rPr>
            </w:pPr>
            <w:r>
              <w:rPr>
                <w:rFonts w:ascii="Arial" w:cs="Arial" w:eastAsia="Arial" w:hAnsi="Arial"/>
                <w:sz w:val="16"/>
                <w:szCs w:val="16"/>
                <w:b w:val="1"/>
                <w:bCs w:val="1"/>
                <w:color w:val="auto"/>
              </w:rPr>
              <w:t>Global /</w:t>
            </w:r>
          </w:p>
        </w:tc>
        <w:tc>
          <w:tcPr>
            <w:tcW w:w="6120" w:type="dxa"/>
            <w:vAlign w:val="bottom"/>
          </w:tcPr>
          <w:p>
            <w:pPr>
              <w:ind w:left="60"/>
              <w:spacing w:after="0"/>
              <w:rPr>
                <w:sz w:val="20"/>
                <w:szCs w:val="20"/>
                <w:color w:val="auto"/>
              </w:rPr>
            </w:pPr>
            <w:r>
              <w:rPr>
                <w:rFonts w:ascii="Arial" w:cs="Arial" w:eastAsia="Arial" w:hAnsi="Arial"/>
                <w:sz w:val="16"/>
                <w:szCs w:val="16"/>
                <w:color w:val="auto"/>
              </w:rPr>
              <w:t>Experience in a leadership role at an organization with global or international</w:t>
            </w:r>
          </w:p>
        </w:tc>
        <w:tc>
          <w:tcPr>
            <w:tcW w:w="1300" w:type="dxa"/>
            <w:vAlign w:val="bottom"/>
          </w:tcPr>
          <w:p>
            <w:pPr>
              <w:spacing w:after="0"/>
              <w:rPr>
                <w:sz w:val="17"/>
                <w:szCs w:val="17"/>
                <w:color w:val="auto"/>
              </w:rPr>
            </w:pPr>
          </w:p>
        </w:tc>
      </w:tr>
      <w:tr>
        <w:trPr>
          <w:trHeight w:val="226"/>
        </w:trPr>
        <w:tc>
          <w:tcPr>
            <w:tcW w:w="1300" w:type="dxa"/>
            <w:vAlign w:val="bottom"/>
          </w:tcPr>
          <w:p>
            <w:pPr>
              <w:spacing w:after="0"/>
              <w:rPr>
                <w:sz w:val="19"/>
                <w:szCs w:val="19"/>
                <w:color w:val="auto"/>
              </w:rPr>
            </w:pPr>
          </w:p>
        </w:tc>
        <w:tc>
          <w:tcPr>
            <w:tcW w:w="2300" w:type="dxa"/>
            <w:vAlign w:val="bottom"/>
            <w:tcBorders>
              <w:bottom w:val="single" w:sz="8" w:color="808080"/>
              <w:right w:val="single" w:sz="8" w:color="808080"/>
            </w:tcBorders>
          </w:tcPr>
          <w:p>
            <w:pPr>
              <w:ind w:left="100"/>
              <w:spacing w:after="0"/>
              <w:rPr>
                <w:sz w:val="20"/>
                <w:szCs w:val="20"/>
                <w:color w:val="auto"/>
              </w:rPr>
            </w:pPr>
            <w:r>
              <w:rPr>
                <w:rFonts w:ascii="Arial" w:cs="Arial" w:eastAsia="Arial" w:hAnsi="Arial"/>
                <w:sz w:val="16"/>
                <w:szCs w:val="16"/>
                <w:b w:val="1"/>
                <w:bCs w:val="1"/>
                <w:color w:val="auto"/>
              </w:rPr>
              <w:t>International Business</w:t>
            </w:r>
          </w:p>
        </w:tc>
        <w:tc>
          <w:tcPr>
            <w:tcW w:w="6120" w:type="dxa"/>
            <w:vAlign w:val="bottom"/>
            <w:tcBorders>
              <w:bottom w:val="single" w:sz="8" w:color="808080"/>
            </w:tcBorders>
          </w:tcPr>
          <w:p>
            <w:pPr>
              <w:ind w:left="60"/>
              <w:spacing w:after="0"/>
              <w:rPr>
                <w:sz w:val="20"/>
                <w:szCs w:val="20"/>
                <w:color w:val="auto"/>
              </w:rPr>
            </w:pPr>
            <w:r>
              <w:rPr>
                <w:rFonts w:ascii="Arial" w:cs="Arial" w:eastAsia="Arial" w:hAnsi="Arial"/>
                <w:sz w:val="16"/>
                <w:szCs w:val="16"/>
                <w:color w:val="auto"/>
              </w:rPr>
              <w:t>operations.</w:t>
            </w:r>
          </w:p>
        </w:tc>
        <w:tc>
          <w:tcPr>
            <w:tcW w:w="1300" w:type="dxa"/>
            <w:vAlign w:val="bottom"/>
          </w:tcPr>
          <w:p>
            <w:pPr>
              <w:spacing w:after="0"/>
              <w:rPr>
                <w:sz w:val="19"/>
                <w:szCs w:val="19"/>
                <w:color w:val="auto"/>
              </w:rPr>
            </w:pPr>
          </w:p>
        </w:tc>
      </w:tr>
      <w:tr>
        <w:trPr>
          <w:trHeight w:val="199"/>
        </w:trPr>
        <w:tc>
          <w:tcPr>
            <w:tcW w:w="1300" w:type="dxa"/>
            <w:vAlign w:val="bottom"/>
          </w:tcPr>
          <w:p>
            <w:pPr>
              <w:spacing w:after="0"/>
              <w:rPr>
                <w:sz w:val="17"/>
                <w:szCs w:val="17"/>
                <w:color w:val="auto"/>
              </w:rPr>
            </w:pPr>
          </w:p>
        </w:tc>
        <w:tc>
          <w:tcPr>
            <w:tcW w:w="2300" w:type="dxa"/>
            <w:vAlign w:val="bottom"/>
            <w:tcBorders>
              <w:right w:val="single" w:sz="8" w:color="808080"/>
            </w:tcBorders>
          </w:tcPr>
          <w:p>
            <w:pPr>
              <w:ind w:left="100"/>
              <w:spacing w:after="0"/>
              <w:rPr>
                <w:sz w:val="20"/>
                <w:szCs w:val="20"/>
                <w:color w:val="auto"/>
              </w:rPr>
            </w:pPr>
            <w:r>
              <w:rPr>
                <w:rFonts w:ascii="Arial" w:cs="Arial" w:eastAsia="Arial" w:hAnsi="Arial"/>
                <w:sz w:val="16"/>
                <w:szCs w:val="16"/>
                <w:b w:val="1"/>
                <w:bCs w:val="1"/>
                <w:color w:val="auto"/>
              </w:rPr>
              <w:t>Financial</w:t>
            </w:r>
          </w:p>
        </w:tc>
        <w:tc>
          <w:tcPr>
            <w:tcW w:w="6120" w:type="dxa"/>
            <w:vAlign w:val="bottom"/>
          </w:tcPr>
          <w:p>
            <w:pPr>
              <w:ind w:left="60"/>
              <w:spacing w:after="0"/>
              <w:rPr>
                <w:sz w:val="20"/>
                <w:szCs w:val="20"/>
                <w:color w:val="auto"/>
              </w:rPr>
            </w:pPr>
            <w:r>
              <w:rPr>
                <w:rFonts w:ascii="Arial" w:cs="Arial" w:eastAsia="Arial" w:hAnsi="Arial"/>
                <w:sz w:val="16"/>
                <w:szCs w:val="16"/>
                <w:color w:val="auto"/>
              </w:rPr>
              <w:t>Experience with financial matters, such as financial markets, financing operations,</w:t>
            </w:r>
          </w:p>
        </w:tc>
        <w:tc>
          <w:tcPr>
            <w:tcW w:w="1300" w:type="dxa"/>
            <w:vAlign w:val="bottom"/>
          </w:tcPr>
          <w:p>
            <w:pPr>
              <w:spacing w:after="0"/>
              <w:rPr>
                <w:sz w:val="17"/>
                <w:szCs w:val="17"/>
                <w:color w:val="auto"/>
              </w:rPr>
            </w:pPr>
          </w:p>
        </w:tc>
      </w:tr>
      <w:tr>
        <w:trPr>
          <w:trHeight w:val="226"/>
        </w:trPr>
        <w:tc>
          <w:tcPr>
            <w:tcW w:w="1300" w:type="dxa"/>
            <w:vAlign w:val="bottom"/>
          </w:tcPr>
          <w:p>
            <w:pPr>
              <w:spacing w:after="0"/>
              <w:rPr>
                <w:sz w:val="19"/>
                <w:szCs w:val="19"/>
                <w:color w:val="auto"/>
              </w:rPr>
            </w:pPr>
          </w:p>
        </w:tc>
        <w:tc>
          <w:tcPr>
            <w:tcW w:w="2300" w:type="dxa"/>
            <w:vAlign w:val="bottom"/>
            <w:tcBorders>
              <w:bottom w:val="single" w:sz="8" w:color="808080"/>
              <w:right w:val="single" w:sz="8" w:color="808080"/>
            </w:tcBorders>
          </w:tcPr>
          <w:p>
            <w:pPr>
              <w:ind w:left="100"/>
              <w:spacing w:after="0"/>
              <w:rPr>
                <w:sz w:val="20"/>
                <w:szCs w:val="20"/>
                <w:color w:val="auto"/>
              </w:rPr>
            </w:pPr>
            <w:r>
              <w:rPr>
                <w:rFonts w:ascii="Arial" w:cs="Arial" w:eastAsia="Arial" w:hAnsi="Arial"/>
                <w:sz w:val="16"/>
                <w:szCs w:val="16"/>
                <w:b w:val="1"/>
                <w:bCs w:val="1"/>
                <w:color w:val="auto"/>
              </w:rPr>
              <w:t>and Accounting</w:t>
            </w:r>
          </w:p>
        </w:tc>
        <w:tc>
          <w:tcPr>
            <w:tcW w:w="6120" w:type="dxa"/>
            <w:vAlign w:val="bottom"/>
            <w:tcBorders>
              <w:bottom w:val="single" w:sz="8" w:color="808080"/>
            </w:tcBorders>
          </w:tcPr>
          <w:p>
            <w:pPr>
              <w:ind w:left="60"/>
              <w:spacing w:after="0"/>
              <w:rPr>
                <w:sz w:val="20"/>
                <w:szCs w:val="20"/>
                <w:color w:val="auto"/>
              </w:rPr>
            </w:pPr>
            <w:r>
              <w:rPr>
                <w:rFonts w:ascii="Arial" w:cs="Arial" w:eastAsia="Arial" w:hAnsi="Arial"/>
                <w:sz w:val="16"/>
                <w:szCs w:val="16"/>
                <w:color w:val="auto"/>
              </w:rPr>
              <w:t>or accounting and financial reporting processes.</w:t>
            </w:r>
          </w:p>
        </w:tc>
        <w:tc>
          <w:tcPr>
            <w:tcW w:w="1300" w:type="dxa"/>
            <w:vAlign w:val="bottom"/>
          </w:tcPr>
          <w:p>
            <w:pPr>
              <w:spacing w:after="0"/>
              <w:rPr>
                <w:sz w:val="19"/>
                <w:szCs w:val="19"/>
                <w:color w:val="auto"/>
              </w:rPr>
            </w:pPr>
          </w:p>
        </w:tc>
      </w:tr>
      <w:tr>
        <w:trPr>
          <w:trHeight w:val="199"/>
        </w:trPr>
        <w:tc>
          <w:tcPr>
            <w:tcW w:w="1300" w:type="dxa"/>
            <w:vAlign w:val="bottom"/>
          </w:tcPr>
          <w:p>
            <w:pPr>
              <w:spacing w:after="0"/>
              <w:rPr>
                <w:sz w:val="17"/>
                <w:szCs w:val="17"/>
                <w:color w:val="auto"/>
              </w:rPr>
            </w:pPr>
          </w:p>
        </w:tc>
        <w:tc>
          <w:tcPr>
            <w:tcW w:w="2300" w:type="dxa"/>
            <w:vAlign w:val="bottom"/>
            <w:tcBorders>
              <w:right w:val="single" w:sz="8" w:color="808080"/>
            </w:tcBorders>
          </w:tcPr>
          <w:p>
            <w:pPr>
              <w:ind w:left="100"/>
              <w:spacing w:after="0"/>
              <w:rPr>
                <w:sz w:val="20"/>
                <w:szCs w:val="20"/>
                <w:color w:val="auto"/>
              </w:rPr>
            </w:pPr>
            <w:r>
              <w:rPr>
                <w:rFonts w:ascii="Arial" w:cs="Arial" w:eastAsia="Arial" w:hAnsi="Arial"/>
                <w:sz w:val="16"/>
                <w:szCs w:val="16"/>
                <w:b w:val="1"/>
                <w:bCs w:val="1"/>
                <w:color w:val="auto"/>
              </w:rPr>
              <w:t>Operations</w:t>
            </w:r>
          </w:p>
        </w:tc>
        <w:tc>
          <w:tcPr>
            <w:tcW w:w="61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26"/>
        </w:trPr>
        <w:tc>
          <w:tcPr>
            <w:tcW w:w="1300" w:type="dxa"/>
            <w:vAlign w:val="bottom"/>
          </w:tcPr>
          <w:p>
            <w:pPr>
              <w:spacing w:after="0"/>
              <w:rPr>
                <w:sz w:val="19"/>
                <w:szCs w:val="19"/>
                <w:color w:val="auto"/>
              </w:rPr>
            </w:pPr>
          </w:p>
        </w:tc>
        <w:tc>
          <w:tcPr>
            <w:tcW w:w="2300" w:type="dxa"/>
            <w:vAlign w:val="bottom"/>
            <w:tcBorders>
              <w:bottom w:val="single" w:sz="8" w:color="808080"/>
              <w:right w:val="single" w:sz="8" w:color="808080"/>
            </w:tcBorders>
          </w:tcPr>
          <w:p>
            <w:pPr>
              <w:ind w:left="100"/>
              <w:spacing w:after="0"/>
              <w:rPr>
                <w:sz w:val="20"/>
                <w:szCs w:val="20"/>
                <w:color w:val="auto"/>
              </w:rPr>
            </w:pPr>
            <w:r>
              <w:rPr>
                <w:rFonts w:ascii="Arial" w:cs="Arial" w:eastAsia="Arial" w:hAnsi="Arial"/>
                <w:sz w:val="16"/>
                <w:szCs w:val="16"/>
                <w:b w:val="1"/>
                <w:bCs w:val="1"/>
                <w:color w:val="auto"/>
              </w:rPr>
              <w:t>and Manufacturing</w:t>
            </w:r>
          </w:p>
        </w:tc>
        <w:tc>
          <w:tcPr>
            <w:tcW w:w="6120" w:type="dxa"/>
            <w:vAlign w:val="bottom"/>
            <w:tcBorders>
              <w:bottom w:val="single" w:sz="8" w:color="808080"/>
            </w:tcBorders>
          </w:tcPr>
          <w:p>
            <w:pPr>
              <w:ind w:left="60"/>
              <w:spacing w:after="0"/>
              <w:rPr>
                <w:sz w:val="20"/>
                <w:szCs w:val="20"/>
                <w:color w:val="auto"/>
              </w:rPr>
            </w:pPr>
            <w:r>
              <w:rPr>
                <w:rFonts w:ascii="Arial" w:cs="Arial" w:eastAsia="Arial" w:hAnsi="Arial"/>
                <w:sz w:val="16"/>
                <w:szCs w:val="16"/>
                <w:color w:val="auto"/>
              </w:rPr>
              <w:t>Experience with and understanding of operations or manufacturing processes.</w:t>
            </w:r>
          </w:p>
        </w:tc>
        <w:tc>
          <w:tcPr>
            <w:tcW w:w="1300" w:type="dxa"/>
            <w:vAlign w:val="bottom"/>
          </w:tcPr>
          <w:p>
            <w:pPr>
              <w:spacing w:after="0"/>
              <w:rPr>
                <w:sz w:val="19"/>
                <w:szCs w:val="19"/>
                <w:color w:val="auto"/>
              </w:rPr>
            </w:pPr>
          </w:p>
        </w:tc>
      </w:tr>
      <w:tr>
        <w:trPr>
          <w:trHeight w:val="199"/>
        </w:trPr>
        <w:tc>
          <w:tcPr>
            <w:tcW w:w="1300" w:type="dxa"/>
            <w:vAlign w:val="bottom"/>
          </w:tcPr>
          <w:p>
            <w:pPr>
              <w:spacing w:after="0"/>
              <w:rPr>
                <w:sz w:val="17"/>
                <w:szCs w:val="17"/>
                <w:color w:val="auto"/>
              </w:rPr>
            </w:pPr>
          </w:p>
        </w:tc>
        <w:tc>
          <w:tcPr>
            <w:tcW w:w="2300" w:type="dxa"/>
            <w:vAlign w:val="bottom"/>
            <w:tcBorders>
              <w:right w:val="single" w:sz="8" w:color="808080"/>
            </w:tcBorders>
          </w:tcPr>
          <w:p>
            <w:pPr>
              <w:ind w:left="100"/>
              <w:spacing w:after="0"/>
              <w:rPr>
                <w:sz w:val="20"/>
                <w:szCs w:val="20"/>
                <w:color w:val="auto"/>
              </w:rPr>
            </w:pPr>
            <w:r>
              <w:rPr>
                <w:rFonts w:ascii="Arial" w:cs="Arial" w:eastAsia="Arial" w:hAnsi="Arial"/>
                <w:sz w:val="16"/>
                <w:szCs w:val="16"/>
                <w:b w:val="1"/>
                <w:bCs w:val="1"/>
                <w:color w:val="auto"/>
              </w:rPr>
              <w:t>Strategy</w:t>
            </w:r>
          </w:p>
        </w:tc>
        <w:tc>
          <w:tcPr>
            <w:tcW w:w="6120" w:type="dxa"/>
            <w:vAlign w:val="bottom"/>
          </w:tcPr>
          <w:p>
            <w:pPr>
              <w:ind w:left="60"/>
              <w:spacing w:after="0"/>
              <w:rPr>
                <w:sz w:val="20"/>
                <w:szCs w:val="20"/>
                <w:color w:val="auto"/>
              </w:rPr>
            </w:pPr>
            <w:r>
              <w:rPr>
                <w:rFonts w:ascii="Arial" w:cs="Arial" w:eastAsia="Arial" w:hAnsi="Arial"/>
                <w:sz w:val="16"/>
                <w:szCs w:val="16"/>
                <w:color w:val="auto"/>
              </w:rPr>
              <w:t>Experience with understanding evolving markets, competitive landscapes,</w:t>
            </w:r>
          </w:p>
        </w:tc>
        <w:tc>
          <w:tcPr>
            <w:tcW w:w="1300" w:type="dxa"/>
            <w:vAlign w:val="bottom"/>
          </w:tcPr>
          <w:p>
            <w:pPr>
              <w:spacing w:after="0"/>
              <w:rPr>
                <w:sz w:val="17"/>
                <w:szCs w:val="17"/>
                <w:color w:val="auto"/>
              </w:rPr>
            </w:pPr>
          </w:p>
        </w:tc>
      </w:tr>
      <w:tr>
        <w:trPr>
          <w:trHeight w:val="189"/>
        </w:trPr>
        <w:tc>
          <w:tcPr>
            <w:tcW w:w="1300" w:type="dxa"/>
            <w:vAlign w:val="bottom"/>
          </w:tcPr>
          <w:p>
            <w:pPr>
              <w:spacing w:after="0"/>
              <w:rPr>
                <w:sz w:val="16"/>
                <w:szCs w:val="16"/>
                <w:color w:val="auto"/>
              </w:rPr>
            </w:pPr>
          </w:p>
        </w:tc>
        <w:tc>
          <w:tcPr>
            <w:tcW w:w="2300" w:type="dxa"/>
            <w:vAlign w:val="bottom"/>
            <w:tcBorders>
              <w:right w:val="single" w:sz="8" w:color="808080"/>
            </w:tcBorders>
          </w:tcPr>
          <w:p>
            <w:pPr>
              <w:ind w:left="100"/>
              <w:spacing w:after="0"/>
              <w:rPr>
                <w:sz w:val="20"/>
                <w:szCs w:val="20"/>
                <w:color w:val="auto"/>
              </w:rPr>
            </w:pPr>
            <w:r>
              <w:rPr>
                <w:rFonts w:ascii="Arial" w:cs="Arial" w:eastAsia="Arial" w:hAnsi="Arial"/>
                <w:sz w:val="16"/>
                <w:szCs w:val="16"/>
                <w:b w:val="1"/>
                <w:bCs w:val="1"/>
                <w:color w:val="auto"/>
              </w:rPr>
              <w:t>and Innovation</w:t>
            </w:r>
          </w:p>
        </w:tc>
        <w:tc>
          <w:tcPr>
            <w:tcW w:w="6120" w:type="dxa"/>
            <w:vAlign w:val="bottom"/>
          </w:tcPr>
          <w:p>
            <w:pPr>
              <w:ind w:left="60"/>
              <w:spacing w:after="0"/>
              <w:rPr>
                <w:sz w:val="20"/>
                <w:szCs w:val="20"/>
                <w:color w:val="auto"/>
              </w:rPr>
            </w:pPr>
            <w:r>
              <w:rPr>
                <w:rFonts w:ascii="Arial" w:cs="Arial" w:eastAsia="Arial" w:hAnsi="Arial"/>
                <w:sz w:val="16"/>
                <w:szCs w:val="16"/>
                <w:color w:val="auto"/>
              </w:rPr>
              <w:t>business development and M&amp;A strategy, or internal product development</w:t>
            </w:r>
          </w:p>
        </w:tc>
        <w:tc>
          <w:tcPr>
            <w:tcW w:w="1300" w:type="dxa"/>
            <w:vAlign w:val="bottom"/>
          </w:tcPr>
          <w:p>
            <w:pPr>
              <w:spacing w:after="0"/>
              <w:rPr>
                <w:sz w:val="16"/>
                <w:szCs w:val="16"/>
                <w:color w:val="auto"/>
              </w:rPr>
            </w:pPr>
          </w:p>
        </w:tc>
      </w:tr>
      <w:tr>
        <w:trPr>
          <w:trHeight w:val="224"/>
        </w:trPr>
        <w:tc>
          <w:tcPr>
            <w:tcW w:w="1300" w:type="dxa"/>
            <w:vAlign w:val="bottom"/>
          </w:tcPr>
          <w:p>
            <w:pPr>
              <w:spacing w:after="0"/>
              <w:rPr>
                <w:sz w:val="19"/>
                <w:szCs w:val="19"/>
                <w:color w:val="auto"/>
              </w:rPr>
            </w:pPr>
          </w:p>
        </w:tc>
        <w:tc>
          <w:tcPr>
            <w:tcW w:w="2300" w:type="dxa"/>
            <w:vAlign w:val="bottom"/>
            <w:tcBorders>
              <w:bottom w:val="single" w:sz="8" w:color="808080"/>
              <w:right w:val="single" w:sz="8" w:color="808080"/>
            </w:tcBorders>
          </w:tcPr>
          <w:p>
            <w:pPr>
              <w:spacing w:after="0"/>
              <w:rPr>
                <w:sz w:val="19"/>
                <w:szCs w:val="19"/>
                <w:color w:val="auto"/>
              </w:rPr>
            </w:pPr>
          </w:p>
        </w:tc>
        <w:tc>
          <w:tcPr>
            <w:tcW w:w="6120" w:type="dxa"/>
            <w:vAlign w:val="bottom"/>
            <w:tcBorders>
              <w:bottom w:val="single" w:sz="8" w:color="808080"/>
            </w:tcBorders>
          </w:tcPr>
          <w:p>
            <w:pPr>
              <w:ind w:left="60"/>
              <w:spacing w:after="0"/>
              <w:rPr>
                <w:sz w:val="20"/>
                <w:szCs w:val="20"/>
                <w:color w:val="auto"/>
              </w:rPr>
            </w:pPr>
            <w:r>
              <w:rPr>
                <w:rFonts w:ascii="Arial" w:cs="Arial" w:eastAsia="Arial" w:hAnsi="Arial"/>
                <w:sz w:val="16"/>
                <w:szCs w:val="16"/>
                <w:color w:val="auto"/>
              </w:rPr>
              <w:t>portfolios.</w:t>
            </w:r>
          </w:p>
        </w:tc>
        <w:tc>
          <w:tcPr>
            <w:tcW w:w="1300" w:type="dxa"/>
            <w:vAlign w:val="bottom"/>
          </w:tcPr>
          <w:p>
            <w:pPr>
              <w:spacing w:after="0"/>
              <w:rPr>
                <w:sz w:val="19"/>
                <w:szCs w:val="19"/>
                <w:color w:val="auto"/>
              </w:rPr>
            </w:pPr>
          </w:p>
        </w:tc>
      </w:tr>
      <w:tr>
        <w:trPr>
          <w:trHeight w:val="202"/>
        </w:trPr>
        <w:tc>
          <w:tcPr>
            <w:tcW w:w="1300" w:type="dxa"/>
            <w:vAlign w:val="bottom"/>
          </w:tcPr>
          <w:p>
            <w:pPr>
              <w:spacing w:after="0"/>
              <w:rPr>
                <w:sz w:val="17"/>
                <w:szCs w:val="17"/>
                <w:color w:val="auto"/>
              </w:rPr>
            </w:pPr>
          </w:p>
        </w:tc>
        <w:tc>
          <w:tcPr>
            <w:tcW w:w="2300" w:type="dxa"/>
            <w:vAlign w:val="bottom"/>
            <w:tcBorders>
              <w:right w:val="single" w:sz="8" w:color="808080"/>
            </w:tcBorders>
          </w:tcPr>
          <w:p>
            <w:pPr>
              <w:ind w:left="100"/>
              <w:spacing w:after="0"/>
              <w:rPr>
                <w:sz w:val="20"/>
                <w:szCs w:val="20"/>
                <w:color w:val="auto"/>
              </w:rPr>
            </w:pPr>
            <w:r>
              <w:rPr>
                <w:rFonts w:ascii="Arial" w:cs="Arial" w:eastAsia="Arial" w:hAnsi="Arial"/>
                <w:sz w:val="16"/>
                <w:szCs w:val="16"/>
                <w:b w:val="1"/>
                <w:bCs w:val="1"/>
                <w:color w:val="auto"/>
              </w:rPr>
              <w:t>Cybersecurity</w:t>
            </w:r>
          </w:p>
        </w:tc>
        <w:tc>
          <w:tcPr>
            <w:tcW w:w="6120" w:type="dxa"/>
            <w:vAlign w:val="bottom"/>
          </w:tcPr>
          <w:p>
            <w:pPr>
              <w:ind w:left="60"/>
              <w:spacing w:after="0"/>
              <w:rPr>
                <w:sz w:val="20"/>
                <w:szCs w:val="20"/>
                <w:color w:val="auto"/>
              </w:rPr>
            </w:pPr>
            <w:r>
              <w:rPr>
                <w:rFonts w:ascii="Arial" w:cs="Arial" w:eastAsia="Arial" w:hAnsi="Arial"/>
                <w:sz w:val="16"/>
                <w:szCs w:val="16"/>
                <w:color w:val="auto"/>
              </w:rPr>
              <w:t>Experience managing cybersecurity, information or data security risks or threats,</w:t>
            </w:r>
          </w:p>
        </w:tc>
        <w:tc>
          <w:tcPr>
            <w:tcW w:w="1300" w:type="dxa"/>
            <w:vAlign w:val="bottom"/>
          </w:tcPr>
          <w:p>
            <w:pPr>
              <w:spacing w:after="0"/>
              <w:rPr>
                <w:sz w:val="17"/>
                <w:szCs w:val="17"/>
                <w:color w:val="auto"/>
              </w:rPr>
            </w:pPr>
          </w:p>
        </w:tc>
      </w:tr>
      <w:tr>
        <w:trPr>
          <w:trHeight w:val="189"/>
        </w:trPr>
        <w:tc>
          <w:tcPr>
            <w:tcW w:w="1300" w:type="dxa"/>
            <w:vAlign w:val="bottom"/>
          </w:tcPr>
          <w:p>
            <w:pPr>
              <w:spacing w:after="0"/>
              <w:rPr>
                <w:sz w:val="16"/>
                <w:szCs w:val="16"/>
                <w:color w:val="auto"/>
              </w:rPr>
            </w:pPr>
          </w:p>
        </w:tc>
        <w:tc>
          <w:tcPr>
            <w:tcW w:w="2300" w:type="dxa"/>
            <w:vAlign w:val="bottom"/>
            <w:tcBorders>
              <w:right w:val="single" w:sz="8" w:color="808080"/>
            </w:tcBorders>
          </w:tcPr>
          <w:p>
            <w:pPr>
              <w:spacing w:after="0"/>
              <w:rPr>
                <w:sz w:val="16"/>
                <w:szCs w:val="16"/>
                <w:color w:val="auto"/>
              </w:rPr>
            </w:pPr>
          </w:p>
        </w:tc>
        <w:tc>
          <w:tcPr>
            <w:tcW w:w="6120" w:type="dxa"/>
            <w:vAlign w:val="bottom"/>
          </w:tcPr>
          <w:p>
            <w:pPr>
              <w:ind w:left="60"/>
              <w:spacing w:after="0"/>
              <w:rPr>
                <w:sz w:val="20"/>
                <w:szCs w:val="20"/>
                <w:color w:val="auto"/>
              </w:rPr>
            </w:pPr>
            <w:r>
              <w:rPr>
                <w:rFonts w:ascii="Arial" w:cs="Arial" w:eastAsia="Arial" w:hAnsi="Arial"/>
                <w:sz w:val="16"/>
                <w:szCs w:val="16"/>
                <w:color w:val="auto"/>
              </w:rPr>
              <w:t>as well as possession of a recognized cybersecurity certification or other skills or</w:t>
            </w:r>
          </w:p>
        </w:tc>
        <w:tc>
          <w:tcPr>
            <w:tcW w:w="1300" w:type="dxa"/>
            <w:vAlign w:val="bottom"/>
          </w:tcPr>
          <w:p>
            <w:pPr>
              <w:spacing w:after="0"/>
              <w:rPr>
                <w:sz w:val="16"/>
                <w:szCs w:val="16"/>
                <w:color w:val="auto"/>
              </w:rPr>
            </w:pPr>
          </w:p>
        </w:tc>
      </w:tr>
      <w:tr>
        <w:trPr>
          <w:trHeight w:val="216"/>
        </w:trPr>
        <w:tc>
          <w:tcPr>
            <w:tcW w:w="1300" w:type="dxa"/>
            <w:vAlign w:val="bottom"/>
          </w:tcPr>
          <w:p>
            <w:pPr>
              <w:spacing w:after="0"/>
              <w:rPr>
                <w:sz w:val="18"/>
                <w:szCs w:val="18"/>
                <w:color w:val="auto"/>
              </w:rPr>
            </w:pPr>
          </w:p>
        </w:tc>
        <w:tc>
          <w:tcPr>
            <w:tcW w:w="2300" w:type="dxa"/>
            <w:vAlign w:val="bottom"/>
            <w:tcBorders>
              <w:bottom w:val="single" w:sz="8" w:color="808080"/>
              <w:right w:val="single" w:sz="8" w:color="808080"/>
            </w:tcBorders>
          </w:tcPr>
          <w:p>
            <w:pPr>
              <w:spacing w:after="0"/>
              <w:rPr>
                <w:sz w:val="18"/>
                <w:szCs w:val="18"/>
                <w:color w:val="auto"/>
              </w:rPr>
            </w:pPr>
          </w:p>
        </w:tc>
        <w:tc>
          <w:tcPr>
            <w:tcW w:w="6120" w:type="dxa"/>
            <w:vAlign w:val="bottom"/>
            <w:tcBorders>
              <w:bottom w:val="single" w:sz="8" w:color="808080"/>
            </w:tcBorders>
          </w:tcPr>
          <w:p>
            <w:pPr>
              <w:ind w:left="60"/>
              <w:spacing w:after="0"/>
              <w:rPr>
                <w:sz w:val="20"/>
                <w:szCs w:val="20"/>
                <w:color w:val="auto"/>
              </w:rPr>
            </w:pPr>
            <w:r>
              <w:rPr>
                <w:rFonts w:ascii="Arial" w:cs="Arial" w:eastAsia="Arial" w:hAnsi="Arial"/>
                <w:sz w:val="16"/>
                <w:szCs w:val="16"/>
                <w:color w:val="auto"/>
              </w:rPr>
              <w:t>expertise related to cybersecurity.</w:t>
            </w:r>
          </w:p>
        </w:tc>
        <w:tc>
          <w:tcPr>
            <w:tcW w:w="1300" w:type="dxa"/>
            <w:vAlign w:val="bottom"/>
          </w:tcPr>
          <w:p>
            <w:pPr>
              <w:spacing w:after="0"/>
              <w:rPr>
                <w:sz w:val="18"/>
                <w:szCs w:val="18"/>
                <w:color w:val="auto"/>
              </w:rPr>
            </w:pPr>
          </w:p>
        </w:tc>
      </w:tr>
      <w:tr>
        <w:trPr>
          <w:trHeight w:val="419"/>
        </w:trPr>
        <w:tc>
          <w:tcPr>
            <w:tcW w:w="13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120" w:type="dxa"/>
            <w:vAlign w:val="bottom"/>
          </w:tcPr>
          <w:p>
            <w:pPr>
              <w:ind w:left="1840"/>
              <w:spacing w:after="0"/>
              <w:rPr>
                <w:sz w:val="20"/>
                <w:szCs w:val="20"/>
                <w:color w:val="auto"/>
              </w:rPr>
            </w:pPr>
            <w:r>
              <w:rPr>
                <w:rFonts w:ascii="Arial" w:cs="Arial" w:eastAsia="Arial" w:hAnsi="Arial"/>
                <w:sz w:val="16"/>
                <w:szCs w:val="16"/>
                <w:b w:val="1"/>
                <w:bCs w:val="1"/>
                <w:color w:val="auto"/>
              </w:rPr>
              <w:t>vi</w:t>
            </w:r>
          </w:p>
        </w:tc>
        <w:tc>
          <w:tcPr>
            <w:tcW w:w="1300" w:type="dxa"/>
            <w:vAlign w:val="bottom"/>
          </w:tcPr>
          <w:p>
            <w:pPr>
              <w:spacing w:after="0"/>
              <w:rPr>
                <w:sz w:val="24"/>
                <w:szCs w:val="24"/>
                <w:color w:val="auto"/>
              </w:rPr>
            </w:pPr>
          </w:p>
        </w:tc>
      </w:tr>
      <w:tr>
        <w:trPr>
          <w:trHeight w:val="163"/>
        </w:trPr>
        <w:tc>
          <w:tcPr>
            <w:tcW w:w="13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tcPr>
          <w:p>
            <w:pPr>
              <w:spacing w:after="0"/>
              <w:rPr>
                <w:sz w:val="14"/>
                <w:szCs w:val="14"/>
                <w:color w:val="auto"/>
              </w:rPr>
            </w:pPr>
          </w:p>
        </w:tc>
        <w:tc>
          <w:tcPr>
            <w:tcW w:w="6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114" w:right="439"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tbl>
      <w:tblPr>
        <w:tblLayout w:type="fixed"/>
        <w:tblInd w:w="300" w:type="dxa"/>
        <w:tblCellMar>
          <w:top w:w="0" w:type="dxa"/>
          <w:left w:w="0" w:type="dxa"/>
          <w:bottom w:w="0" w:type="dxa"/>
          <w:right w:w="0" w:type="dxa"/>
        </w:tblCellMar>
      </w:tblPr>
      <w:tr>
        <w:trPr>
          <w:trHeight w:val="215"/>
        </w:trPr>
        <w:tc>
          <w:tcPr>
            <w:tcW w:w="2320" w:type="dxa"/>
            <w:vAlign w:val="bottom"/>
          </w:tcPr>
          <w:p>
            <w:pPr>
              <w:spacing w:after="0"/>
              <w:rPr>
                <w:sz w:val="18"/>
                <w:szCs w:val="18"/>
                <w:color w:val="auto"/>
              </w:rPr>
            </w:pPr>
          </w:p>
        </w:tc>
        <w:tc>
          <w:tcPr>
            <w:tcW w:w="6100" w:type="dxa"/>
            <w:vAlign w:val="bottom"/>
          </w:tcPr>
          <w:p>
            <w:pPr>
              <w:ind w:left="4240"/>
              <w:spacing w:after="0"/>
              <w:rPr>
                <w:sz w:val="20"/>
                <w:szCs w:val="20"/>
                <w:color w:val="auto"/>
              </w:rPr>
            </w:pPr>
            <w:r>
              <w:rPr>
                <w:rFonts w:ascii="Arial" w:cs="Arial" w:eastAsia="Arial" w:hAnsi="Arial"/>
                <w:sz w:val="16"/>
                <w:szCs w:val="16"/>
                <w:color w:val="342C82"/>
              </w:rPr>
              <w:t>Proxy statement overview</w:t>
            </w:r>
          </w:p>
        </w:tc>
      </w:tr>
      <w:tr>
        <w:trPr>
          <w:trHeight w:val="97"/>
        </w:trPr>
        <w:tc>
          <w:tcPr>
            <w:tcW w:w="2320" w:type="dxa"/>
            <w:vAlign w:val="bottom"/>
            <w:tcBorders>
              <w:bottom w:val="single" w:sz="8" w:color="808080"/>
            </w:tcBorders>
          </w:tcPr>
          <w:p>
            <w:pPr>
              <w:spacing w:after="0"/>
              <w:rPr>
                <w:sz w:val="8"/>
                <w:szCs w:val="8"/>
                <w:color w:val="auto"/>
              </w:rPr>
            </w:pPr>
          </w:p>
        </w:tc>
        <w:tc>
          <w:tcPr>
            <w:tcW w:w="6100" w:type="dxa"/>
            <w:vAlign w:val="bottom"/>
            <w:tcBorders>
              <w:bottom w:val="single" w:sz="8" w:color="808080"/>
            </w:tcBorders>
          </w:tcPr>
          <w:p>
            <w:pPr>
              <w:spacing w:after="0"/>
              <w:rPr>
                <w:sz w:val="8"/>
                <w:szCs w:val="8"/>
                <w:color w:val="auto"/>
              </w:rPr>
            </w:pPr>
          </w:p>
        </w:tc>
      </w:tr>
      <w:tr>
        <w:trPr>
          <w:trHeight w:val="195"/>
        </w:trPr>
        <w:tc>
          <w:tcPr>
            <w:tcW w:w="2320" w:type="dxa"/>
            <w:vAlign w:val="bottom"/>
            <w:tcBorders>
              <w:right w:val="single" w:sz="8" w:color="808080"/>
            </w:tcBorders>
          </w:tcPr>
          <w:p>
            <w:pPr>
              <w:ind w:left="160"/>
              <w:spacing w:after="0"/>
              <w:rPr>
                <w:sz w:val="20"/>
                <w:szCs w:val="20"/>
                <w:color w:val="auto"/>
              </w:rPr>
            </w:pPr>
            <w:r>
              <w:rPr>
                <w:rFonts w:ascii="Arial" w:cs="Arial" w:eastAsia="Arial" w:hAnsi="Arial"/>
                <w:sz w:val="16"/>
                <w:szCs w:val="16"/>
                <w:b w:val="1"/>
                <w:bCs w:val="1"/>
                <w:color w:val="auto"/>
              </w:rPr>
              <w:t>Risk / Crisis Management</w:t>
            </w:r>
          </w:p>
        </w:tc>
        <w:tc>
          <w:tcPr>
            <w:tcW w:w="6100" w:type="dxa"/>
            <w:vAlign w:val="bottom"/>
          </w:tcPr>
          <w:p>
            <w:pPr>
              <w:ind w:left="40"/>
              <w:spacing w:after="0"/>
              <w:rPr>
                <w:sz w:val="20"/>
                <w:szCs w:val="20"/>
                <w:color w:val="auto"/>
              </w:rPr>
            </w:pPr>
            <w:r>
              <w:rPr>
                <w:rFonts w:ascii="Arial" w:cs="Arial" w:eastAsia="Arial" w:hAnsi="Arial"/>
                <w:sz w:val="16"/>
                <w:szCs w:val="16"/>
                <w:color w:val="auto"/>
              </w:rPr>
              <w:t>Experience overseeing enterprise risk management or business continuity</w:t>
            </w:r>
          </w:p>
        </w:tc>
      </w:tr>
      <w:tr>
        <w:trPr>
          <w:trHeight w:val="189"/>
        </w:trPr>
        <w:tc>
          <w:tcPr>
            <w:tcW w:w="2320" w:type="dxa"/>
            <w:vAlign w:val="bottom"/>
            <w:tcBorders>
              <w:right w:val="single" w:sz="8" w:color="808080"/>
            </w:tcBorders>
          </w:tcPr>
          <w:p>
            <w:pPr>
              <w:spacing w:after="0"/>
              <w:rPr>
                <w:sz w:val="16"/>
                <w:szCs w:val="16"/>
                <w:color w:val="auto"/>
              </w:rPr>
            </w:pPr>
          </w:p>
        </w:tc>
        <w:tc>
          <w:tcPr>
            <w:tcW w:w="6100" w:type="dxa"/>
            <w:vAlign w:val="bottom"/>
          </w:tcPr>
          <w:p>
            <w:pPr>
              <w:ind w:left="40"/>
              <w:spacing w:after="0"/>
              <w:rPr>
                <w:sz w:val="20"/>
                <w:szCs w:val="20"/>
                <w:color w:val="auto"/>
              </w:rPr>
            </w:pPr>
            <w:r>
              <w:rPr>
                <w:rFonts w:ascii="Arial" w:cs="Arial" w:eastAsia="Arial" w:hAnsi="Arial"/>
                <w:sz w:val="16"/>
                <w:szCs w:val="16"/>
                <w:color w:val="auto"/>
              </w:rPr>
              <w:t>planning, including at an enterprise level, experience overseeing product safety</w:t>
            </w:r>
          </w:p>
        </w:tc>
      </w:tr>
      <w:tr>
        <w:trPr>
          <w:trHeight w:val="189"/>
        </w:trPr>
        <w:tc>
          <w:tcPr>
            <w:tcW w:w="2320" w:type="dxa"/>
            <w:vAlign w:val="bottom"/>
            <w:tcBorders>
              <w:right w:val="single" w:sz="8" w:color="808080"/>
            </w:tcBorders>
          </w:tcPr>
          <w:p>
            <w:pPr>
              <w:spacing w:after="0"/>
              <w:rPr>
                <w:sz w:val="16"/>
                <w:szCs w:val="16"/>
                <w:color w:val="auto"/>
              </w:rPr>
            </w:pPr>
          </w:p>
        </w:tc>
        <w:tc>
          <w:tcPr>
            <w:tcW w:w="6100" w:type="dxa"/>
            <w:vAlign w:val="bottom"/>
          </w:tcPr>
          <w:p>
            <w:pPr>
              <w:ind w:left="40"/>
              <w:spacing w:after="0"/>
              <w:rPr>
                <w:sz w:val="20"/>
                <w:szCs w:val="20"/>
                <w:color w:val="auto"/>
              </w:rPr>
            </w:pPr>
            <w:r>
              <w:rPr>
                <w:rFonts w:ascii="Arial" w:cs="Arial" w:eastAsia="Arial" w:hAnsi="Arial"/>
                <w:sz w:val="16"/>
                <w:szCs w:val="16"/>
                <w:color w:val="auto"/>
              </w:rPr>
              <w:t>compliance programs and policies, or experience with crisis management, such as</w:t>
            </w:r>
          </w:p>
        </w:tc>
      </w:tr>
      <w:tr>
        <w:trPr>
          <w:trHeight w:val="189"/>
        </w:trPr>
        <w:tc>
          <w:tcPr>
            <w:tcW w:w="2320" w:type="dxa"/>
            <w:vAlign w:val="bottom"/>
            <w:tcBorders>
              <w:right w:val="single" w:sz="8" w:color="808080"/>
            </w:tcBorders>
          </w:tcPr>
          <w:p>
            <w:pPr>
              <w:spacing w:after="0"/>
              <w:rPr>
                <w:sz w:val="16"/>
                <w:szCs w:val="16"/>
                <w:color w:val="auto"/>
              </w:rPr>
            </w:pPr>
          </w:p>
        </w:tc>
        <w:tc>
          <w:tcPr>
            <w:tcW w:w="6100" w:type="dxa"/>
            <w:vAlign w:val="bottom"/>
          </w:tcPr>
          <w:p>
            <w:pPr>
              <w:ind w:left="40"/>
              <w:spacing w:after="0"/>
              <w:rPr>
                <w:sz w:val="20"/>
                <w:szCs w:val="20"/>
                <w:color w:val="auto"/>
              </w:rPr>
            </w:pPr>
            <w:r>
              <w:rPr>
                <w:rFonts w:ascii="Arial" w:cs="Arial" w:eastAsia="Arial" w:hAnsi="Arial"/>
                <w:sz w:val="16"/>
                <w:szCs w:val="16"/>
                <w:color w:val="auto"/>
              </w:rPr>
              <w:t>the implementation or development of strategies designed to help an organization</w:t>
            </w:r>
          </w:p>
        </w:tc>
      </w:tr>
      <w:tr>
        <w:trPr>
          <w:trHeight w:val="224"/>
        </w:trPr>
        <w:tc>
          <w:tcPr>
            <w:tcW w:w="2320" w:type="dxa"/>
            <w:vAlign w:val="bottom"/>
            <w:tcBorders>
              <w:bottom w:val="single" w:sz="8" w:color="808080"/>
              <w:right w:val="single" w:sz="8" w:color="808080"/>
            </w:tcBorders>
          </w:tcPr>
          <w:p>
            <w:pPr>
              <w:spacing w:after="0"/>
              <w:rPr>
                <w:sz w:val="19"/>
                <w:szCs w:val="19"/>
                <w:color w:val="auto"/>
              </w:rPr>
            </w:pPr>
          </w:p>
        </w:tc>
        <w:tc>
          <w:tcPr>
            <w:tcW w:w="6100" w:type="dxa"/>
            <w:vAlign w:val="bottom"/>
            <w:tcBorders>
              <w:bottom w:val="single" w:sz="8" w:color="808080"/>
            </w:tcBorders>
          </w:tcPr>
          <w:p>
            <w:pPr>
              <w:ind w:left="40"/>
              <w:spacing w:after="0"/>
              <w:rPr>
                <w:sz w:val="20"/>
                <w:szCs w:val="20"/>
                <w:color w:val="auto"/>
              </w:rPr>
            </w:pPr>
            <w:r>
              <w:rPr>
                <w:rFonts w:ascii="Arial" w:cs="Arial" w:eastAsia="Arial" w:hAnsi="Arial"/>
                <w:sz w:val="16"/>
                <w:szCs w:val="16"/>
                <w:color w:val="auto"/>
              </w:rPr>
              <w:t>manage sudden or significant events.</w:t>
            </w:r>
          </w:p>
        </w:tc>
      </w:tr>
      <w:tr>
        <w:trPr>
          <w:trHeight w:val="202"/>
        </w:trPr>
        <w:tc>
          <w:tcPr>
            <w:tcW w:w="2320" w:type="dxa"/>
            <w:vAlign w:val="bottom"/>
            <w:tcBorders>
              <w:right w:val="single" w:sz="8" w:color="808080"/>
            </w:tcBorders>
          </w:tcPr>
          <w:p>
            <w:pPr>
              <w:ind w:left="160"/>
              <w:spacing w:after="0"/>
              <w:rPr>
                <w:sz w:val="20"/>
                <w:szCs w:val="20"/>
                <w:color w:val="auto"/>
              </w:rPr>
            </w:pPr>
            <w:r>
              <w:rPr>
                <w:rFonts w:ascii="Arial" w:cs="Arial" w:eastAsia="Arial" w:hAnsi="Arial"/>
                <w:sz w:val="16"/>
                <w:szCs w:val="16"/>
                <w:b w:val="1"/>
                <w:bCs w:val="1"/>
                <w:color w:val="auto"/>
              </w:rPr>
              <w:t>ESG</w:t>
            </w:r>
          </w:p>
        </w:tc>
        <w:tc>
          <w:tcPr>
            <w:tcW w:w="6100" w:type="dxa"/>
            <w:vAlign w:val="bottom"/>
          </w:tcPr>
          <w:p>
            <w:pPr>
              <w:ind w:left="40"/>
              <w:spacing w:after="0"/>
              <w:rPr>
                <w:sz w:val="20"/>
                <w:szCs w:val="20"/>
                <w:color w:val="auto"/>
              </w:rPr>
            </w:pPr>
            <w:r>
              <w:rPr>
                <w:rFonts w:ascii="Arial" w:cs="Arial" w:eastAsia="Arial" w:hAnsi="Arial"/>
                <w:sz w:val="16"/>
                <w:szCs w:val="16"/>
                <w:color w:val="auto"/>
              </w:rPr>
              <w:t>Experience working with Environmental, Social and Governance (“ESG”) matters</w:t>
            </w:r>
          </w:p>
        </w:tc>
      </w:tr>
      <w:tr>
        <w:trPr>
          <w:trHeight w:val="224"/>
        </w:trPr>
        <w:tc>
          <w:tcPr>
            <w:tcW w:w="2320" w:type="dxa"/>
            <w:vAlign w:val="bottom"/>
            <w:tcBorders>
              <w:bottom w:val="single" w:sz="8" w:color="808080"/>
              <w:right w:val="single" w:sz="8" w:color="808080"/>
            </w:tcBorders>
          </w:tcPr>
          <w:p>
            <w:pPr>
              <w:spacing w:after="0"/>
              <w:rPr>
                <w:sz w:val="19"/>
                <w:szCs w:val="19"/>
                <w:color w:val="auto"/>
              </w:rPr>
            </w:pPr>
          </w:p>
        </w:tc>
        <w:tc>
          <w:tcPr>
            <w:tcW w:w="6100" w:type="dxa"/>
            <w:vAlign w:val="bottom"/>
            <w:tcBorders>
              <w:bottom w:val="single" w:sz="8" w:color="808080"/>
            </w:tcBorders>
          </w:tcPr>
          <w:p>
            <w:pPr>
              <w:ind w:left="40"/>
              <w:spacing w:after="0"/>
              <w:rPr>
                <w:sz w:val="20"/>
                <w:szCs w:val="20"/>
                <w:color w:val="auto"/>
              </w:rPr>
            </w:pPr>
            <w:r>
              <w:rPr>
                <w:rFonts w:ascii="Arial" w:cs="Arial" w:eastAsia="Arial" w:hAnsi="Arial"/>
                <w:sz w:val="16"/>
                <w:szCs w:val="16"/>
                <w:color w:val="auto"/>
              </w:rPr>
              <w:t>and incorporating these pillars into a sustainable company strategy.</w:t>
            </w:r>
          </w:p>
        </w:tc>
      </w:tr>
      <w:tr>
        <w:trPr>
          <w:trHeight w:val="202"/>
        </w:trPr>
        <w:tc>
          <w:tcPr>
            <w:tcW w:w="2320" w:type="dxa"/>
            <w:vAlign w:val="bottom"/>
            <w:tcBorders>
              <w:right w:val="single" w:sz="8" w:color="808080"/>
            </w:tcBorders>
          </w:tcPr>
          <w:p>
            <w:pPr>
              <w:ind w:left="160"/>
              <w:spacing w:after="0"/>
              <w:rPr>
                <w:sz w:val="20"/>
                <w:szCs w:val="20"/>
                <w:color w:val="auto"/>
              </w:rPr>
            </w:pPr>
            <w:r>
              <w:rPr>
                <w:rFonts w:ascii="Arial" w:cs="Arial" w:eastAsia="Arial" w:hAnsi="Arial"/>
                <w:sz w:val="16"/>
                <w:szCs w:val="16"/>
                <w:b w:val="1"/>
                <w:bCs w:val="1"/>
                <w:color w:val="auto"/>
              </w:rPr>
              <w:t>Institutional</w:t>
            </w:r>
          </w:p>
        </w:tc>
        <w:tc>
          <w:tcPr>
            <w:tcW w:w="6100" w:type="dxa"/>
            <w:vAlign w:val="bottom"/>
          </w:tcPr>
          <w:p>
            <w:pPr>
              <w:ind w:left="40"/>
              <w:spacing w:after="0"/>
              <w:rPr>
                <w:sz w:val="20"/>
                <w:szCs w:val="20"/>
                <w:color w:val="auto"/>
              </w:rPr>
            </w:pPr>
            <w:r>
              <w:rPr>
                <w:rFonts w:ascii="Arial" w:cs="Arial" w:eastAsia="Arial" w:hAnsi="Arial"/>
                <w:sz w:val="16"/>
                <w:szCs w:val="16"/>
                <w:color w:val="auto"/>
              </w:rPr>
              <w:t>Experience working with large financial funds, money managers, investment</w:t>
            </w:r>
          </w:p>
        </w:tc>
      </w:tr>
      <w:tr>
        <w:trPr>
          <w:trHeight w:val="226"/>
        </w:trPr>
        <w:tc>
          <w:tcPr>
            <w:tcW w:w="2320" w:type="dxa"/>
            <w:vAlign w:val="bottom"/>
            <w:tcBorders>
              <w:bottom w:val="single" w:sz="8" w:color="808080"/>
              <w:right w:val="single" w:sz="8" w:color="808080"/>
            </w:tcBorders>
          </w:tcPr>
          <w:p>
            <w:pPr>
              <w:ind w:left="160"/>
              <w:spacing w:after="0"/>
              <w:rPr>
                <w:sz w:val="20"/>
                <w:szCs w:val="20"/>
                <w:color w:val="auto"/>
              </w:rPr>
            </w:pPr>
            <w:r>
              <w:rPr>
                <w:rFonts w:ascii="Arial" w:cs="Arial" w:eastAsia="Arial" w:hAnsi="Arial"/>
                <w:sz w:val="16"/>
                <w:szCs w:val="16"/>
                <w:b w:val="1"/>
                <w:bCs w:val="1"/>
                <w:color w:val="auto"/>
              </w:rPr>
              <w:t>Investor Perspective</w:t>
            </w:r>
          </w:p>
        </w:tc>
        <w:tc>
          <w:tcPr>
            <w:tcW w:w="6100" w:type="dxa"/>
            <w:vAlign w:val="bottom"/>
            <w:tcBorders>
              <w:bottom w:val="single" w:sz="8" w:color="808080"/>
            </w:tcBorders>
          </w:tcPr>
          <w:p>
            <w:pPr>
              <w:ind w:left="40"/>
              <w:spacing w:after="0"/>
              <w:rPr>
                <w:sz w:val="20"/>
                <w:szCs w:val="20"/>
                <w:color w:val="auto"/>
              </w:rPr>
            </w:pPr>
            <w:r>
              <w:rPr>
                <w:rFonts w:ascii="Arial" w:cs="Arial" w:eastAsia="Arial" w:hAnsi="Arial"/>
                <w:sz w:val="16"/>
                <w:szCs w:val="16"/>
                <w:color w:val="auto"/>
              </w:rPr>
              <w:t>banks, trusts or private equity investors.</w:t>
            </w:r>
          </w:p>
        </w:tc>
      </w:tr>
      <w:tr>
        <w:trPr>
          <w:trHeight w:val="199"/>
        </w:trPr>
        <w:tc>
          <w:tcPr>
            <w:tcW w:w="2320" w:type="dxa"/>
            <w:vAlign w:val="bottom"/>
            <w:tcBorders>
              <w:right w:val="single" w:sz="8" w:color="808080"/>
            </w:tcBorders>
          </w:tcPr>
          <w:p>
            <w:pPr>
              <w:ind w:left="160"/>
              <w:spacing w:after="0"/>
              <w:rPr>
                <w:sz w:val="20"/>
                <w:szCs w:val="20"/>
                <w:color w:val="auto"/>
              </w:rPr>
            </w:pPr>
            <w:r>
              <w:rPr>
                <w:rFonts w:ascii="Arial" w:cs="Arial" w:eastAsia="Arial" w:hAnsi="Arial"/>
                <w:sz w:val="16"/>
                <w:szCs w:val="16"/>
                <w:b w:val="1"/>
                <w:bCs w:val="1"/>
                <w:color w:val="auto"/>
              </w:rPr>
              <w:t>Regulatory / Compliance</w:t>
            </w:r>
          </w:p>
        </w:tc>
        <w:tc>
          <w:tcPr>
            <w:tcW w:w="6100" w:type="dxa"/>
            <w:vAlign w:val="bottom"/>
          </w:tcPr>
          <w:p>
            <w:pPr>
              <w:ind w:left="40"/>
              <w:spacing w:after="0"/>
              <w:rPr>
                <w:sz w:val="20"/>
                <w:szCs w:val="20"/>
                <w:color w:val="auto"/>
              </w:rPr>
            </w:pPr>
            <w:r>
              <w:rPr>
                <w:rFonts w:ascii="Arial" w:cs="Arial" w:eastAsia="Arial" w:hAnsi="Arial"/>
                <w:sz w:val="16"/>
                <w:szCs w:val="16"/>
                <w:color w:val="auto"/>
              </w:rPr>
              <w:t>Experience with the regulatory and industry regulations and governing laws, such</w:t>
            </w:r>
          </w:p>
        </w:tc>
      </w:tr>
      <w:tr>
        <w:trPr>
          <w:trHeight w:val="189"/>
        </w:trPr>
        <w:tc>
          <w:tcPr>
            <w:tcW w:w="2320" w:type="dxa"/>
            <w:vAlign w:val="bottom"/>
            <w:tcBorders>
              <w:right w:val="single" w:sz="8" w:color="808080"/>
            </w:tcBorders>
          </w:tcPr>
          <w:p>
            <w:pPr>
              <w:spacing w:after="0"/>
              <w:rPr>
                <w:sz w:val="16"/>
                <w:szCs w:val="16"/>
                <w:color w:val="auto"/>
              </w:rPr>
            </w:pPr>
          </w:p>
        </w:tc>
        <w:tc>
          <w:tcPr>
            <w:tcW w:w="6100" w:type="dxa"/>
            <w:vAlign w:val="bottom"/>
          </w:tcPr>
          <w:p>
            <w:pPr>
              <w:ind w:left="40"/>
              <w:spacing w:after="0"/>
              <w:rPr>
                <w:sz w:val="20"/>
                <w:szCs w:val="20"/>
                <w:color w:val="auto"/>
              </w:rPr>
            </w:pPr>
            <w:r>
              <w:rPr>
                <w:rFonts w:ascii="Arial" w:cs="Arial" w:eastAsia="Arial" w:hAnsi="Arial"/>
                <w:sz w:val="16"/>
                <w:szCs w:val="16"/>
                <w:color w:val="auto"/>
              </w:rPr>
              <w:t>as FDA device regulations, international requirements and appropriate interactions</w:t>
            </w:r>
          </w:p>
        </w:tc>
      </w:tr>
      <w:tr>
        <w:trPr>
          <w:trHeight w:val="224"/>
        </w:trPr>
        <w:tc>
          <w:tcPr>
            <w:tcW w:w="2320" w:type="dxa"/>
            <w:vAlign w:val="bottom"/>
            <w:tcBorders>
              <w:bottom w:val="single" w:sz="8" w:color="808080"/>
              <w:right w:val="single" w:sz="8" w:color="808080"/>
            </w:tcBorders>
          </w:tcPr>
          <w:p>
            <w:pPr>
              <w:spacing w:after="0"/>
              <w:rPr>
                <w:sz w:val="19"/>
                <w:szCs w:val="19"/>
                <w:color w:val="auto"/>
              </w:rPr>
            </w:pPr>
          </w:p>
        </w:tc>
        <w:tc>
          <w:tcPr>
            <w:tcW w:w="6100" w:type="dxa"/>
            <w:vAlign w:val="bottom"/>
            <w:tcBorders>
              <w:bottom w:val="single" w:sz="8" w:color="808080"/>
            </w:tcBorders>
          </w:tcPr>
          <w:p>
            <w:pPr>
              <w:ind w:left="40"/>
              <w:spacing w:after="0"/>
              <w:rPr>
                <w:sz w:val="20"/>
                <w:szCs w:val="20"/>
                <w:color w:val="auto"/>
              </w:rPr>
            </w:pPr>
            <w:r>
              <w:rPr>
                <w:rFonts w:ascii="Arial" w:cs="Arial" w:eastAsia="Arial" w:hAnsi="Arial"/>
                <w:sz w:val="16"/>
                <w:szCs w:val="16"/>
                <w:color w:val="auto"/>
              </w:rPr>
              <w:t>in regulated sales environments.</w:t>
            </w:r>
          </w:p>
        </w:tc>
      </w:tr>
      <w:tr>
        <w:trPr>
          <w:trHeight w:val="202"/>
        </w:trPr>
        <w:tc>
          <w:tcPr>
            <w:tcW w:w="2320" w:type="dxa"/>
            <w:vAlign w:val="bottom"/>
            <w:tcBorders>
              <w:right w:val="single" w:sz="8" w:color="808080"/>
            </w:tcBorders>
          </w:tcPr>
          <w:p>
            <w:pPr>
              <w:ind w:left="160"/>
              <w:spacing w:after="0"/>
              <w:rPr>
                <w:sz w:val="20"/>
                <w:szCs w:val="20"/>
                <w:color w:val="auto"/>
              </w:rPr>
            </w:pPr>
            <w:r>
              <w:rPr>
                <w:rFonts w:ascii="Arial" w:cs="Arial" w:eastAsia="Arial" w:hAnsi="Arial"/>
                <w:sz w:val="16"/>
                <w:szCs w:val="16"/>
                <w:b w:val="1"/>
                <w:bCs w:val="1"/>
                <w:color w:val="auto"/>
              </w:rPr>
              <w:t>Connected</w:t>
            </w:r>
          </w:p>
        </w:tc>
        <w:tc>
          <w:tcPr>
            <w:tcW w:w="6100" w:type="dxa"/>
            <w:vAlign w:val="bottom"/>
          </w:tcPr>
          <w:p>
            <w:pPr>
              <w:ind w:left="40"/>
              <w:spacing w:after="0"/>
              <w:rPr>
                <w:sz w:val="20"/>
                <w:szCs w:val="20"/>
                <w:color w:val="auto"/>
              </w:rPr>
            </w:pPr>
            <w:r>
              <w:rPr>
                <w:rFonts w:ascii="Arial" w:cs="Arial" w:eastAsia="Arial" w:hAnsi="Arial"/>
                <w:sz w:val="16"/>
                <w:szCs w:val="16"/>
                <w:color w:val="auto"/>
              </w:rPr>
              <w:t>Experience working with user engagement, privacy, data security and</w:t>
            </w:r>
          </w:p>
        </w:tc>
      </w:tr>
      <w:tr>
        <w:trPr>
          <w:trHeight w:val="226"/>
        </w:trPr>
        <w:tc>
          <w:tcPr>
            <w:tcW w:w="2320" w:type="dxa"/>
            <w:vAlign w:val="bottom"/>
            <w:tcBorders>
              <w:bottom w:val="single" w:sz="8" w:color="808080"/>
              <w:right w:val="single" w:sz="8" w:color="808080"/>
            </w:tcBorders>
          </w:tcPr>
          <w:p>
            <w:pPr>
              <w:ind w:left="160"/>
              <w:spacing w:after="0"/>
              <w:rPr>
                <w:sz w:val="20"/>
                <w:szCs w:val="20"/>
                <w:color w:val="auto"/>
              </w:rPr>
            </w:pPr>
            <w:r>
              <w:rPr>
                <w:rFonts w:ascii="Arial" w:cs="Arial" w:eastAsia="Arial" w:hAnsi="Arial"/>
                <w:sz w:val="16"/>
                <w:szCs w:val="16"/>
                <w:b w:val="1"/>
                <w:bCs w:val="1"/>
                <w:color w:val="auto"/>
              </w:rPr>
              <w:t>Medical Device</w:t>
            </w:r>
          </w:p>
        </w:tc>
        <w:tc>
          <w:tcPr>
            <w:tcW w:w="6100" w:type="dxa"/>
            <w:vAlign w:val="bottom"/>
            <w:tcBorders>
              <w:bottom w:val="single" w:sz="8" w:color="808080"/>
            </w:tcBorders>
          </w:tcPr>
          <w:p>
            <w:pPr>
              <w:ind w:left="40"/>
              <w:spacing w:after="0"/>
              <w:rPr>
                <w:sz w:val="20"/>
                <w:szCs w:val="20"/>
                <w:color w:val="auto"/>
              </w:rPr>
            </w:pPr>
            <w:r>
              <w:rPr>
                <w:rFonts w:ascii="Arial" w:cs="Arial" w:eastAsia="Arial" w:hAnsi="Arial"/>
                <w:sz w:val="16"/>
                <w:szCs w:val="16"/>
                <w:color w:val="auto"/>
              </w:rPr>
              <w:t>interconnectivity of hardware and software within the medical device field.</w:t>
            </w:r>
          </w:p>
        </w:tc>
      </w:tr>
      <w:tr>
        <w:trPr>
          <w:trHeight w:val="199"/>
        </w:trPr>
        <w:tc>
          <w:tcPr>
            <w:tcW w:w="2320" w:type="dxa"/>
            <w:vAlign w:val="bottom"/>
            <w:tcBorders>
              <w:right w:val="single" w:sz="8" w:color="808080"/>
            </w:tcBorders>
          </w:tcPr>
          <w:p>
            <w:pPr>
              <w:ind w:left="160"/>
              <w:spacing w:after="0"/>
              <w:rPr>
                <w:sz w:val="20"/>
                <w:szCs w:val="20"/>
                <w:color w:val="auto"/>
              </w:rPr>
            </w:pPr>
            <w:r>
              <w:rPr>
                <w:rFonts w:ascii="Arial" w:cs="Arial" w:eastAsia="Arial" w:hAnsi="Arial"/>
                <w:sz w:val="16"/>
                <w:szCs w:val="16"/>
                <w:b w:val="1"/>
                <w:bCs w:val="1"/>
                <w:color w:val="auto"/>
              </w:rPr>
              <w:t>Payer and Medical</w:t>
            </w:r>
          </w:p>
        </w:tc>
        <w:tc>
          <w:tcPr>
            <w:tcW w:w="6100" w:type="dxa"/>
            <w:vAlign w:val="bottom"/>
          </w:tcPr>
          <w:p>
            <w:pPr>
              <w:ind w:left="40"/>
              <w:spacing w:after="0"/>
              <w:rPr>
                <w:sz w:val="20"/>
                <w:szCs w:val="20"/>
                <w:color w:val="auto"/>
              </w:rPr>
            </w:pPr>
            <w:r>
              <w:rPr>
                <w:rFonts w:ascii="Arial" w:cs="Arial" w:eastAsia="Arial" w:hAnsi="Arial"/>
                <w:sz w:val="16"/>
                <w:szCs w:val="16"/>
                <w:color w:val="auto"/>
              </w:rPr>
              <w:t>Experience with reimbursable or pharmaceutical products and obtaining</w:t>
            </w:r>
          </w:p>
        </w:tc>
      </w:tr>
      <w:tr>
        <w:trPr>
          <w:trHeight w:val="226"/>
        </w:trPr>
        <w:tc>
          <w:tcPr>
            <w:tcW w:w="2320" w:type="dxa"/>
            <w:vAlign w:val="bottom"/>
            <w:tcBorders>
              <w:bottom w:val="single" w:sz="8" w:color="808080"/>
              <w:right w:val="single" w:sz="8" w:color="808080"/>
            </w:tcBorders>
          </w:tcPr>
          <w:p>
            <w:pPr>
              <w:ind w:left="160"/>
              <w:spacing w:after="0"/>
              <w:rPr>
                <w:sz w:val="20"/>
                <w:szCs w:val="20"/>
                <w:color w:val="auto"/>
              </w:rPr>
            </w:pPr>
            <w:r>
              <w:rPr>
                <w:rFonts w:ascii="Arial" w:cs="Arial" w:eastAsia="Arial" w:hAnsi="Arial"/>
                <w:sz w:val="16"/>
                <w:szCs w:val="16"/>
                <w:b w:val="1"/>
                <w:bCs w:val="1"/>
                <w:color w:val="auto"/>
              </w:rPr>
              <w:t>Reimbursement</w:t>
            </w:r>
          </w:p>
        </w:tc>
        <w:tc>
          <w:tcPr>
            <w:tcW w:w="6100" w:type="dxa"/>
            <w:vAlign w:val="bottom"/>
            <w:tcBorders>
              <w:bottom w:val="single" w:sz="8" w:color="808080"/>
            </w:tcBorders>
          </w:tcPr>
          <w:p>
            <w:pPr>
              <w:ind w:left="40"/>
              <w:spacing w:after="0"/>
              <w:rPr>
                <w:sz w:val="20"/>
                <w:szCs w:val="20"/>
                <w:color w:val="auto"/>
              </w:rPr>
            </w:pPr>
            <w:r>
              <w:rPr>
                <w:rFonts w:ascii="Arial" w:cs="Arial" w:eastAsia="Arial" w:hAnsi="Arial"/>
                <w:sz w:val="16"/>
                <w:szCs w:val="16"/>
                <w:color w:val="auto"/>
              </w:rPr>
              <w:t>reimbursement or coverage through private or government payers.</w:t>
            </w:r>
          </w:p>
        </w:tc>
      </w:tr>
      <w:tr>
        <w:trPr>
          <w:trHeight w:val="199"/>
        </w:trPr>
        <w:tc>
          <w:tcPr>
            <w:tcW w:w="2320" w:type="dxa"/>
            <w:vAlign w:val="bottom"/>
            <w:tcBorders>
              <w:right w:val="single" w:sz="8" w:color="808080"/>
            </w:tcBorders>
          </w:tcPr>
          <w:p>
            <w:pPr>
              <w:ind w:left="160"/>
              <w:spacing w:after="0"/>
              <w:rPr>
                <w:sz w:val="20"/>
                <w:szCs w:val="20"/>
                <w:color w:val="auto"/>
              </w:rPr>
            </w:pPr>
            <w:r>
              <w:rPr>
                <w:rFonts w:ascii="Arial" w:cs="Arial" w:eastAsia="Arial" w:hAnsi="Arial"/>
                <w:sz w:val="16"/>
                <w:szCs w:val="16"/>
                <w:b w:val="1"/>
                <w:bCs w:val="1"/>
                <w:color w:val="auto"/>
              </w:rPr>
              <w:t>Consumer or Retail</w:t>
            </w:r>
          </w:p>
        </w:tc>
        <w:tc>
          <w:tcPr>
            <w:tcW w:w="6100" w:type="dxa"/>
            <w:vAlign w:val="bottom"/>
          </w:tcPr>
          <w:p>
            <w:pPr>
              <w:ind w:left="40"/>
              <w:spacing w:after="0"/>
              <w:rPr>
                <w:sz w:val="20"/>
                <w:szCs w:val="20"/>
                <w:color w:val="auto"/>
              </w:rPr>
            </w:pPr>
            <w:r>
              <w:rPr>
                <w:rFonts w:ascii="Arial" w:cs="Arial" w:eastAsia="Arial" w:hAnsi="Arial"/>
                <w:sz w:val="16"/>
                <w:szCs w:val="16"/>
                <w:color w:val="auto"/>
              </w:rPr>
              <w:t>Experience with consumer or retail products, including direct to patient marketing,</w:t>
            </w:r>
          </w:p>
        </w:tc>
      </w:tr>
      <w:tr>
        <w:trPr>
          <w:trHeight w:val="216"/>
        </w:trPr>
        <w:tc>
          <w:tcPr>
            <w:tcW w:w="2320" w:type="dxa"/>
            <w:vAlign w:val="bottom"/>
            <w:tcBorders>
              <w:bottom w:val="single" w:sz="8" w:color="342C82"/>
              <w:right w:val="single" w:sz="8" w:color="808080"/>
            </w:tcBorders>
          </w:tcPr>
          <w:p>
            <w:pPr>
              <w:spacing w:after="0"/>
              <w:rPr>
                <w:sz w:val="18"/>
                <w:szCs w:val="18"/>
                <w:color w:val="auto"/>
              </w:rPr>
            </w:pPr>
          </w:p>
        </w:tc>
        <w:tc>
          <w:tcPr>
            <w:tcW w:w="6100" w:type="dxa"/>
            <w:vAlign w:val="bottom"/>
            <w:tcBorders>
              <w:bottom w:val="single" w:sz="8" w:color="342C82"/>
            </w:tcBorders>
          </w:tcPr>
          <w:p>
            <w:pPr>
              <w:ind w:left="40"/>
              <w:spacing w:after="0"/>
              <w:rPr>
                <w:sz w:val="20"/>
                <w:szCs w:val="20"/>
                <w:color w:val="auto"/>
              </w:rPr>
            </w:pPr>
            <w:r>
              <w:rPr>
                <w:rFonts w:ascii="Arial" w:cs="Arial" w:eastAsia="Arial" w:hAnsi="Arial"/>
                <w:sz w:val="16"/>
                <w:szCs w:val="16"/>
                <w:color w:val="auto"/>
              </w:rPr>
              <w:t>pharmacy retailers, or online commerce.</w:t>
            </w:r>
          </w:p>
        </w:tc>
      </w:tr>
    </w:tbl>
    <w:p>
      <w:pPr>
        <w:spacing w:after="0" w:line="302" w:lineRule="exact"/>
        <w:rPr>
          <w:sz w:val="20"/>
          <w:szCs w:val="20"/>
          <w:color w:val="auto"/>
        </w:rPr>
      </w:pPr>
    </w:p>
    <w:p>
      <w:pPr>
        <w:ind w:left="300"/>
        <w:spacing w:after="0"/>
        <w:rPr>
          <w:sz w:val="20"/>
          <w:szCs w:val="20"/>
          <w:color w:val="auto"/>
        </w:rPr>
      </w:pPr>
      <w:r>
        <w:rPr>
          <w:rFonts w:ascii="Arial" w:cs="Arial" w:eastAsia="Arial" w:hAnsi="Arial"/>
          <w:sz w:val="25"/>
          <w:szCs w:val="25"/>
          <w:color w:val="342C82"/>
        </w:rPr>
        <w:t>Directors skills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166370</wp:posOffset>
            </wp:positionV>
            <wp:extent cx="4877435" cy="22288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877435"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00"/>
        <w:spacing w:after="0"/>
        <w:rPr>
          <w:sz w:val="20"/>
          <w:szCs w:val="20"/>
          <w:color w:val="auto"/>
        </w:rPr>
      </w:pPr>
      <w:r>
        <w:rPr>
          <w:rFonts w:ascii="Arial" w:cs="Arial" w:eastAsia="Arial" w:hAnsi="Arial"/>
          <w:sz w:val="16"/>
          <w:szCs w:val="16"/>
          <w:color w:val="auto"/>
        </w:rPr>
        <w:t> </w:t>
      </w:r>
    </w:p>
    <w:p>
      <w:pPr>
        <w:spacing w:after="0" w:line="294" w:lineRule="exact"/>
        <w:rPr>
          <w:sz w:val="20"/>
          <w:szCs w:val="20"/>
          <w:color w:val="auto"/>
        </w:rPr>
      </w:pPr>
    </w:p>
    <w:p>
      <w:pPr>
        <w:ind w:left="300"/>
        <w:spacing w:after="0"/>
        <w:rPr>
          <w:sz w:val="20"/>
          <w:szCs w:val="20"/>
          <w:color w:val="auto"/>
        </w:rPr>
      </w:pPr>
      <w:r>
        <w:rPr>
          <w:rFonts w:ascii="Arial" w:cs="Arial" w:eastAsia="Arial" w:hAnsi="Arial"/>
          <w:sz w:val="25"/>
          <w:szCs w:val="25"/>
          <w:color w:val="342C82"/>
        </w:rPr>
        <w:t>Governance best practices</w:t>
      </w:r>
    </w:p>
    <w:p>
      <w:pPr>
        <w:spacing w:after="0" w:line="139" w:lineRule="exact"/>
        <w:rPr>
          <w:sz w:val="20"/>
          <w:szCs w:val="20"/>
          <w:color w:val="auto"/>
        </w:rPr>
      </w:pPr>
    </w:p>
    <w:p>
      <w:pPr>
        <w:ind w:left="300" w:right="339"/>
        <w:spacing w:after="0" w:line="259" w:lineRule="auto"/>
        <w:rPr>
          <w:sz w:val="20"/>
          <w:szCs w:val="20"/>
          <w:color w:val="auto"/>
        </w:rPr>
      </w:pPr>
      <w:r>
        <w:rPr>
          <w:rFonts w:ascii="Arial" w:cs="Arial" w:eastAsia="Arial" w:hAnsi="Arial"/>
          <w:sz w:val="16"/>
          <w:szCs w:val="16"/>
          <w:color w:val="auto"/>
        </w:rPr>
        <w:t>Embecta’s commitment to good corporate governance is embodied in our Corporate Governance Principles. The Corporate Governance Principles set forth the Board’s views and practices regarding a number of governance topics. The Governance Committee assesses the Corporate Governance Principles on an ongoing basis in light of current practices.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123825</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6"/>
          <w:szCs w:val="16"/>
          <w:color w:val="342C82"/>
        </w:rPr>
        <w:t>Proxy statement overview</w:t>
      </w:r>
    </w:p>
    <w:p>
      <w:pPr>
        <w:spacing w:after="0" w:line="113" w:lineRule="exact"/>
        <w:rPr>
          <w:sz w:val="20"/>
          <w:szCs w:val="20"/>
          <w:color w:val="auto"/>
        </w:rPr>
      </w:pPr>
    </w:p>
    <w:p>
      <w:pPr>
        <w:ind w:left="300" w:right="359"/>
        <w:spacing w:after="0" w:line="286" w:lineRule="auto"/>
        <w:rPr>
          <w:sz w:val="20"/>
          <w:szCs w:val="20"/>
          <w:color w:val="auto"/>
        </w:rPr>
      </w:pPr>
      <w:r>
        <w:rPr>
          <w:rFonts w:ascii="Arial" w:cs="Arial" w:eastAsia="Arial" w:hAnsi="Arial"/>
          <w:sz w:val="16"/>
          <w:szCs w:val="16"/>
          <w:color w:val="auto"/>
        </w:rPr>
        <w:t>The following is a summary of our significant corporate governance practices. A further discussion of our governance practices can be found in “Corporate Governance” below.</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Corporate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20955</wp:posOffset>
            </wp:positionV>
            <wp:extent cx="534924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80" w:lineRule="exact"/>
        <w:rPr>
          <w:sz w:val="20"/>
          <w:szCs w:val="20"/>
          <w:color w:val="auto"/>
        </w:rPr>
      </w:pPr>
    </w:p>
    <w:p>
      <w:pPr>
        <w:ind w:left="640" w:hanging="186"/>
        <w:spacing w:after="0"/>
        <w:tabs>
          <w:tab w:leader="none" w:pos="640" w:val="left"/>
        </w:tabs>
        <w:numPr>
          <w:ilvl w:val="0"/>
          <w:numId w:val="6"/>
        </w:numPr>
        <w:rPr>
          <w:rFonts w:ascii="Arial" w:cs="Arial" w:eastAsia="Arial" w:hAnsi="Arial"/>
          <w:sz w:val="16"/>
          <w:szCs w:val="16"/>
          <w:color w:val="342C82"/>
        </w:rPr>
      </w:pPr>
      <w:r>
        <w:rPr>
          <w:rFonts w:ascii="Arial" w:cs="Arial" w:eastAsia="Arial" w:hAnsi="Arial"/>
          <w:sz w:val="16"/>
          <w:szCs w:val="16"/>
          <w:color w:val="auto"/>
        </w:rPr>
        <w:t>Majority voting standard for election of directors</w:t>
      </w:r>
    </w:p>
    <w:p>
      <w:pPr>
        <w:spacing w:after="0" w:line="72" w:lineRule="exact"/>
        <w:rPr>
          <w:rFonts w:ascii="Arial" w:cs="Arial" w:eastAsia="Arial" w:hAnsi="Arial"/>
          <w:sz w:val="16"/>
          <w:szCs w:val="16"/>
          <w:color w:val="342C82"/>
        </w:rPr>
      </w:pPr>
    </w:p>
    <w:p>
      <w:pPr>
        <w:ind w:left="640" w:hanging="186"/>
        <w:spacing w:after="0"/>
        <w:tabs>
          <w:tab w:leader="none" w:pos="640" w:val="left"/>
        </w:tabs>
        <w:numPr>
          <w:ilvl w:val="0"/>
          <w:numId w:val="6"/>
        </w:numPr>
        <w:rPr>
          <w:rFonts w:ascii="Arial" w:cs="Arial" w:eastAsia="Arial" w:hAnsi="Arial"/>
          <w:sz w:val="16"/>
          <w:szCs w:val="16"/>
          <w:color w:val="342C82"/>
        </w:rPr>
      </w:pPr>
      <w:r>
        <w:rPr>
          <w:rFonts w:ascii="Arial" w:cs="Arial" w:eastAsia="Arial" w:hAnsi="Arial"/>
          <w:sz w:val="16"/>
          <w:szCs w:val="16"/>
          <w:color w:val="auto"/>
        </w:rPr>
        <w:t>7 out of 9 directors are independent</w:t>
      </w:r>
    </w:p>
    <w:p>
      <w:pPr>
        <w:spacing w:after="0" w:line="72" w:lineRule="exact"/>
        <w:rPr>
          <w:rFonts w:ascii="Arial" w:cs="Arial" w:eastAsia="Arial" w:hAnsi="Arial"/>
          <w:sz w:val="16"/>
          <w:szCs w:val="16"/>
          <w:color w:val="342C82"/>
        </w:rPr>
      </w:pPr>
    </w:p>
    <w:p>
      <w:pPr>
        <w:ind w:left="640" w:hanging="186"/>
        <w:spacing w:after="0"/>
        <w:tabs>
          <w:tab w:leader="none" w:pos="640" w:val="left"/>
        </w:tabs>
        <w:numPr>
          <w:ilvl w:val="0"/>
          <w:numId w:val="6"/>
        </w:numPr>
        <w:rPr>
          <w:rFonts w:ascii="Arial" w:cs="Arial" w:eastAsia="Arial" w:hAnsi="Arial"/>
          <w:sz w:val="16"/>
          <w:szCs w:val="16"/>
          <w:color w:val="342C82"/>
        </w:rPr>
      </w:pPr>
      <w:r>
        <w:rPr>
          <w:rFonts w:ascii="Arial" w:cs="Arial" w:eastAsia="Arial" w:hAnsi="Arial"/>
          <w:sz w:val="16"/>
          <w:szCs w:val="16"/>
          <w:color w:val="auto"/>
        </w:rPr>
        <w:t>Independent Board Chair</w:t>
      </w:r>
    </w:p>
    <w:p>
      <w:pPr>
        <w:spacing w:after="0" w:line="72" w:lineRule="exact"/>
        <w:rPr>
          <w:rFonts w:ascii="Arial" w:cs="Arial" w:eastAsia="Arial" w:hAnsi="Arial"/>
          <w:sz w:val="16"/>
          <w:szCs w:val="16"/>
          <w:color w:val="342C82"/>
        </w:rPr>
      </w:pPr>
    </w:p>
    <w:p>
      <w:pPr>
        <w:ind w:left="640" w:hanging="186"/>
        <w:spacing w:after="0"/>
        <w:tabs>
          <w:tab w:leader="none" w:pos="640" w:val="left"/>
        </w:tabs>
        <w:numPr>
          <w:ilvl w:val="0"/>
          <w:numId w:val="6"/>
        </w:numPr>
        <w:rPr>
          <w:rFonts w:ascii="Arial" w:cs="Arial" w:eastAsia="Arial" w:hAnsi="Arial"/>
          <w:sz w:val="16"/>
          <w:szCs w:val="16"/>
          <w:color w:val="342C82"/>
        </w:rPr>
      </w:pPr>
      <w:r>
        <w:rPr>
          <w:rFonts w:ascii="Arial" w:cs="Arial" w:eastAsia="Arial" w:hAnsi="Arial"/>
          <w:sz w:val="16"/>
          <w:szCs w:val="16"/>
          <w:color w:val="auto"/>
        </w:rPr>
        <w:t>Rigorous annual board self-evaluation and director re-nomination process</w:t>
      </w:r>
    </w:p>
    <w:p>
      <w:pPr>
        <w:spacing w:after="0" w:line="72" w:lineRule="exact"/>
        <w:rPr>
          <w:rFonts w:ascii="Arial" w:cs="Arial" w:eastAsia="Arial" w:hAnsi="Arial"/>
          <w:sz w:val="16"/>
          <w:szCs w:val="16"/>
          <w:color w:val="342C82"/>
        </w:rPr>
      </w:pPr>
    </w:p>
    <w:p>
      <w:pPr>
        <w:ind w:left="640" w:hanging="186"/>
        <w:spacing w:after="0"/>
        <w:tabs>
          <w:tab w:leader="none" w:pos="640" w:val="left"/>
        </w:tabs>
        <w:numPr>
          <w:ilvl w:val="0"/>
          <w:numId w:val="6"/>
        </w:numPr>
        <w:rPr>
          <w:rFonts w:ascii="Arial" w:cs="Arial" w:eastAsia="Arial" w:hAnsi="Arial"/>
          <w:sz w:val="16"/>
          <w:szCs w:val="16"/>
          <w:color w:val="342C82"/>
        </w:rPr>
      </w:pPr>
      <w:r>
        <w:rPr>
          <w:rFonts w:ascii="Arial" w:cs="Arial" w:eastAsia="Arial" w:hAnsi="Arial"/>
          <w:sz w:val="16"/>
          <w:szCs w:val="16"/>
          <w:color w:val="auto"/>
        </w:rPr>
        <w:t>Proxy access by-law</w:t>
      </w:r>
    </w:p>
    <w:p>
      <w:pPr>
        <w:spacing w:after="0" w:line="72" w:lineRule="exact"/>
        <w:rPr>
          <w:rFonts w:ascii="Arial" w:cs="Arial" w:eastAsia="Arial" w:hAnsi="Arial"/>
          <w:sz w:val="16"/>
          <w:szCs w:val="16"/>
          <w:color w:val="342C82"/>
        </w:rPr>
      </w:pPr>
    </w:p>
    <w:p>
      <w:pPr>
        <w:ind w:left="640" w:hanging="186"/>
        <w:spacing w:after="0"/>
        <w:tabs>
          <w:tab w:leader="none" w:pos="640" w:val="left"/>
        </w:tabs>
        <w:numPr>
          <w:ilvl w:val="0"/>
          <w:numId w:val="6"/>
        </w:numPr>
        <w:rPr>
          <w:rFonts w:ascii="Arial" w:cs="Arial" w:eastAsia="Arial" w:hAnsi="Arial"/>
          <w:sz w:val="16"/>
          <w:szCs w:val="16"/>
          <w:color w:val="342C82"/>
        </w:rPr>
      </w:pPr>
      <w:r>
        <w:rPr>
          <w:rFonts w:ascii="Arial" w:cs="Arial" w:eastAsia="Arial" w:hAnsi="Arial"/>
          <w:sz w:val="16"/>
          <w:szCs w:val="16"/>
          <w:color w:val="auto"/>
        </w:rPr>
        <w:t>Restrictions on corporate political contributions</w:t>
      </w:r>
    </w:p>
    <w:p>
      <w:pPr>
        <w:spacing w:after="0" w:line="72" w:lineRule="exact"/>
        <w:rPr>
          <w:rFonts w:ascii="Arial" w:cs="Arial" w:eastAsia="Arial" w:hAnsi="Arial"/>
          <w:sz w:val="16"/>
          <w:szCs w:val="16"/>
          <w:color w:val="342C82"/>
        </w:rPr>
      </w:pPr>
    </w:p>
    <w:p>
      <w:pPr>
        <w:ind w:left="640" w:hanging="186"/>
        <w:spacing w:after="0"/>
        <w:tabs>
          <w:tab w:leader="none" w:pos="640" w:val="left"/>
        </w:tabs>
        <w:numPr>
          <w:ilvl w:val="0"/>
          <w:numId w:val="6"/>
        </w:numPr>
        <w:rPr>
          <w:rFonts w:ascii="Arial" w:cs="Arial" w:eastAsia="Arial" w:hAnsi="Arial"/>
          <w:sz w:val="16"/>
          <w:szCs w:val="16"/>
          <w:color w:val="342C82"/>
        </w:rPr>
      </w:pPr>
      <w:r>
        <w:rPr>
          <w:rFonts w:ascii="Arial" w:cs="Arial" w:eastAsia="Arial" w:hAnsi="Arial"/>
          <w:sz w:val="16"/>
          <w:szCs w:val="16"/>
          <w:color w:val="auto"/>
        </w:rPr>
        <w:t>Director share ownership requirements</w:t>
      </w:r>
    </w:p>
    <w:p>
      <w:pPr>
        <w:spacing w:after="0" w:line="72" w:lineRule="exact"/>
        <w:rPr>
          <w:rFonts w:ascii="Arial" w:cs="Arial" w:eastAsia="Arial" w:hAnsi="Arial"/>
          <w:sz w:val="16"/>
          <w:szCs w:val="16"/>
          <w:color w:val="342C82"/>
        </w:rPr>
      </w:pPr>
    </w:p>
    <w:p>
      <w:pPr>
        <w:ind w:left="640" w:hanging="186"/>
        <w:spacing w:after="0"/>
        <w:tabs>
          <w:tab w:leader="none" w:pos="640" w:val="left"/>
        </w:tabs>
        <w:numPr>
          <w:ilvl w:val="0"/>
          <w:numId w:val="6"/>
        </w:numPr>
        <w:rPr>
          <w:rFonts w:ascii="Arial" w:cs="Arial" w:eastAsia="Arial" w:hAnsi="Arial"/>
          <w:sz w:val="16"/>
          <w:szCs w:val="16"/>
          <w:color w:val="342C82"/>
        </w:rPr>
      </w:pPr>
      <w:r>
        <w:rPr>
          <w:rFonts w:ascii="Arial" w:cs="Arial" w:eastAsia="Arial" w:hAnsi="Arial"/>
          <w:sz w:val="16"/>
          <w:szCs w:val="16"/>
          <w:color w:val="auto"/>
        </w:rPr>
        <w:t>Overboarding policy</w:t>
      </w:r>
    </w:p>
    <w:p>
      <w:pPr>
        <w:spacing w:after="0" w:line="72" w:lineRule="exact"/>
        <w:rPr>
          <w:rFonts w:ascii="Arial" w:cs="Arial" w:eastAsia="Arial" w:hAnsi="Arial"/>
          <w:sz w:val="16"/>
          <w:szCs w:val="16"/>
          <w:color w:val="342C82"/>
        </w:rPr>
      </w:pPr>
    </w:p>
    <w:p>
      <w:pPr>
        <w:ind w:left="640" w:hanging="186"/>
        <w:spacing w:after="0"/>
        <w:tabs>
          <w:tab w:leader="none" w:pos="640" w:val="left"/>
        </w:tabs>
        <w:numPr>
          <w:ilvl w:val="0"/>
          <w:numId w:val="6"/>
        </w:numPr>
        <w:rPr>
          <w:rFonts w:ascii="Arial" w:cs="Arial" w:eastAsia="Arial" w:hAnsi="Arial"/>
          <w:sz w:val="16"/>
          <w:szCs w:val="16"/>
          <w:color w:val="342C82"/>
        </w:rPr>
      </w:pPr>
      <w:r>
        <w:rPr>
          <w:rFonts w:ascii="Arial" w:cs="Arial" w:eastAsia="Arial" w:hAnsi="Arial"/>
          <w:sz w:val="16"/>
          <w:szCs w:val="16"/>
          <w:color w:val="auto"/>
        </w:rPr>
        <w:t>Annual election of directors commencing with the 2026 annual stockholder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20955</wp:posOffset>
            </wp:positionV>
            <wp:extent cx="534924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123825</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jc w:val="right"/>
        <w:ind w:right="299"/>
        <w:spacing w:after="0"/>
        <w:rPr>
          <w:sz w:val="20"/>
          <w:szCs w:val="20"/>
          <w:color w:val="auto"/>
        </w:rPr>
      </w:pPr>
      <w:r>
        <w:rPr>
          <w:rFonts w:ascii="Arial" w:cs="Arial" w:eastAsia="Arial" w:hAnsi="Arial"/>
          <w:sz w:val="16"/>
          <w:szCs w:val="16"/>
          <w:color w:val="342C82"/>
        </w:rPr>
        <w:t>Proxy statement overview</w:t>
      </w:r>
    </w:p>
    <w:p>
      <w:pPr>
        <w:spacing w:after="0" w:line="194" w:lineRule="exact"/>
        <w:rPr>
          <w:sz w:val="20"/>
          <w:szCs w:val="20"/>
          <w:color w:val="auto"/>
        </w:rPr>
      </w:pPr>
    </w:p>
    <w:p>
      <w:pPr>
        <w:ind w:left="440"/>
        <w:spacing w:after="0"/>
        <w:tabs>
          <w:tab w:leader="none" w:pos="1640" w:val="left"/>
        </w:tabs>
        <w:rPr>
          <w:sz w:val="20"/>
          <w:szCs w:val="20"/>
          <w:color w:val="auto"/>
        </w:rPr>
      </w:pPr>
      <w:r>
        <w:rPr>
          <w:rFonts w:ascii="Arial" w:cs="Arial" w:eastAsia="Arial" w:hAnsi="Arial"/>
          <w:sz w:val="36"/>
          <w:szCs w:val="36"/>
          <w:b w:val="1"/>
          <w:bCs w:val="1"/>
          <w:color w:val="342C82"/>
          <w:vertAlign w:val="subscript"/>
        </w:rPr>
        <w:t>Proposal</w:t>
      </w:r>
      <w:r>
        <w:rPr>
          <w:sz w:val="20"/>
          <w:szCs w:val="20"/>
          <w:color w:val="auto"/>
        </w:rPr>
        <w:tab/>
      </w:r>
      <w:r>
        <w:rPr>
          <w:rFonts w:ascii="Arial" w:cs="Arial" w:eastAsia="Arial" w:hAnsi="Arial"/>
          <w:sz w:val="43"/>
          <w:szCs w:val="43"/>
          <w:color w:val="342C82"/>
        </w:rPr>
        <w:t>Ratification of selection of</w:t>
      </w:r>
    </w:p>
    <w:p>
      <w:pPr>
        <w:spacing w:after="0" w:line="47" w:lineRule="exact"/>
        <w:rPr>
          <w:sz w:val="20"/>
          <w:szCs w:val="20"/>
          <w:color w:val="auto"/>
        </w:rPr>
      </w:pPr>
    </w:p>
    <w:p>
      <w:pPr>
        <w:ind w:left="1660" w:right="1679" w:hanging="978"/>
        <w:spacing w:after="0" w:line="181" w:lineRule="auto"/>
        <w:tabs>
          <w:tab w:leader="none" w:pos="1660" w:val="left"/>
        </w:tabs>
        <w:numPr>
          <w:ilvl w:val="0"/>
          <w:numId w:val="7"/>
        </w:numPr>
        <w:rPr>
          <w:rFonts w:ascii="Arial" w:cs="Arial" w:eastAsia="Arial" w:hAnsi="Arial"/>
          <w:sz w:val="81"/>
          <w:szCs w:val="81"/>
          <w:color w:val="342C82"/>
          <w:vertAlign w:val="subscript"/>
        </w:rPr>
      </w:pPr>
      <w:r>
        <w:rPr>
          <w:rFonts w:ascii="Arial" w:cs="Arial" w:eastAsia="Arial" w:hAnsi="Arial"/>
          <w:sz w:val="37"/>
          <w:szCs w:val="37"/>
          <w:color w:val="342C82"/>
        </w:rPr>
        <w:t>independent registered public accounting firm</w:t>
      </w:r>
    </w:p>
    <w:p>
      <w:pPr>
        <w:spacing w:after="0" w:line="131" w:lineRule="exact"/>
        <w:rPr>
          <w:sz w:val="20"/>
          <w:szCs w:val="20"/>
          <w:color w:val="auto"/>
        </w:rPr>
      </w:pPr>
    </w:p>
    <w:tbl>
      <w:tblPr>
        <w:tblLayout w:type="fixed"/>
        <w:tblInd w:w="300" w:type="dxa"/>
        <w:tblCellMar>
          <w:top w:w="0" w:type="dxa"/>
          <w:left w:w="0" w:type="dxa"/>
          <w:bottom w:w="0" w:type="dxa"/>
          <w:right w:w="0" w:type="dxa"/>
        </w:tblCellMar>
      </w:tblPr>
      <w:tr>
        <w:trPr>
          <w:trHeight w:val="467"/>
        </w:trPr>
        <w:tc>
          <w:tcPr>
            <w:tcW w:w="920" w:type="dxa"/>
            <w:vAlign w:val="bottom"/>
            <w:tcBorders>
              <w:top w:val="single" w:sz="8" w:color="auto"/>
              <w:right w:val="single" w:sz="8" w:color="auto"/>
            </w:tcBorders>
            <w:vMerge w:val="restart"/>
          </w:tcPr>
          <w:p>
            <w:pPr>
              <w:ind w:left="480"/>
              <w:spacing w:after="0"/>
              <w:rPr>
                <w:sz w:val="20"/>
                <w:szCs w:val="20"/>
                <w:color w:val="auto"/>
              </w:rPr>
            </w:pPr>
            <w:r>
              <w:rPr>
                <w:rFonts w:ascii="Arial" w:cs="Arial" w:eastAsia="Arial" w:hAnsi="Arial"/>
                <w:sz w:val="18"/>
                <w:szCs w:val="18"/>
                <w:color w:val="auto"/>
              </w:rPr>
              <w:t> </w:t>
            </w:r>
          </w:p>
        </w:tc>
        <w:tc>
          <w:tcPr>
            <w:tcW w:w="7500" w:type="dxa"/>
            <w:vAlign w:val="bottom"/>
            <w:tcBorders>
              <w:top w:val="single" w:sz="8" w:color="auto"/>
            </w:tcBorders>
          </w:tcPr>
          <w:p>
            <w:pPr>
              <w:ind w:left="360"/>
              <w:spacing w:after="0"/>
              <w:rPr>
                <w:sz w:val="20"/>
                <w:szCs w:val="20"/>
                <w:color w:val="auto"/>
              </w:rPr>
            </w:pPr>
            <w:r>
              <w:rPr>
                <w:rFonts w:ascii="Arial" w:cs="Arial" w:eastAsia="Arial" w:hAnsi="Arial"/>
                <w:sz w:val="18"/>
                <w:szCs w:val="18"/>
                <w:b w:val="1"/>
                <w:bCs w:val="1"/>
                <w:color w:val="auto"/>
              </w:rPr>
              <w:t>THE BOARD OF DIRECTORS RECOMMENDS A VOTE “FOR”</w:t>
            </w:r>
          </w:p>
        </w:tc>
        <w:tc>
          <w:tcPr>
            <w:tcW w:w="0" w:type="dxa"/>
            <w:vAlign w:val="bottom"/>
          </w:tcPr>
          <w:p>
            <w:pPr>
              <w:spacing w:after="0"/>
              <w:rPr>
                <w:sz w:val="1"/>
                <w:szCs w:val="1"/>
                <w:color w:val="auto"/>
              </w:rPr>
            </w:pPr>
          </w:p>
        </w:tc>
      </w:tr>
      <w:tr>
        <w:trPr>
          <w:trHeight w:val="247"/>
        </w:trPr>
        <w:tc>
          <w:tcPr>
            <w:tcW w:w="920" w:type="dxa"/>
            <w:vAlign w:val="bottom"/>
            <w:tcBorders>
              <w:right w:val="single" w:sz="8" w:color="auto"/>
            </w:tcBorders>
            <w:vMerge w:val="continue"/>
          </w:tcPr>
          <w:p>
            <w:pPr>
              <w:spacing w:after="0"/>
              <w:rPr>
                <w:sz w:val="21"/>
                <w:szCs w:val="21"/>
                <w:color w:val="auto"/>
              </w:rPr>
            </w:pPr>
          </w:p>
        </w:tc>
        <w:tc>
          <w:tcPr>
            <w:tcW w:w="7500" w:type="dxa"/>
            <w:vAlign w:val="bottom"/>
          </w:tcPr>
          <w:p>
            <w:pPr>
              <w:ind w:left="360"/>
              <w:spacing w:after="0"/>
              <w:rPr>
                <w:sz w:val="20"/>
                <w:szCs w:val="20"/>
                <w:color w:val="auto"/>
              </w:rPr>
            </w:pPr>
            <w:r>
              <w:rPr>
                <w:rFonts w:ascii="Arial" w:cs="Arial" w:eastAsia="Arial" w:hAnsi="Arial"/>
                <w:sz w:val="18"/>
                <w:szCs w:val="18"/>
                <w:b w:val="1"/>
                <w:bCs w:val="1"/>
                <w:color w:val="auto"/>
              </w:rPr>
              <w:t>PROPOSAL 2.</w:t>
            </w:r>
          </w:p>
        </w:tc>
        <w:tc>
          <w:tcPr>
            <w:tcW w:w="0" w:type="dxa"/>
            <w:vAlign w:val="bottom"/>
          </w:tcPr>
          <w:p>
            <w:pPr>
              <w:spacing w:after="0"/>
              <w:rPr>
                <w:sz w:val="1"/>
                <w:szCs w:val="1"/>
                <w:color w:val="auto"/>
              </w:rPr>
            </w:pPr>
          </w:p>
        </w:tc>
      </w:tr>
      <w:tr>
        <w:trPr>
          <w:trHeight w:val="191"/>
        </w:trPr>
        <w:tc>
          <w:tcPr>
            <w:tcW w:w="920" w:type="dxa"/>
            <w:vAlign w:val="bottom"/>
            <w:tcBorders>
              <w:bottom w:val="single" w:sz="8" w:color="auto"/>
              <w:right w:val="single" w:sz="8" w:color="auto"/>
            </w:tcBorders>
          </w:tcPr>
          <w:p>
            <w:pPr>
              <w:spacing w:after="0"/>
              <w:rPr>
                <w:sz w:val="16"/>
                <w:szCs w:val="16"/>
                <w:color w:val="auto"/>
              </w:rPr>
            </w:pPr>
          </w:p>
        </w:tc>
        <w:tc>
          <w:tcPr>
            <w:tcW w:w="7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00" w:right="419"/>
        <w:spacing w:after="0" w:line="256" w:lineRule="auto"/>
        <w:rPr>
          <w:sz w:val="20"/>
          <w:szCs w:val="20"/>
          <w:color w:val="auto"/>
        </w:rPr>
      </w:pPr>
      <w:r>
        <w:rPr>
          <w:rFonts w:ascii="Arial" w:cs="Arial" w:eastAsia="Arial" w:hAnsi="Arial"/>
          <w:sz w:val="16"/>
          <w:szCs w:val="16"/>
          <w:color w:val="auto"/>
        </w:rPr>
        <w:t>Ernst &amp; Young LLP (“E&amp;Y”) has been selected by the Audit Committee as the Company’s independent registered public accounting firm (referred to herein as the “independent auditors”) for fiscal year 2025. The Audit Committee is solely responsible for the appointment, compensation, retention, and oversight of Embecta’s independent auditors. Stockholders are being asked to ratify the Audit Committee’s selection of E&amp;Y. If ratification is withheld, the Audit Committee will reconsider its selection.</w:t>
      </w:r>
    </w:p>
    <w:p>
      <w:pPr>
        <w:spacing w:after="0" w:line="126" w:lineRule="exact"/>
        <w:rPr>
          <w:sz w:val="20"/>
          <w:szCs w:val="20"/>
          <w:color w:val="auto"/>
        </w:rPr>
      </w:pPr>
    </w:p>
    <w:p>
      <w:pPr>
        <w:ind w:left="300" w:right="439"/>
        <w:spacing w:after="0" w:line="286" w:lineRule="auto"/>
        <w:rPr>
          <w:sz w:val="20"/>
          <w:szCs w:val="20"/>
          <w:color w:val="auto"/>
        </w:rPr>
      </w:pPr>
      <w:r>
        <w:rPr>
          <w:rFonts w:ascii="Arial" w:cs="Arial" w:eastAsia="Arial" w:hAnsi="Arial"/>
          <w:sz w:val="16"/>
          <w:szCs w:val="16"/>
          <w:color w:val="auto"/>
        </w:rPr>
        <w:t>A representative of E&amp;Y is expected to attend the 2025 Annual Meeting to respond to appropriate questions and will have the opportunity to make a statement.</w:t>
      </w:r>
    </w:p>
    <w:p>
      <w:pPr>
        <w:spacing w:after="0" w:line="182" w:lineRule="exact"/>
        <w:rPr>
          <w:sz w:val="20"/>
          <w:szCs w:val="20"/>
          <w:color w:val="auto"/>
        </w:rPr>
      </w:pPr>
    </w:p>
    <w:p>
      <w:pPr>
        <w:ind w:left="440"/>
        <w:spacing w:after="0"/>
        <w:tabs>
          <w:tab w:leader="none" w:pos="1640" w:val="left"/>
        </w:tabs>
        <w:rPr>
          <w:sz w:val="20"/>
          <w:szCs w:val="20"/>
          <w:color w:val="auto"/>
        </w:rPr>
      </w:pPr>
      <w:r>
        <w:rPr>
          <w:rFonts w:ascii="Arial" w:cs="Arial" w:eastAsia="Arial" w:hAnsi="Arial"/>
          <w:sz w:val="36"/>
          <w:szCs w:val="36"/>
          <w:b w:val="1"/>
          <w:bCs w:val="1"/>
          <w:color w:val="342C82"/>
          <w:vertAlign w:val="subscript"/>
        </w:rPr>
        <w:t>Proposal</w:t>
      </w:r>
      <w:r>
        <w:rPr>
          <w:sz w:val="20"/>
          <w:szCs w:val="20"/>
          <w:color w:val="auto"/>
        </w:rPr>
        <w:tab/>
      </w:r>
      <w:r>
        <w:rPr>
          <w:rFonts w:ascii="Arial" w:cs="Arial" w:eastAsia="Arial" w:hAnsi="Arial"/>
          <w:sz w:val="43"/>
          <w:szCs w:val="43"/>
          <w:color w:val="342C82"/>
        </w:rPr>
        <w:t>Advisory vote to approve</w:t>
      </w:r>
    </w:p>
    <w:p>
      <w:pPr>
        <w:spacing w:after="0" w:line="47" w:lineRule="exact"/>
        <w:rPr>
          <w:sz w:val="20"/>
          <w:szCs w:val="20"/>
          <w:color w:val="auto"/>
        </w:rPr>
      </w:pPr>
    </w:p>
    <w:p>
      <w:pPr>
        <w:ind w:left="1660" w:right="3379" w:hanging="978"/>
        <w:spacing w:after="0" w:line="181" w:lineRule="auto"/>
        <w:tabs>
          <w:tab w:leader="none" w:pos="1660" w:val="left"/>
        </w:tabs>
        <w:numPr>
          <w:ilvl w:val="0"/>
          <w:numId w:val="8"/>
        </w:numPr>
        <w:rPr>
          <w:rFonts w:ascii="Arial" w:cs="Arial" w:eastAsia="Arial" w:hAnsi="Arial"/>
          <w:sz w:val="81"/>
          <w:szCs w:val="81"/>
          <w:color w:val="342C82"/>
          <w:vertAlign w:val="subscript"/>
        </w:rPr>
      </w:pPr>
      <w:r>
        <w:rPr>
          <w:rFonts w:ascii="Arial" w:cs="Arial" w:eastAsia="Arial" w:hAnsi="Arial"/>
          <w:sz w:val="37"/>
          <w:szCs w:val="37"/>
          <w:color w:val="342C82"/>
        </w:rPr>
        <w:t>named executive officer compensation</w:t>
      </w:r>
    </w:p>
    <w:p>
      <w:pPr>
        <w:spacing w:after="0" w:line="131" w:lineRule="exact"/>
        <w:rPr>
          <w:sz w:val="20"/>
          <w:szCs w:val="20"/>
          <w:color w:val="auto"/>
        </w:rPr>
      </w:pPr>
    </w:p>
    <w:tbl>
      <w:tblPr>
        <w:tblLayout w:type="fixed"/>
        <w:tblInd w:w="300" w:type="dxa"/>
        <w:tblCellMar>
          <w:top w:w="0" w:type="dxa"/>
          <w:left w:w="0" w:type="dxa"/>
          <w:bottom w:w="0" w:type="dxa"/>
          <w:right w:w="0" w:type="dxa"/>
        </w:tblCellMar>
      </w:tblPr>
      <w:tr>
        <w:trPr>
          <w:trHeight w:val="467"/>
        </w:trPr>
        <w:tc>
          <w:tcPr>
            <w:tcW w:w="920" w:type="dxa"/>
            <w:vAlign w:val="bottom"/>
            <w:tcBorders>
              <w:top w:val="single" w:sz="8" w:color="auto"/>
              <w:right w:val="single" w:sz="8" w:color="auto"/>
            </w:tcBorders>
            <w:vMerge w:val="restart"/>
          </w:tcPr>
          <w:p>
            <w:pPr>
              <w:ind w:left="480"/>
              <w:spacing w:after="0"/>
              <w:rPr>
                <w:sz w:val="20"/>
                <w:szCs w:val="20"/>
                <w:color w:val="auto"/>
              </w:rPr>
            </w:pPr>
            <w:r>
              <w:rPr>
                <w:rFonts w:ascii="Arial" w:cs="Arial" w:eastAsia="Arial" w:hAnsi="Arial"/>
                <w:sz w:val="18"/>
                <w:szCs w:val="18"/>
                <w:color w:val="auto"/>
              </w:rPr>
              <w:t> </w:t>
            </w:r>
          </w:p>
        </w:tc>
        <w:tc>
          <w:tcPr>
            <w:tcW w:w="7500" w:type="dxa"/>
            <w:vAlign w:val="bottom"/>
            <w:tcBorders>
              <w:top w:val="single" w:sz="8" w:color="auto"/>
            </w:tcBorders>
          </w:tcPr>
          <w:p>
            <w:pPr>
              <w:ind w:left="360"/>
              <w:spacing w:after="0"/>
              <w:rPr>
                <w:sz w:val="20"/>
                <w:szCs w:val="20"/>
                <w:color w:val="auto"/>
              </w:rPr>
            </w:pPr>
            <w:r>
              <w:rPr>
                <w:rFonts w:ascii="Arial" w:cs="Arial" w:eastAsia="Arial" w:hAnsi="Arial"/>
                <w:sz w:val="18"/>
                <w:szCs w:val="18"/>
                <w:b w:val="1"/>
                <w:bCs w:val="1"/>
                <w:color w:val="auto"/>
              </w:rPr>
              <w:t>THE BOARD OF DIRECTORS RECOMMENDS A VOTE “FOR”</w:t>
            </w:r>
          </w:p>
        </w:tc>
        <w:tc>
          <w:tcPr>
            <w:tcW w:w="0" w:type="dxa"/>
            <w:vAlign w:val="bottom"/>
          </w:tcPr>
          <w:p>
            <w:pPr>
              <w:spacing w:after="0"/>
              <w:rPr>
                <w:sz w:val="1"/>
                <w:szCs w:val="1"/>
                <w:color w:val="auto"/>
              </w:rPr>
            </w:pPr>
          </w:p>
        </w:tc>
      </w:tr>
      <w:tr>
        <w:trPr>
          <w:trHeight w:val="247"/>
        </w:trPr>
        <w:tc>
          <w:tcPr>
            <w:tcW w:w="920" w:type="dxa"/>
            <w:vAlign w:val="bottom"/>
            <w:tcBorders>
              <w:right w:val="single" w:sz="8" w:color="auto"/>
            </w:tcBorders>
            <w:vMerge w:val="continue"/>
          </w:tcPr>
          <w:p>
            <w:pPr>
              <w:spacing w:after="0"/>
              <w:rPr>
                <w:sz w:val="21"/>
                <w:szCs w:val="21"/>
                <w:color w:val="auto"/>
              </w:rPr>
            </w:pPr>
          </w:p>
        </w:tc>
        <w:tc>
          <w:tcPr>
            <w:tcW w:w="7500" w:type="dxa"/>
            <w:vAlign w:val="bottom"/>
          </w:tcPr>
          <w:p>
            <w:pPr>
              <w:ind w:left="360"/>
              <w:spacing w:after="0"/>
              <w:rPr>
                <w:sz w:val="20"/>
                <w:szCs w:val="20"/>
                <w:color w:val="auto"/>
              </w:rPr>
            </w:pPr>
            <w:r>
              <w:rPr>
                <w:rFonts w:ascii="Arial" w:cs="Arial" w:eastAsia="Arial" w:hAnsi="Arial"/>
                <w:sz w:val="18"/>
                <w:szCs w:val="18"/>
                <w:b w:val="1"/>
                <w:bCs w:val="1"/>
                <w:color w:val="auto"/>
              </w:rPr>
              <w:t>PROPOSAL 3.</w:t>
            </w:r>
          </w:p>
        </w:tc>
        <w:tc>
          <w:tcPr>
            <w:tcW w:w="0" w:type="dxa"/>
            <w:vAlign w:val="bottom"/>
          </w:tcPr>
          <w:p>
            <w:pPr>
              <w:spacing w:after="0"/>
              <w:rPr>
                <w:sz w:val="1"/>
                <w:szCs w:val="1"/>
                <w:color w:val="auto"/>
              </w:rPr>
            </w:pPr>
          </w:p>
        </w:tc>
      </w:tr>
      <w:tr>
        <w:trPr>
          <w:trHeight w:val="191"/>
        </w:trPr>
        <w:tc>
          <w:tcPr>
            <w:tcW w:w="920" w:type="dxa"/>
            <w:vAlign w:val="bottom"/>
            <w:tcBorders>
              <w:bottom w:val="single" w:sz="8" w:color="auto"/>
              <w:right w:val="single" w:sz="8" w:color="auto"/>
            </w:tcBorders>
          </w:tcPr>
          <w:p>
            <w:pPr>
              <w:spacing w:after="0"/>
              <w:rPr>
                <w:sz w:val="16"/>
                <w:szCs w:val="16"/>
                <w:color w:val="auto"/>
              </w:rPr>
            </w:pPr>
          </w:p>
        </w:tc>
        <w:tc>
          <w:tcPr>
            <w:tcW w:w="7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00" w:right="559"/>
        <w:spacing w:after="0" w:line="259" w:lineRule="auto"/>
        <w:rPr>
          <w:sz w:val="20"/>
          <w:szCs w:val="20"/>
          <w:color w:val="auto"/>
        </w:rPr>
      </w:pPr>
      <w:r>
        <w:rPr>
          <w:rFonts w:ascii="Arial" w:cs="Arial" w:eastAsia="Arial" w:hAnsi="Arial"/>
          <w:sz w:val="16"/>
          <w:szCs w:val="16"/>
          <w:color w:val="auto"/>
        </w:rPr>
        <w:t>The Compensation and Management Development Committee’s primary objective in the design of the Embecta compensation program is to fully support the strategic business goals of delivering superior long-term stockholder returns and driving performance to achieve strategic objectives. As such, the program is intended to ensure a high degree of alignment between executive pay and stockholder returns.</w:t>
      </w:r>
    </w:p>
    <w:p>
      <w:pPr>
        <w:spacing w:after="0" w:line="237" w:lineRule="exact"/>
        <w:rPr>
          <w:sz w:val="20"/>
          <w:szCs w:val="20"/>
          <w:color w:val="auto"/>
        </w:rPr>
      </w:pPr>
    </w:p>
    <w:p>
      <w:pPr>
        <w:ind w:left="300"/>
        <w:spacing w:after="0"/>
        <w:rPr>
          <w:sz w:val="20"/>
          <w:szCs w:val="20"/>
          <w:color w:val="auto"/>
        </w:rPr>
      </w:pPr>
      <w:r>
        <w:rPr>
          <w:rFonts w:ascii="Arial" w:cs="Arial" w:eastAsia="Arial" w:hAnsi="Arial"/>
          <w:sz w:val="25"/>
          <w:szCs w:val="25"/>
          <w:color w:val="342C82"/>
        </w:rPr>
        <w:t>CEO target direct compensation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2225675</wp:posOffset>
            </wp:positionH>
            <wp:positionV relativeFrom="paragraph">
              <wp:posOffset>174625</wp:posOffset>
            </wp:positionV>
            <wp:extent cx="1276985" cy="16370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6985" cy="1637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 </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123825</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6"/>
          <w:szCs w:val="16"/>
          <w:color w:val="342C82"/>
        </w:rPr>
        <w:t>Proxy statement overview</w:t>
      </w:r>
    </w:p>
    <w:p>
      <w:pPr>
        <w:spacing w:after="0" w:line="159" w:lineRule="exact"/>
        <w:rPr>
          <w:sz w:val="20"/>
          <w:szCs w:val="20"/>
          <w:color w:val="auto"/>
        </w:rPr>
      </w:pPr>
    </w:p>
    <w:p>
      <w:pPr>
        <w:ind w:left="300"/>
        <w:spacing w:after="0"/>
        <w:rPr>
          <w:sz w:val="20"/>
          <w:szCs w:val="20"/>
          <w:color w:val="auto"/>
        </w:rPr>
      </w:pPr>
      <w:r>
        <w:rPr>
          <w:rFonts w:ascii="Arial" w:cs="Arial" w:eastAsia="Arial" w:hAnsi="Arial"/>
          <w:sz w:val="25"/>
          <w:szCs w:val="25"/>
          <w:color w:val="342C82"/>
        </w:rPr>
        <w:t>Our compensation objectives and practices</w:t>
      </w:r>
    </w:p>
    <w:p>
      <w:pPr>
        <w:spacing w:after="0" w:line="90" w:lineRule="exact"/>
        <w:rPr>
          <w:sz w:val="20"/>
          <w:szCs w:val="20"/>
          <w:color w:val="auto"/>
        </w:rPr>
      </w:pPr>
    </w:p>
    <w:tbl>
      <w:tblPr>
        <w:tblLayout w:type="fixed"/>
        <w:tblInd w:w="290" w:type="dxa"/>
        <w:tblCellMar>
          <w:top w:w="0" w:type="dxa"/>
          <w:left w:w="0" w:type="dxa"/>
          <w:bottom w:w="0" w:type="dxa"/>
          <w:right w:w="0" w:type="dxa"/>
        </w:tblCellMar>
      </w:tblPr>
      <w:tr>
        <w:trPr>
          <w:trHeight w:val="333"/>
        </w:trPr>
        <w:tc>
          <w:tcPr>
            <w:tcW w:w="1700" w:type="dxa"/>
            <w:vAlign w:val="bottom"/>
            <w:tcBorders>
              <w:top w:val="single" w:sz="8" w:color="342C82"/>
              <w:left w:val="single" w:sz="8" w:color="342C82"/>
              <w:right w:val="single" w:sz="8" w:color="342C82"/>
            </w:tcBorders>
          </w:tcPr>
          <w:p>
            <w:pPr>
              <w:spacing w:after="0"/>
              <w:rPr>
                <w:sz w:val="24"/>
                <w:szCs w:val="24"/>
                <w:color w:val="auto"/>
              </w:rPr>
            </w:pPr>
          </w:p>
        </w:tc>
        <w:tc>
          <w:tcPr>
            <w:tcW w:w="3380" w:type="dxa"/>
            <w:vAlign w:val="bottom"/>
            <w:tcBorders>
              <w:top w:val="single" w:sz="8" w:color="342C82"/>
              <w:right w:val="single" w:sz="8" w:color="342C82"/>
            </w:tcBorders>
          </w:tcPr>
          <w:p>
            <w:pPr>
              <w:ind w:left="60"/>
              <w:spacing w:after="0"/>
              <w:rPr>
                <w:sz w:val="20"/>
                <w:szCs w:val="20"/>
                <w:color w:val="auto"/>
              </w:rPr>
            </w:pPr>
            <w:r>
              <w:rPr>
                <w:rFonts w:ascii="Arial" w:cs="Arial" w:eastAsia="Arial" w:hAnsi="Arial"/>
                <w:sz w:val="16"/>
                <w:szCs w:val="16"/>
                <w:b w:val="1"/>
                <w:bCs w:val="1"/>
                <w:color w:val="auto"/>
              </w:rPr>
              <w:t>What We Do</w:t>
            </w:r>
          </w:p>
        </w:tc>
        <w:tc>
          <w:tcPr>
            <w:tcW w:w="3360" w:type="dxa"/>
            <w:vAlign w:val="bottom"/>
            <w:tcBorders>
              <w:top w:val="single" w:sz="8" w:color="342C82"/>
              <w:right w:val="single" w:sz="8" w:color="342C82"/>
            </w:tcBorders>
          </w:tcPr>
          <w:p>
            <w:pPr>
              <w:ind w:left="80"/>
              <w:spacing w:after="0"/>
              <w:rPr>
                <w:sz w:val="20"/>
                <w:szCs w:val="20"/>
                <w:color w:val="auto"/>
              </w:rPr>
            </w:pPr>
            <w:r>
              <w:rPr>
                <w:rFonts w:ascii="Arial" w:cs="Arial" w:eastAsia="Arial" w:hAnsi="Arial"/>
                <w:sz w:val="16"/>
                <w:szCs w:val="16"/>
                <w:b w:val="1"/>
                <w:bCs w:val="1"/>
                <w:color w:val="auto"/>
              </w:rPr>
              <w:t>What We Don’t Do</w:t>
            </w:r>
          </w:p>
        </w:tc>
      </w:tr>
      <w:tr>
        <w:trPr>
          <w:trHeight w:val="35"/>
        </w:trPr>
        <w:tc>
          <w:tcPr>
            <w:tcW w:w="1700" w:type="dxa"/>
            <w:vAlign w:val="bottom"/>
            <w:tcBorders>
              <w:left w:val="single" w:sz="8" w:color="342C82"/>
              <w:bottom w:val="single" w:sz="8" w:color="342C82"/>
              <w:right w:val="single" w:sz="8" w:color="342C82"/>
            </w:tcBorders>
          </w:tcPr>
          <w:p>
            <w:pPr>
              <w:spacing w:after="0"/>
              <w:rPr>
                <w:sz w:val="3"/>
                <w:szCs w:val="3"/>
                <w:color w:val="auto"/>
              </w:rPr>
            </w:pPr>
          </w:p>
        </w:tc>
        <w:tc>
          <w:tcPr>
            <w:tcW w:w="3380" w:type="dxa"/>
            <w:vAlign w:val="bottom"/>
            <w:tcBorders>
              <w:bottom w:val="single" w:sz="8" w:color="342C82"/>
              <w:right w:val="single" w:sz="8" w:color="342C82"/>
            </w:tcBorders>
          </w:tcPr>
          <w:p>
            <w:pPr>
              <w:spacing w:after="0"/>
              <w:rPr>
                <w:sz w:val="3"/>
                <w:szCs w:val="3"/>
                <w:color w:val="auto"/>
              </w:rPr>
            </w:pPr>
          </w:p>
        </w:tc>
        <w:tc>
          <w:tcPr>
            <w:tcW w:w="3360" w:type="dxa"/>
            <w:vAlign w:val="bottom"/>
            <w:tcBorders>
              <w:bottom w:val="single" w:sz="8" w:color="342C82"/>
              <w:right w:val="single" w:sz="8" w:color="342C82"/>
            </w:tcBorders>
          </w:tcPr>
          <w:p>
            <w:pPr>
              <w:spacing w:after="0"/>
              <w:rPr>
                <w:sz w:val="3"/>
                <w:szCs w:val="3"/>
                <w:color w:val="auto"/>
              </w:rPr>
            </w:pPr>
          </w:p>
        </w:tc>
      </w:tr>
      <w:tr>
        <w:trPr>
          <w:trHeight w:val="209"/>
        </w:trPr>
        <w:tc>
          <w:tcPr>
            <w:tcW w:w="1700" w:type="dxa"/>
            <w:vAlign w:val="bottom"/>
            <w:tcBorders>
              <w:left w:val="single" w:sz="8" w:color="342C82"/>
              <w:right w:val="single" w:sz="8" w:color="342C82"/>
            </w:tcBorders>
          </w:tcPr>
          <w:p>
            <w:pPr>
              <w:spacing w:after="0"/>
              <w:rPr>
                <w:sz w:val="18"/>
                <w:szCs w:val="18"/>
                <w:color w:val="auto"/>
              </w:rPr>
            </w:pPr>
          </w:p>
        </w:tc>
        <w:tc>
          <w:tcPr>
            <w:tcW w:w="3380" w:type="dxa"/>
            <w:vAlign w:val="bottom"/>
            <w:tcBorders>
              <w:right w:val="single" w:sz="8" w:color="342C82"/>
            </w:tcBorders>
          </w:tcPr>
          <w:p>
            <w:pPr>
              <w:ind w:left="180"/>
              <w:spacing w:after="0"/>
              <w:rPr>
                <w:sz w:val="20"/>
                <w:szCs w:val="20"/>
                <w:color w:val="auto"/>
              </w:rPr>
            </w:pPr>
            <w:r>
              <w:rPr>
                <w:rFonts w:ascii="Arial" w:cs="Arial" w:eastAsia="Arial" w:hAnsi="Arial"/>
                <w:sz w:val="16"/>
                <w:szCs w:val="16"/>
                <w:color w:val="auto"/>
              </w:rPr>
              <w:t>   Significant portion of target annual</w:t>
            </w:r>
          </w:p>
        </w:tc>
        <w:tc>
          <w:tcPr>
            <w:tcW w:w="3360" w:type="dxa"/>
            <w:vAlign w:val="bottom"/>
            <w:tcBorders>
              <w:right w:val="single" w:sz="8" w:color="342C82"/>
            </w:tcBorders>
          </w:tcPr>
          <w:p>
            <w:pPr>
              <w:ind w:left="180"/>
              <w:spacing w:after="0"/>
              <w:rPr>
                <w:sz w:val="20"/>
                <w:szCs w:val="20"/>
                <w:color w:val="auto"/>
              </w:rPr>
            </w:pPr>
            <w:r>
              <w:rPr>
                <w:rFonts w:ascii="Arial" w:cs="Arial" w:eastAsia="Arial" w:hAnsi="Arial"/>
                <w:sz w:val="16"/>
                <w:szCs w:val="16"/>
                <w:color w:val="auto"/>
              </w:rPr>
              <w:t>   No individual employment agreements</w:t>
            </w:r>
          </w:p>
        </w:tc>
      </w:tr>
      <w:tr>
        <w:trPr>
          <w:trHeight w:val="189"/>
        </w:trPr>
        <w:tc>
          <w:tcPr>
            <w:tcW w:w="1700" w:type="dxa"/>
            <w:vAlign w:val="bottom"/>
            <w:tcBorders>
              <w:left w:val="single" w:sz="8" w:color="342C82"/>
              <w:right w:val="single" w:sz="8" w:color="342C82"/>
            </w:tcBorders>
          </w:tcPr>
          <w:p>
            <w:pPr>
              <w:spacing w:after="0"/>
              <w:rPr>
                <w:sz w:val="16"/>
                <w:szCs w:val="16"/>
                <w:color w:val="auto"/>
              </w:rPr>
            </w:pPr>
          </w:p>
        </w:tc>
        <w:tc>
          <w:tcPr>
            <w:tcW w:w="3380" w:type="dxa"/>
            <w:vAlign w:val="bottom"/>
            <w:tcBorders>
              <w:right w:val="single" w:sz="8" w:color="342C82"/>
            </w:tcBorders>
          </w:tcPr>
          <w:p>
            <w:pPr>
              <w:ind w:left="360"/>
              <w:spacing w:after="0"/>
              <w:rPr>
                <w:sz w:val="20"/>
                <w:szCs w:val="20"/>
                <w:color w:val="auto"/>
              </w:rPr>
            </w:pPr>
            <w:r>
              <w:rPr>
                <w:rFonts w:ascii="Arial" w:cs="Arial" w:eastAsia="Arial" w:hAnsi="Arial"/>
                <w:sz w:val="16"/>
                <w:szCs w:val="16"/>
                <w:color w:val="auto"/>
              </w:rPr>
              <w:t>compensation is delivered in the form of</w:t>
            </w:r>
          </w:p>
        </w:tc>
        <w:tc>
          <w:tcPr>
            <w:tcW w:w="3360" w:type="dxa"/>
            <w:vAlign w:val="bottom"/>
            <w:tcBorders>
              <w:right w:val="single" w:sz="8" w:color="342C82"/>
            </w:tcBorders>
          </w:tcPr>
          <w:p>
            <w:pPr>
              <w:ind w:left="340"/>
              <w:spacing w:after="0"/>
              <w:rPr>
                <w:sz w:val="20"/>
                <w:szCs w:val="20"/>
                <w:color w:val="auto"/>
              </w:rPr>
            </w:pPr>
            <w:r>
              <w:rPr>
                <w:rFonts w:ascii="Arial" w:cs="Arial" w:eastAsia="Arial" w:hAnsi="Arial"/>
                <w:sz w:val="16"/>
                <w:szCs w:val="16"/>
                <w:color w:val="auto"/>
              </w:rPr>
              <w:t>with our executive officers.</w:t>
            </w:r>
          </w:p>
        </w:tc>
      </w:tr>
      <w:tr>
        <w:trPr>
          <w:trHeight w:val="189"/>
        </w:trPr>
        <w:tc>
          <w:tcPr>
            <w:tcW w:w="1700" w:type="dxa"/>
            <w:vAlign w:val="bottom"/>
            <w:tcBorders>
              <w:left w:val="single" w:sz="8" w:color="342C82"/>
              <w:right w:val="single" w:sz="8" w:color="342C82"/>
            </w:tcBorders>
          </w:tcPr>
          <w:p>
            <w:pPr>
              <w:spacing w:after="0"/>
              <w:rPr>
                <w:sz w:val="16"/>
                <w:szCs w:val="16"/>
                <w:color w:val="auto"/>
              </w:rPr>
            </w:pPr>
          </w:p>
        </w:tc>
        <w:tc>
          <w:tcPr>
            <w:tcW w:w="3380" w:type="dxa"/>
            <w:vAlign w:val="bottom"/>
            <w:tcBorders>
              <w:right w:val="single" w:sz="8" w:color="342C82"/>
            </w:tcBorders>
          </w:tcPr>
          <w:p>
            <w:pPr>
              <w:ind w:left="360"/>
              <w:spacing w:after="0"/>
              <w:rPr>
                <w:sz w:val="20"/>
                <w:szCs w:val="20"/>
                <w:color w:val="auto"/>
              </w:rPr>
            </w:pPr>
            <w:r>
              <w:rPr>
                <w:rFonts w:ascii="Arial" w:cs="Arial" w:eastAsia="Arial" w:hAnsi="Arial"/>
                <w:sz w:val="16"/>
                <w:szCs w:val="16"/>
                <w:color w:val="auto"/>
              </w:rPr>
              <w:t>variable compensation tied to</w:t>
            </w:r>
          </w:p>
        </w:tc>
        <w:tc>
          <w:tcPr>
            <w:tcW w:w="3360" w:type="dxa"/>
            <w:vAlign w:val="bottom"/>
            <w:tcBorders>
              <w:right w:val="single" w:sz="8" w:color="342C82"/>
            </w:tcBorders>
          </w:tcPr>
          <w:p>
            <w:pPr>
              <w:spacing w:after="0"/>
              <w:rPr>
                <w:sz w:val="16"/>
                <w:szCs w:val="16"/>
                <w:color w:val="auto"/>
              </w:rPr>
            </w:pPr>
          </w:p>
        </w:tc>
      </w:tr>
      <w:tr>
        <w:trPr>
          <w:trHeight w:val="216"/>
        </w:trPr>
        <w:tc>
          <w:tcPr>
            <w:tcW w:w="1700" w:type="dxa"/>
            <w:vAlign w:val="bottom"/>
            <w:tcBorders>
              <w:left w:val="single" w:sz="8" w:color="342C82"/>
              <w:right w:val="single" w:sz="8" w:color="342C82"/>
            </w:tcBorders>
          </w:tcPr>
          <w:p>
            <w:pPr>
              <w:ind w:left="120"/>
              <w:spacing w:after="0"/>
              <w:rPr>
                <w:sz w:val="20"/>
                <w:szCs w:val="20"/>
                <w:color w:val="auto"/>
              </w:rPr>
            </w:pPr>
            <w:r>
              <w:rPr>
                <w:rFonts w:ascii="Arial" w:cs="Arial" w:eastAsia="Arial" w:hAnsi="Arial"/>
                <w:sz w:val="16"/>
                <w:szCs w:val="16"/>
                <w:b w:val="1"/>
                <w:bCs w:val="1"/>
                <w:color w:val="342C82"/>
              </w:rPr>
              <w:t>Competitive</w:t>
            </w:r>
          </w:p>
        </w:tc>
        <w:tc>
          <w:tcPr>
            <w:tcW w:w="3380" w:type="dxa"/>
            <w:vAlign w:val="bottom"/>
            <w:tcBorders>
              <w:right w:val="single" w:sz="8" w:color="342C82"/>
            </w:tcBorders>
          </w:tcPr>
          <w:p>
            <w:pPr>
              <w:ind w:left="360"/>
              <w:spacing w:after="0"/>
              <w:rPr>
                <w:sz w:val="20"/>
                <w:szCs w:val="20"/>
                <w:color w:val="auto"/>
              </w:rPr>
            </w:pPr>
            <w:r>
              <w:rPr>
                <w:rFonts w:ascii="Arial" w:cs="Arial" w:eastAsia="Arial" w:hAnsi="Arial"/>
                <w:sz w:val="16"/>
                <w:szCs w:val="16"/>
                <w:color w:val="auto"/>
              </w:rPr>
              <w:t>performance.</w:t>
            </w:r>
          </w:p>
        </w:tc>
        <w:tc>
          <w:tcPr>
            <w:tcW w:w="3360" w:type="dxa"/>
            <w:vAlign w:val="bottom"/>
            <w:tcBorders>
              <w:right w:val="single" w:sz="8" w:color="342C82"/>
            </w:tcBorders>
          </w:tcPr>
          <w:p>
            <w:pPr>
              <w:spacing w:after="0"/>
              <w:rPr>
                <w:sz w:val="18"/>
                <w:szCs w:val="18"/>
                <w:color w:val="auto"/>
              </w:rPr>
            </w:pPr>
          </w:p>
        </w:tc>
      </w:tr>
      <w:tr>
        <w:trPr>
          <w:trHeight w:val="189"/>
        </w:trPr>
        <w:tc>
          <w:tcPr>
            <w:tcW w:w="1700" w:type="dxa"/>
            <w:vAlign w:val="bottom"/>
            <w:tcBorders>
              <w:left w:val="single" w:sz="8" w:color="342C82"/>
              <w:right w:val="single" w:sz="8" w:color="342C82"/>
            </w:tcBorders>
          </w:tcPr>
          <w:p>
            <w:pPr>
              <w:ind w:left="120"/>
              <w:spacing w:after="0"/>
              <w:rPr>
                <w:sz w:val="20"/>
                <w:szCs w:val="20"/>
                <w:color w:val="auto"/>
              </w:rPr>
            </w:pPr>
            <w:r>
              <w:rPr>
                <w:rFonts w:ascii="Arial" w:cs="Arial" w:eastAsia="Arial" w:hAnsi="Arial"/>
                <w:sz w:val="16"/>
                <w:szCs w:val="16"/>
                <w:b w:val="1"/>
                <w:bCs w:val="1"/>
                <w:color w:val="342C82"/>
              </w:rPr>
              <w:t>Compensation</w:t>
            </w:r>
          </w:p>
        </w:tc>
        <w:tc>
          <w:tcPr>
            <w:tcW w:w="3380" w:type="dxa"/>
            <w:vAlign w:val="bottom"/>
            <w:tcBorders>
              <w:right w:val="single" w:sz="8" w:color="342C82"/>
            </w:tcBorders>
          </w:tcPr>
          <w:p>
            <w:pPr>
              <w:ind w:left="180"/>
              <w:spacing w:after="0"/>
              <w:rPr>
                <w:sz w:val="20"/>
                <w:szCs w:val="20"/>
                <w:color w:val="auto"/>
              </w:rPr>
            </w:pPr>
            <w:r>
              <w:rPr>
                <w:rFonts w:ascii="Arial" w:cs="Arial" w:eastAsia="Arial" w:hAnsi="Arial"/>
                <w:sz w:val="16"/>
                <w:szCs w:val="16"/>
                <w:color w:val="auto"/>
              </w:rPr>
              <w:t>   Reinforce and reward behaviors that</w:t>
            </w:r>
          </w:p>
        </w:tc>
        <w:tc>
          <w:tcPr>
            <w:tcW w:w="3360" w:type="dxa"/>
            <w:vAlign w:val="bottom"/>
            <w:tcBorders>
              <w:right w:val="single" w:sz="8" w:color="342C82"/>
            </w:tcBorders>
          </w:tcPr>
          <w:p>
            <w:pPr>
              <w:spacing w:after="0"/>
              <w:rPr>
                <w:sz w:val="16"/>
                <w:szCs w:val="16"/>
                <w:color w:val="auto"/>
              </w:rPr>
            </w:pPr>
          </w:p>
        </w:tc>
      </w:tr>
      <w:tr>
        <w:trPr>
          <w:trHeight w:val="230"/>
        </w:trPr>
        <w:tc>
          <w:tcPr>
            <w:tcW w:w="1700" w:type="dxa"/>
            <w:vAlign w:val="bottom"/>
            <w:tcBorders>
              <w:left w:val="single" w:sz="8" w:color="342C82"/>
              <w:right w:val="single" w:sz="8" w:color="342C82"/>
            </w:tcBorders>
          </w:tcPr>
          <w:p>
            <w:pPr>
              <w:ind w:left="120"/>
              <w:spacing w:after="0"/>
              <w:rPr>
                <w:sz w:val="20"/>
                <w:szCs w:val="20"/>
                <w:color w:val="auto"/>
              </w:rPr>
            </w:pPr>
            <w:r>
              <w:rPr>
                <w:rFonts w:ascii="Arial" w:cs="Arial" w:eastAsia="Arial" w:hAnsi="Arial"/>
                <w:sz w:val="16"/>
                <w:szCs w:val="16"/>
                <w:b w:val="1"/>
                <w:bCs w:val="1"/>
                <w:color w:val="342C82"/>
              </w:rPr>
              <w:t>Program</w:t>
            </w:r>
          </w:p>
        </w:tc>
        <w:tc>
          <w:tcPr>
            <w:tcW w:w="3380" w:type="dxa"/>
            <w:vAlign w:val="bottom"/>
            <w:tcBorders>
              <w:right w:val="single" w:sz="8" w:color="342C82"/>
            </w:tcBorders>
          </w:tcPr>
          <w:p>
            <w:pPr>
              <w:ind w:left="360"/>
              <w:spacing w:after="0"/>
              <w:rPr>
                <w:sz w:val="20"/>
                <w:szCs w:val="20"/>
                <w:color w:val="auto"/>
              </w:rPr>
            </w:pPr>
            <w:r>
              <w:rPr>
                <w:rFonts w:ascii="Arial" w:cs="Arial" w:eastAsia="Arial" w:hAnsi="Arial"/>
                <w:sz w:val="16"/>
                <w:szCs w:val="16"/>
                <w:color w:val="auto"/>
              </w:rPr>
              <w:t>support our business objectives.</w:t>
            </w:r>
          </w:p>
        </w:tc>
        <w:tc>
          <w:tcPr>
            <w:tcW w:w="3360" w:type="dxa"/>
            <w:vAlign w:val="bottom"/>
            <w:tcBorders>
              <w:right w:val="single" w:sz="8" w:color="342C82"/>
            </w:tcBorders>
          </w:tcPr>
          <w:p>
            <w:pPr>
              <w:spacing w:after="0"/>
              <w:rPr>
                <w:sz w:val="19"/>
                <w:szCs w:val="19"/>
                <w:color w:val="auto"/>
              </w:rPr>
            </w:pPr>
          </w:p>
        </w:tc>
      </w:tr>
      <w:tr>
        <w:trPr>
          <w:trHeight w:val="189"/>
        </w:trPr>
        <w:tc>
          <w:tcPr>
            <w:tcW w:w="1700" w:type="dxa"/>
            <w:vAlign w:val="bottom"/>
            <w:tcBorders>
              <w:left w:val="single" w:sz="8" w:color="342C82"/>
              <w:right w:val="single" w:sz="8" w:color="342C82"/>
            </w:tcBorders>
          </w:tcPr>
          <w:p>
            <w:pPr>
              <w:spacing w:after="0"/>
              <w:rPr>
                <w:sz w:val="16"/>
                <w:szCs w:val="16"/>
                <w:color w:val="auto"/>
              </w:rPr>
            </w:pPr>
          </w:p>
        </w:tc>
        <w:tc>
          <w:tcPr>
            <w:tcW w:w="3380" w:type="dxa"/>
            <w:vAlign w:val="bottom"/>
            <w:tcBorders>
              <w:right w:val="single" w:sz="8" w:color="342C82"/>
            </w:tcBorders>
          </w:tcPr>
          <w:p>
            <w:pPr>
              <w:ind w:left="180"/>
              <w:spacing w:after="0"/>
              <w:rPr>
                <w:sz w:val="20"/>
                <w:szCs w:val="20"/>
                <w:color w:val="auto"/>
              </w:rPr>
            </w:pPr>
            <w:r>
              <w:rPr>
                <w:rFonts w:ascii="Arial" w:cs="Arial" w:eastAsia="Arial" w:hAnsi="Arial"/>
                <w:sz w:val="16"/>
                <w:szCs w:val="16"/>
                <w:color w:val="auto"/>
              </w:rPr>
              <w:t>   Use of an independent compensation</w:t>
            </w:r>
          </w:p>
        </w:tc>
        <w:tc>
          <w:tcPr>
            <w:tcW w:w="3360" w:type="dxa"/>
            <w:vAlign w:val="bottom"/>
            <w:tcBorders>
              <w:right w:val="single" w:sz="8" w:color="342C82"/>
            </w:tcBorders>
          </w:tcPr>
          <w:p>
            <w:pPr>
              <w:spacing w:after="0"/>
              <w:rPr>
                <w:sz w:val="16"/>
                <w:szCs w:val="16"/>
                <w:color w:val="auto"/>
              </w:rPr>
            </w:pPr>
          </w:p>
        </w:tc>
      </w:tr>
      <w:tr>
        <w:trPr>
          <w:trHeight w:val="189"/>
        </w:trPr>
        <w:tc>
          <w:tcPr>
            <w:tcW w:w="1700" w:type="dxa"/>
            <w:vAlign w:val="bottom"/>
            <w:tcBorders>
              <w:left w:val="single" w:sz="8" w:color="342C82"/>
              <w:right w:val="single" w:sz="8" w:color="342C82"/>
            </w:tcBorders>
          </w:tcPr>
          <w:p>
            <w:pPr>
              <w:spacing w:after="0"/>
              <w:rPr>
                <w:sz w:val="16"/>
                <w:szCs w:val="16"/>
                <w:color w:val="auto"/>
              </w:rPr>
            </w:pPr>
          </w:p>
        </w:tc>
        <w:tc>
          <w:tcPr>
            <w:tcW w:w="3380" w:type="dxa"/>
            <w:vAlign w:val="bottom"/>
            <w:tcBorders>
              <w:right w:val="single" w:sz="8" w:color="342C82"/>
            </w:tcBorders>
          </w:tcPr>
          <w:p>
            <w:pPr>
              <w:ind w:left="360"/>
              <w:spacing w:after="0"/>
              <w:rPr>
                <w:sz w:val="20"/>
                <w:szCs w:val="20"/>
                <w:color w:val="auto"/>
              </w:rPr>
            </w:pPr>
            <w:r>
              <w:rPr>
                <w:rFonts w:ascii="Arial" w:cs="Arial" w:eastAsia="Arial" w:hAnsi="Arial"/>
                <w:sz w:val="16"/>
                <w:szCs w:val="16"/>
                <w:color w:val="auto"/>
              </w:rPr>
              <w:t>consultant reporting directly to the</w:t>
            </w:r>
          </w:p>
        </w:tc>
        <w:tc>
          <w:tcPr>
            <w:tcW w:w="3360" w:type="dxa"/>
            <w:vAlign w:val="bottom"/>
            <w:tcBorders>
              <w:right w:val="single" w:sz="8" w:color="342C82"/>
            </w:tcBorders>
          </w:tcPr>
          <w:p>
            <w:pPr>
              <w:spacing w:after="0"/>
              <w:rPr>
                <w:sz w:val="16"/>
                <w:szCs w:val="16"/>
                <w:color w:val="auto"/>
              </w:rPr>
            </w:pPr>
          </w:p>
        </w:tc>
      </w:tr>
      <w:tr>
        <w:trPr>
          <w:trHeight w:val="215"/>
        </w:trPr>
        <w:tc>
          <w:tcPr>
            <w:tcW w:w="1700" w:type="dxa"/>
            <w:vAlign w:val="bottom"/>
            <w:tcBorders>
              <w:left w:val="single" w:sz="8" w:color="342C82"/>
              <w:right w:val="single" w:sz="8" w:color="342C82"/>
            </w:tcBorders>
          </w:tcPr>
          <w:p>
            <w:pPr>
              <w:spacing w:after="0"/>
              <w:rPr>
                <w:sz w:val="18"/>
                <w:szCs w:val="18"/>
                <w:color w:val="auto"/>
              </w:rPr>
            </w:pPr>
          </w:p>
        </w:tc>
        <w:tc>
          <w:tcPr>
            <w:tcW w:w="3380" w:type="dxa"/>
            <w:vAlign w:val="bottom"/>
            <w:tcBorders>
              <w:right w:val="single" w:sz="8" w:color="342C82"/>
            </w:tcBorders>
          </w:tcPr>
          <w:p>
            <w:pPr>
              <w:ind w:left="360"/>
              <w:spacing w:after="0"/>
              <w:rPr>
                <w:sz w:val="20"/>
                <w:szCs w:val="20"/>
                <w:color w:val="auto"/>
              </w:rPr>
            </w:pPr>
            <w:r>
              <w:rPr>
                <w:rFonts w:ascii="Arial" w:cs="Arial" w:eastAsia="Arial" w:hAnsi="Arial"/>
                <w:sz w:val="16"/>
                <w:szCs w:val="16"/>
                <w:color w:val="auto"/>
              </w:rPr>
              <w:t>Compensation Committee.</w:t>
            </w:r>
          </w:p>
        </w:tc>
        <w:tc>
          <w:tcPr>
            <w:tcW w:w="3360" w:type="dxa"/>
            <w:vAlign w:val="bottom"/>
            <w:tcBorders>
              <w:right w:val="single" w:sz="8" w:color="342C82"/>
            </w:tcBorders>
          </w:tcPr>
          <w:p>
            <w:pPr>
              <w:spacing w:after="0"/>
              <w:rPr>
                <w:sz w:val="18"/>
                <w:szCs w:val="18"/>
                <w:color w:val="auto"/>
              </w:rPr>
            </w:pPr>
          </w:p>
        </w:tc>
      </w:tr>
      <w:tr>
        <w:trPr>
          <w:trHeight w:val="56"/>
        </w:trPr>
        <w:tc>
          <w:tcPr>
            <w:tcW w:w="1700" w:type="dxa"/>
            <w:vAlign w:val="bottom"/>
            <w:tcBorders>
              <w:left w:val="single" w:sz="8" w:color="342C82"/>
              <w:bottom w:val="single" w:sz="8" w:color="342C82"/>
              <w:right w:val="single" w:sz="8" w:color="342C82"/>
            </w:tcBorders>
          </w:tcPr>
          <w:p>
            <w:pPr>
              <w:spacing w:after="0"/>
              <w:rPr>
                <w:sz w:val="4"/>
                <w:szCs w:val="4"/>
                <w:color w:val="auto"/>
              </w:rPr>
            </w:pPr>
          </w:p>
        </w:tc>
        <w:tc>
          <w:tcPr>
            <w:tcW w:w="3380" w:type="dxa"/>
            <w:vAlign w:val="bottom"/>
            <w:tcBorders>
              <w:bottom w:val="single" w:sz="8" w:color="342C82"/>
              <w:right w:val="single" w:sz="8" w:color="342C82"/>
            </w:tcBorders>
          </w:tcPr>
          <w:p>
            <w:pPr>
              <w:spacing w:after="0"/>
              <w:rPr>
                <w:sz w:val="4"/>
                <w:szCs w:val="4"/>
                <w:color w:val="auto"/>
              </w:rPr>
            </w:pPr>
          </w:p>
        </w:tc>
        <w:tc>
          <w:tcPr>
            <w:tcW w:w="3360" w:type="dxa"/>
            <w:vAlign w:val="bottom"/>
            <w:tcBorders>
              <w:bottom w:val="single" w:sz="8" w:color="342C82"/>
              <w:right w:val="single" w:sz="8" w:color="342C82"/>
            </w:tcBorders>
          </w:tcPr>
          <w:p>
            <w:pPr>
              <w:spacing w:after="0"/>
              <w:rPr>
                <w:sz w:val="4"/>
                <w:szCs w:val="4"/>
                <w:color w:val="auto"/>
              </w:rPr>
            </w:pPr>
          </w:p>
        </w:tc>
      </w:tr>
      <w:tr>
        <w:trPr>
          <w:trHeight w:val="209"/>
        </w:trPr>
        <w:tc>
          <w:tcPr>
            <w:tcW w:w="1700" w:type="dxa"/>
            <w:vAlign w:val="bottom"/>
            <w:tcBorders>
              <w:left w:val="single" w:sz="8" w:color="342C82"/>
              <w:right w:val="single" w:sz="8" w:color="342C82"/>
            </w:tcBorders>
          </w:tcPr>
          <w:p>
            <w:pPr>
              <w:spacing w:after="0"/>
              <w:rPr>
                <w:sz w:val="18"/>
                <w:szCs w:val="18"/>
                <w:color w:val="auto"/>
              </w:rPr>
            </w:pPr>
          </w:p>
        </w:tc>
        <w:tc>
          <w:tcPr>
            <w:tcW w:w="3380" w:type="dxa"/>
            <w:vAlign w:val="bottom"/>
            <w:tcBorders>
              <w:right w:val="single" w:sz="8" w:color="342C82"/>
            </w:tcBorders>
          </w:tcPr>
          <w:p>
            <w:pPr>
              <w:ind w:left="180"/>
              <w:spacing w:after="0"/>
              <w:rPr>
                <w:sz w:val="20"/>
                <w:szCs w:val="20"/>
                <w:color w:val="auto"/>
              </w:rPr>
            </w:pPr>
            <w:r>
              <w:rPr>
                <w:rFonts w:ascii="Arial" w:cs="Arial" w:eastAsia="Arial" w:hAnsi="Arial"/>
                <w:sz w:val="16"/>
                <w:szCs w:val="16"/>
                <w:color w:val="auto"/>
              </w:rPr>
              <w:t>   Align executive compensation with the</w:t>
            </w:r>
          </w:p>
        </w:tc>
        <w:tc>
          <w:tcPr>
            <w:tcW w:w="3360" w:type="dxa"/>
            <w:vAlign w:val="bottom"/>
            <w:tcBorders>
              <w:right w:val="single" w:sz="8" w:color="342C82"/>
            </w:tcBorders>
          </w:tcPr>
          <w:p>
            <w:pPr>
              <w:ind w:left="180"/>
              <w:spacing w:after="0"/>
              <w:rPr>
                <w:sz w:val="20"/>
                <w:szCs w:val="20"/>
                <w:color w:val="auto"/>
              </w:rPr>
            </w:pPr>
            <w:r>
              <w:rPr>
                <w:rFonts w:ascii="Arial" w:cs="Arial" w:eastAsia="Arial" w:hAnsi="Arial"/>
                <w:sz w:val="16"/>
                <w:szCs w:val="16"/>
                <w:color w:val="auto"/>
              </w:rPr>
              <w:t>   While we emphasize “at risk” pay tied to</w:t>
            </w:r>
          </w:p>
        </w:tc>
      </w:tr>
      <w:tr>
        <w:trPr>
          <w:trHeight w:val="189"/>
        </w:trPr>
        <w:tc>
          <w:tcPr>
            <w:tcW w:w="1700" w:type="dxa"/>
            <w:vAlign w:val="bottom"/>
            <w:tcBorders>
              <w:left w:val="single" w:sz="8" w:color="342C82"/>
              <w:right w:val="single" w:sz="8" w:color="342C82"/>
            </w:tcBorders>
          </w:tcPr>
          <w:p>
            <w:pPr>
              <w:spacing w:after="0"/>
              <w:rPr>
                <w:sz w:val="16"/>
                <w:szCs w:val="16"/>
                <w:color w:val="auto"/>
              </w:rPr>
            </w:pPr>
          </w:p>
        </w:tc>
        <w:tc>
          <w:tcPr>
            <w:tcW w:w="3380" w:type="dxa"/>
            <w:vAlign w:val="bottom"/>
            <w:tcBorders>
              <w:right w:val="single" w:sz="8" w:color="342C82"/>
            </w:tcBorders>
          </w:tcPr>
          <w:p>
            <w:pPr>
              <w:ind w:left="360"/>
              <w:spacing w:after="0"/>
              <w:rPr>
                <w:sz w:val="20"/>
                <w:szCs w:val="20"/>
                <w:color w:val="auto"/>
              </w:rPr>
            </w:pPr>
            <w:r>
              <w:rPr>
                <w:rFonts w:ascii="Arial" w:cs="Arial" w:eastAsia="Arial" w:hAnsi="Arial"/>
                <w:sz w:val="16"/>
                <w:szCs w:val="16"/>
                <w:color w:val="auto"/>
              </w:rPr>
              <w:t>execution of our business strategy and</w:t>
            </w:r>
          </w:p>
        </w:tc>
        <w:tc>
          <w:tcPr>
            <w:tcW w:w="3360" w:type="dxa"/>
            <w:vAlign w:val="bottom"/>
            <w:tcBorders>
              <w:right w:val="single" w:sz="8" w:color="342C82"/>
            </w:tcBorders>
          </w:tcPr>
          <w:p>
            <w:pPr>
              <w:ind w:left="340"/>
              <w:spacing w:after="0"/>
              <w:rPr>
                <w:sz w:val="20"/>
                <w:szCs w:val="20"/>
                <w:color w:val="auto"/>
              </w:rPr>
            </w:pPr>
            <w:r>
              <w:rPr>
                <w:rFonts w:ascii="Arial" w:cs="Arial" w:eastAsia="Arial" w:hAnsi="Arial"/>
                <w:sz w:val="16"/>
                <w:szCs w:val="16"/>
                <w:color w:val="auto"/>
              </w:rPr>
              <w:t>performance, our program does not</w:t>
            </w:r>
          </w:p>
        </w:tc>
      </w:tr>
      <w:tr>
        <w:trPr>
          <w:trHeight w:val="189"/>
        </w:trPr>
        <w:tc>
          <w:tcPr>
            <w:tcW w:w="1700" w:type="dxa"/>
            <w:vAlign w:val="bottom"/>
            <w:tcBorders>
              <w:left w:val="single" w:sz="8" w:color="342C82"/>
              <w:right w:val="single" w:sz="8" w:color="342C82"/>
            </w:tcBorders>
          </w:tcPr>
          <w:p>
            <w:pPr>
              <w:ind w:left="120"/>
              <w:spacing w:after="0"/>
              <w:rPr>
                <w:sz w:val="20"/>
                <w:szCs w:val="20"/>
                <w:color w:val="auto"/>
              </w:rPr>
            </w:pPr>
            <w:r>
              <w:rPr>
                <w:rFonts w:ascii="Arial" w:cs="Arial" w:eastAsia="Arial" w:hAnsi="Arial"/>
                <w:sz w:val="16"/>
                <w:szCs w:val="16"/>
                <w:b w:val="1"/>
                <w:bCs w:val="1"/>
                <w:color w:val="342C82"/>
              </w:rPr>
              <w:t>Pay for</w:t>
            </w:r>
          </w:p>
        </w:tc>
        <w:tc>
          <w:tcPr>
            <w:tcW w:w="3380" w:type="dxa"/>
            <w:vAlign w:val="bottom"/>
            <w:tcBorders>
              <w:right w:val="single" w:sz="8" w:color="342C82"/>
            </w:tcBorders>
          </w:tcPr>
          <w:p>
            <w:pPr>
              <w:ind w:left="360"/>
              <w:spacing w:after="0"/>
              <w:rPr>
                <w:sz w:val="20"/>
                <w:szCs w:val="20"/>
                <w:color w:val="auto"/>
              </w:rPr>
            </w:pPr>
            <w:r>
              <w:rPr>
                <w:rFonts w:ascii="Arial" w:cs="Arial" w:eastAsia="Arial" w:hAnsi="Arial"/>
                <w:sz w:val="16"/>
                <w:szCs w:val="16"/>
                <w:color w:val="auto"/>
              </w:rPr>
              <w:t>the creation of long-term stockholder</w:t>
            </w:r>
          </w:p>
        </w:tc>
        <w:tc>
          <w:tcPr>
            <w:tcW w:w="3360" w:type="dxa"/>
            <w:vAlign w:val="bottom"/>
            <w:tcBorders>
              <w:right w:val="single" w:sz="8" w:color="342C82"/>
            </w:tcBorders>
          </w:tcPr>
          <w:p>
            <w:pPr>
              <w:ind w:left="340"/>
              <w:spacing w:after="0"/>
              <w:rPr>
                <w:sz w:val="20"/>
                <w:szCs w:val="20"/>
                <w:color w:val="auto"/>
              </w:rPr>
            </w:pPr>
            <w:r>
              <w:rPr>
                <w:rFonts w:ascii="Arial" w:cs="Arial" w:eastAsia="Arial" w:hAnsi="Arial"/>
                <w:sz w:val="16"/>
                <w:szCs w:val="16"/>
                <w:color w:val="auto"/>
              </w:rPr>
              <w:t>encourage excessive risk-taking by</w:t>
            </w:r>
          </w:p>
        </w:tc>
      </w:tr>
      <w:tr>
        <w:trPr>
          <w:trHeight w:val="189"/>
        </w:trPr>
        <w:tc>
          <w:tcPr>
            <w:tcW w:w="1700" w:type="dxa"/>
            <w:vAlign w:val="bottom"/>
            <w:tcBorders>
              <w:left w:val="single" w:sz="8" w:color="342C82"/>
              <w:right w:val="single" w:sz="8" w:color="342C82"/>
            </w:tcBorders>
          </w:tcPr>
          <w:p>
            <w:pPr>
              <w:ind w:left="120"/>
              <w:spacing w:after="0"/>
              <w:rPr>
                <w:sz w:val="20"/>
                <w:szCs w:val="20"/>
                <w:color w:val="auto"/>
              </w:rPr>
            </w:pPr>
            <w:r>
              <w:rPr>
                <w:rFonts w:ascii="Arial" w:cs="Arial" w:eastAsia="Arial" w:hAnsi="Arial"/>
                <w:sz w:val="16"/>
                <w:szCs w:val="16"/>
                <w:b w:val="1"/>
                <w:bCs w:val="1"/>
                <w:color w:val="342C82"/>
              </w:rPr>
              <w:t>Performance</w:t>
            </w:r>
          </w:p>
        </w:tc>
        <w:tc>
          <w:tcPr>
            <w:tcW w:w="3380" w:type="dxa"/>
            <w:vAlign w:val="bottom"/>
            <w:tcBorders>
              <w:right w:val="single" w:sz="8" w:color="342C82"/>
            </w:tcBorders>
          </w:tcPr>
          <w:p>
            <w:pPr>
              <w:ind w:left="360"/>
              <w:spacing w:after="0"/>
              <w:rPr>
                <w:sz w:val="20"/>
                <w:szCs w:val="20"/>
                <w:color w:val="auto"/>
              </w:rPr>
            </w:pPr>
            <w:r>
              <w:rPr>
                <w:rFonts w:ascii="Arial" w:cs="Arial" w:eastAsia="Arial" w:hAnsi="Arial"/>
                <w:sz w:val="16"/>
                <w:szCs w:val="16"/>
                <w:color w:val="auto"/>
              </w:rPr>
              <w:t>value.</w:t>
            </w:r>
          </w:p>
        </w:tc>
        <w:tc>
          <w:tcPr>
            <w:tcW w:w="3360" w:type="dxa"/>
            <w:vAlign w:val="bottom"/>
            <w:tcBorders>
              <w:right w:val="single" w:sz="8" w:color="342C82"/>
            </w:tcBorders>
          </w:tcPr>
          <w:p>
            <w:pPr>
              <w:ind w:left="340"/>
              <w:spacing w:after="0"/>
              <w:rPr>
                <w:sz w:val="20"/>
                <w:szCs w:val="20"/>
                <w:color w:val="auto"/>
              </w:rPr>
            </w:pPr>
            <w:r>
              <w:rPr>
                <w:rFonts w:ascii="Arial" w:cs="Arial" w:eastAsia="Arial" w:hAnsi="Arial"/>
                <w:sz w:val="16"/>
                <w:szCs w:val="16"/>
                <w:color w:val="auto"/>
              </w:rPr>
              <w:t>management.</w:t>
            </w:r>
          </w:p>
        </w:tc>
      </w:tr>
      <w:tr>
        <w:trPr>
          <w:trHeight w:val="189"/>
        </w:trPr>
        <w:tc>
          <w:tcPr>
            <w:tcW w:w="1700" w:type="dxa"/>
            <w:vAlign w:val="bottom"/>
            <w:tcBorders>
              <w:left w:val="single" w:sz="8" w:color="342C82"/>
              <w:right w:val="single" w:sz="8" w:color="342C82"/>
            </w:tcBorders>
          </w:tcPr>
          <w:p>
            <w:pPr>
              <w:spacing w:after="0"/>
              <w:rPr>
                <w:sz w:val="16"/>
                <w:szCs w:val="16"/>
                <w:color w:val="auto"/>
              </w:rPr>
            </w:pPr>
          </w:p>
        </w:tc>
        <w:tc>
          <w:tcPr>
            <w:tcW w:w="3380" w:type="dxa"/>
            <w:vAlign w:val="bottom"/>
            <w:tcBorders>
              <w:right w:val="single" w:sz="8" w:color="342C82"/>
            </w:tcBorders>
          </w:tcPr>
          <w:p>
            <w:pPr>
              <w:spacing w:after="0"/>
              <w:rPr>
                <w:sz w:val="16"/>
                <w:szCs w:val="16"/>
                <w:color w:val="auto"/>
              </w:rPr>
            </w:pPr>
          </w:p>
        </w:tc>
        <w:tc>
          <w:tcPr>
            <w:tcW w:w="3360" w:type="dxa"/>
            <w:vAlign w:val="bottom"/>
            <w:tcBorders>
              <w:right w:val="single" w:sz="8" w:color="342C82"/>
            </w:tcBorders>
          </w:tcPr>
          <w:p>
            <w:pPr>
              <w:ind w:left="180"/>
              <w:spacing w:after="0"/>
              <w:rPr>
                <w:sz w:val="20"/>
                <w:szCs w:val="20"/>
                <w:color w:val="auto"/>
              </w:rPr>
            </w:pPr>
            <w:r>
              <w:rPr>
                <w:rFonts w:ascii="Arial" w:cs="Arial" w:eastAsia="Arial" w:hAnsi="Arial"/>
                <w:sz w:val="16"/>
                <w:szCs w:val="16"/>
                <w:color w:val="auto"/>
              </w:rPr>
              <w:t>   No guaranteed incentive awards for</w:t>
            </w:r>
          </w:p>
        </w:tc>
      </w:tr>
      <w:tr>
        <w:trPr>
          <w:trHeight w:val="215"/>
        </w:trPr>
        <w:tc>
          <w:tcPr>
            <w:tcW w:w="1700" w:type="dxa"/>
            <w:vAlign w:val="bottom"/>
            <w:tcBorders>
              <w:left w:val="single" w:sz="8" w:color="342C82"/>
              <w:right w:val="single" w:sz="8" w:color="342C82"/>
            </w:tcBorders>
          </w:tcPr>
          <w:p>
            <w:pPr>
              <w:spacing w:after="0"/>
              <w:rPr>
                <w:sz w:val="18"/>
                <w:szCs w:val="18"/>
                <w:color w:val="auto"/>
              </w:rPr>
            </w:pPr>
          </w:p>
        </w:tc>
        <w:tc>
          <w:tcPr>
            <w:tcW w:w="3380" w:type="dxa"/>
            <w:vAlign w:val="bottom"/>
            <w:tcBorders>
              <w:right w:val="single" w:sz="8" w:color="342C82"/>
            </w:tcBorders>
          </w:tcPr>
          <w:p>
            <w:pPr>
              <w:spacing w:after="0"/>
              <w:rPr>
                <w:sz w:val="18"/>
                <w:szCs w:val="18"/>
                <w:color w:val="auto"/>
              </w:rPr>
            </w:pPr>
          </w:p>
        </w:tc>
        <w:tc>
          <w:tcPr>
            <w:tcW w:w="3360" w:type="dxa"/>
            <w:vAlign w:val="bottom"/>
            <w:tcBorders>
              <w:right w:val="single" w:sz="8" w:color="342C82"/>
            </w:tcBorders>
          </w:tcPr>
          <w:p>
            <w:pPr>
              <w:ind w:left="340"/>
              <w:spacing w:after="0"/>
              <w:rPr>
                <w:sz w:val="20"/>
                <w:szCs w:val="20"/>
                <w:color w:val="auto"/>
              </w:rPr>
            </w:pPr>
            <w:r>
              <w:rPr>
                <w:rFonts w:ascii="Arial" w:cs="Arial" w:eastAsia="Arial" w:hAnsi="Arial"/>
                <w:sz w:val="16"/>
                <w:szCs w:val="16"/>
                <w:color w:val="auto"/>
              </w:rPr>
              <w:t>executive officers.</w:t>
            </w:r>
          </w:p>
        </w:tc>
      </w:tr>
      <w:tr>
        <w:trPr>
          <w:trHeight w:val="43"/>
        </w:trPr>
        <w:tc>
          <w:tcPr>
            <w:tcW w:w="1700" w:type="dxa"/>
            <w:vAlign w:val="bottom"/>
            <w:tcBorders>
              <w:left w:val="single" w:sz="8" w:color="342C82"/>
              <w:bottom w:val="single" w:sz="8" w:color="342C82"/>
              <w:right w:val="single" w:sz="8" w:color="342C82"/>
            </w:tcBorders>
          </w:tcPr>
          <w:p>
            <w:pPr>
              <w:spacing w:after="0"/>
              <w:rPr>
                <w:sz w:val="3"/>
                <w:szCs w:val="3"/>
                <w:color w:val="auto"/>
              </w:rPr>
            </w:pPr>
          </w:p>
        </w:tc>
        <w:tc>
          <w:tcPr>
            <w:tcW w:w="3380" w:type="dxa"/>
            <w:vAlign w:val="bottom"/>
            <w:tcBorders>
              <w:bottom w:val="single" w:sz="8" w:color="342C82"/>
              <w:right w:val="single" w:sz="8" w:color="342C82"/>
            </w:tcBorders>
          </w:tcPr>
          <w:p>
            <w:pPr>
              <w:spacing w:after="0"/>
              <w:rPr>
                <w:sz w:val="3"/>
                <w:szCs w:val="3"/>
                <w:color w:val="auto"/>
              </w:rPr>
            </w:pPr>
          </w:p>
        </w:tc>
        <w:tc>
          <w:tcPr>
            <w:tcW w:w="3360" w:type="dxa"/>
            <w:vAlign w:val="bottom"/>
            <w:tcBorders>
              <w:bottom w:val="single" w:sz="8" w:color="342C82"/>
              <w:right w:val="single" w:sz="8" w:color="342C82"/>
            </w:tcBorders>
          </w:tcPr>
          <w:p>
            <w:pPr>
              <w:spacing w:after="0"/>
              <w:rPr>
                <w:sz w:val="3"/>
                <w:szCs w:val="3"/>
                <w:color w:val="auto"/>
              </w:rPr>
            </w:pPr>
          </w:p>
        </w:tc>
      </w:tr>
      <w:tr>
        <w:trPr>
          <w:trHeight w:val="209"/>
        </w:trPr>
        <w:tc>
          <w:tcPr>
            <w:tcW w:w="1700" w:type="dxa"/>
            <w:vAlign w:val="bottom"/>
            <w:tcBorders>
              <w:left w:val="single" w:sz="8" w:color="342C82"/>
              <w:right w:val="single" w:sz="8" w:color="342C82"/>
            </w:tcBorders>
          </w:tcPr>
          <w:p>
            <w:pPr>
              <w:spacing w:after="0"/>
              <w:rPr>
                <w:sz w:val="18"/>
                <w:szCs w:val="18"/>
                <w:color w:val="auto"/>
              </w:rPr>
            </w:pPr>
          </w:p>
        </w:tc>
        <w:tc>
          <w:tcPr>
            <w:tcW w:w="3380" w:type="dxa"/>
            <w:vAlign w:val="bottom"/>
            <w:tcBorders>
              <w:right w:val="single" w:sz="8" w:color="342C82"/>
            </w:tcBorders>
          </w:tcPr>
          <w:p>
            <w:pPr>
              <w:ind w:left="180"/>
              <w:spacing w:after="0"/>
              <w:rPr>
                <w:sz w:val="20"/>
                <w:szCs w:val="20"/>
                <w:color w:val="auto"/>
              </w:rPr>
            </w:pPr>
            <w:r>
              <w:rPr>
                <w:rFonts w:ascii="Arial" w:cs="Arial" w:eastAsia="Arial" w:hAnsi="Arial"/>
                <w:sz w:val="16"/>
                <w:szCs w:val="16"/>
                <w:color w:val="auto"/>
              </w:rPr>
              <w:t>   Robust share retention and ownership</w:t>
            </w:r>
          </w:p>
        </w:tc>
        <w:tc>
          <w:tcPr>
            <w:tcW w:w="3360" w:type="dxa"/>
            <w:vAlign w:val="bottom"/>
            <w:tcBorders>
              <w:right w:val="single" w:sz="8" w:color="342C82"/>
            </w:tcBorders>
          </w:tcPr>
          <w:p>
            <w:pPr>
              <w:ind w:left="180"/>
              <w:spacing w:after="0"/>
              <w:rPr>
                <w:sz w:val="20"/>
                <w:szCs w:val="20"/>
                <w:color w:val="auto"/>
              </w:rPr>
            </w:pPr>
            <w:r>
              <w:rPr>
                <w:rFonts w:ascii="Arial" w:cs="Arial" w:eastAsia="Arial" w:hAnsi="Arial"/>
                <w:sz w:val="16"/>
                <w:szCs w:val="16"/>
                <w:color w:val="auto"/>
              </w:rPr>
              <w:t>   No discounting, reloading or repricing of</w:t>
            </w:r>
          </w:p>
        </w:tc>
      </w:tr>
      <w:tr>
        <w:trPr>
          <w:trHeight w:val="189"/>
        </w:trPr>
        <w:tc>
          <w:tcPr>
            <w:tcW w:w="1700" w:type="dxa"/>
            <w:vAlign w:val="bottom"/>
            <w:tcBorders>
              <w:left w:val="single" w:sz="8" w:color="342C82"/>
              <w:right w:val="single" w:sz="8" w:color="342C82"/>
            </w:tcBorders>
          </w:tcPr>
          <w:p>
            <w:pPr>
              <w:spacing w:after="0"/>
              <w:rPr>
                <w:sz w:val="16"/>
                <w:szCs w:val="16"/>
                <w:color w:val="auto"/>
              </w:rPr>
            </w:pPr>
          </w:p>
        </w:tc>
        <w:tc>
          <w:tcPr>
            <w:tcW w:w="3380" w:type="dxa"/>
            <w:vAlign w:val="bottom"/>
            <w:tcBorders>
              <w:right w:val="single" w:sz="8" w:color="342C82"/>
            </w:tcBorders>
          </w:tcPr>
          <w:p>
            <w:pPr>
              <w:ind w:left="360"/>
              <w:spacing w:after="0"/>
              <w:rPr>
                <w:sz w:val="20"/>
                <w:szCs w:val="20"/>
                <w:color w:val="auto"/>
              </w:rPr>
            </w:pPr>
            <w:r>
              <w:rPr>
                <w:rFonts w:ascii="Arial" w:cs="Arial" w:eastAsia="Arial" w:hAnsi="Arial"/>
                <w:sz w:val="16"/>
                <w:szCs w:val="16"/>
                <w:color w:val="auto"/>
              </w:rPr>
              <w:t>guidelines.</w:t>
            </w:r>
          </w:p>
        </w:tc>
        <w:tc>
          <w:tcPr>
            <w:tcW w:w="3360" w:type="dxa"/>
            <w:vAlign w:val="bottom"/>
            <w:tcBorders>
              <w:right w:val="single" w:sz="8" w:color="342C82"/>
            </w:tcBorders>
          </w:tcPr>
          <w:p>
            <w:pPr>
              <w:ind w:left="340"/>
              <w:spacing w:after="0"/>
              <w:rPr>
                <w:sz w:val="20"/>
                <w:szCs w:val="20"/>
                <w:color w:val="auto"/>
              </w:rPr>
            </w:pPr>
            <w:r>
              <w:rPr>
                <w:rFonts w:ascii="Arial" w:cs="Arial" w:eastAsia="Arial" w:hAnsi="Arial"/>
                <w:sz w:val="16"/>
                <w:szCs w:val="16"/>
                <w:color w:val="auto"/>
              </w:rPr>
              <w:t>equity awards without stockholder</w:t>
            </w:r>
          </w:p>
        </w:tc>
      </w:tr>
      <w:tr>
        <w:trPr>
          <w:trHeight w:val="216"/>
        </w:trPr>
        <w:tc>
          <w:tcPr>
            <w:tcW w:w="1700" w:type="dxa"/>
            <w:vAlign w:val="bottom"/>
            <w:tcBorders>
              <w:left w:val="single" w:sz="8" w:color="342C82"/>
              <w:right w:val="single" w:sz="8" w:color="342C82"/>
            </w:tcBorders>
          </w:tcPr>
          <w:p>
            <w:pPr>
              <w:spacing w:after="0"/>
              <w:rPr>
                <w:sz w:val="18"/>
                <w:szCs w:val="18"/>
                <w:color w:val="auto"/>
              </w:rPr>
            </w:pPr>
          </w:p>
        </w:tc>
        <w:tc>
          <w:tcPr>
            <w:tcW w:w="3380" w:type="dxa"/>
            <w:vAlign w:val="bottom"/>
            <w:tcBorders>
              <w:right w:val="single" w:sz="8" w:color="342C82"/>
            </w:tcBorders>
          </w:tcPr>
          <w:p>
            <w:pPr>
              <w:ind w:left="180"/>
              <w:spacing w:after="0"/>
              <w:rPr>
                <w:sz w:val="20"/>
                <w:szCs w:val="20"/>
                <w:color w:val="auto"/>
              </w:rPr>
            </w:pPr>
            <w:r>
              <w:rPr>
                <w:rFonts w:ascii="Arial" w:cs="Arial" w:eastAsia="Arial" w:hAnsi="Arial"/>
                <w:sz w:val="16"/>
                <w:szCs w:val="16"/>
                <w:color w:val="auto"/>
              </w:rPr>
              <w:t>   “Double-trigger” change in control</w:t>
            </w:r>
          </w:p>
        </w:tc>
        <w:tc>
          <w:tcPr>
            <w:tcW w:w="3360" w:type="dxa"/>
            <w:vAlign w:val="bottom"/>
            <w:tcBorders>
              <w:right w:val="single" w:sz="8" w:color="342C82"/>
            </w:tcBorders>
          </w:tcPr>
          <w:p>
            <w:pPr>
              <w:ind w:left="340"/>
              <w:spacing w:after="0"/>
              <w:rPr>
                <w:sz w:val="20"/>
                <w:szCs w:val="20"/>
                <w:color w:val="auto"/>
              </w:rPr>
            </w:pPr>
            <w:r>
              <w:rPr>
                <w:rFonts w:ascii="Arial" w:cs="Arial" w:eastAsia="Arial" w:hAnsi="Arial"/>
                <w:sz w:val="16"/>
                <w:szCs w:val="16"/>
                <w:color w:val="auto"/>
              </w:rPr>
              <w:t>approval.</w:t>
            </w:r>
          </w:p>
        </w:tc>
      </w:tr>
      <w:tr>
        <w:trPr>
          <w:trHeight w:val="189"/>
        </w:trPr>
        <w:tc>
          <w:tcPr>
            <w:tcW w:w="1700" w:type="dxa"/>
            <w:vAlign w:val="bottom"/>
            <w:tcBorders>
              <w:left w:val="single" w:sz="8" w:color="342C82"/>
              <w:right w:val="single" w:sz="8" w:color="342C82"/>
            </w:tcBorders>
          </w:tcPr>
          <w:p>
            <w:pPr>
              <w:spacing w:after="0"/>
              <w:rPr>
                <w:sz w:val="16"/>
                <w:szCs w:val="16"/>
                <w:color w:val="auto"/>
              </w:rPr>
            </w:pPr>
          </w:p>
        </w:tc>
        <w:tc>
          <w:tcPr>
            <w:tcW w:w="3380" w:type="dxa"/>
            <w:vAlign w:val="bottom"/>
            <w:tcBorders>
              <w:right w:val="single" w:sz="8" w:color="342C82"/>
            </w:tcBorders>
          </w:tcPr>
          <w:p>
            <w:pPr>
              <w:ind w:left="360"/>
              <w:spacing w:after="0"/>
              <w:rPr>
                <w:sz w:val="20"/>
                <w:szCs w:val="20"/>
                <w:color w:val="auto"/>
              </w:rPr>
            </w:pPr>
            <w:r>
              <w:rPr>
                <w:rFonts w:ascii="Arial" w:cs="Arial" w:eastAsia="Arial" w:hAnsi="Arial"/>
                <w:sz w:val="16"/>
                <w:szCs w:val="16"/>
                <w:color w:val="auto"/>
              </w:rPr>
              <w:t>agreements. Our unvested equity</w:t>
            </w:r>
          </w:p>
        </w:tc>
        <w:tc>
          <w:tcPr>
            <w:tcW w:w="3360" w:type="dxa"/>
            <w:vAlign w:val="bottom"/>
            <w:tcBorders>
              <w:right w:val="single" w:sz="8" w:color="342C82"/>
            </w:tcBorders>
          </w:tcPr>
          <w:p>
            <w:pPr>
              <w:ind w:left="180"/>
              <w:spacing w:after="0"/>
              <w:rPr>
                <w:sz w:val="20"/>
                <w:szCs w:val="20"/>
                <w:color w:val="auto"/>
              </w:rPr>
            </w:pPr>
            <w:r>
              <w:rPr>
                <w:rFonts w:ascii="Arial" w:cs="Arial" w:eastAsia="Arial" w:hAnsi="Arial"/>
                <w:sz w:val="16"/>
                <w:szCs w:val="16"/>
                <w:color w:val="auto"/>
              </w:rPr>
              <w:t>   Prohibition on executives pledging</w:t>
            </w:r>
          </w:p>
        </w:tc>
      </w:tr>
      <w:tr>
        <w:trPr>
          <w:trHeight w:val="189"/>
        </w:trPr>
        <w:tc>
          <w:tcPr>
            <w:tcW w:w="1700" w:type="dxa"/>
            <w:vAlign w:val="bottom"/>
            <w:tcBorders>
              <w:left w:val="single" w:sz="8" w:color="342C82"/>
              <w:right w:val="single" w:sz="8" w:color="342C82"/>
            </w:tcBorders>
          </w:tcPr>
          <w:p>
            <w:pPr>
              <w:spacing w:after="0"/>
              <w:rPr>
                <w:sz w:val="16"/>
                <w:szCs w:val="16"/>
                <w:color w:val="auto"/>
              </w:rPr>
            </w:pPr>
          </w:p>
        </w:tc>
        <w:tc>
          <w:tcPr>
            <w:tcW w:w="3380" w:type="dxa"/>
            <w:vAlign w:val="bottom"/>
            <w:tcBorders>
              <w:right w:val="single" w:sz="8" w:color="342C82"/>
            </w:tcBorders>
          </w:tcPr>
          <w:p>
            <w:pPr>
              <w:ind w:left="360"/>
              <w:spacing w:after="0"/>
              <w:rPr>
                <w:sz w:val="20"/>
                <w:szCs w:val="20"/>
                <w:color w:val="auto"/>
              </w:rPr>
            </w:pPr>
            <w:r>
              <w:rPr>
                <w:rFonts w:ascii="Arial" w:cs="Arial" w:eastAsia="Arial" w:hAnsi="Arial"/>
                <w:sz w:val="16"/>
                <w:szCs w:val="16"/>
                <w:color w:val="auto"/>
              </w:rPr>
              <w:t>compensation awards also have a</w:t>
            </w:r>
          </w:p>
        </w:tc>
        <w:tc>
          <w:tcPr>
            <w:tcW w:w="3360" w:type="dxa"/>
            <w:vAlign w:val="bottom"/>
            <w:tcBorders>
              <w:right w:val="single" w:sz="8" w:color="342C82"/>
            </w:tcBorders>
          </w:tcPr>
          <w:p>
            <w:pPr>
              <w:ind w:left="340"/>
              <w:spacing w:after="0"/>
              <w:rPr>
                <w:sz w:val="20"/>
                <w:szCs w:val="20"/>
                <w:color w:val="auto"/>
              </w:rPr>
            </w:pPr>
            <w:r>
              <w:rPr>
                <w:rFonts w:ascii="Arial" w:cs="Arial" w:eastAsia="Arial" w:hAnsi="Arial"/>
                <w:sz w:val="16"/>
                <w:szCs w:val="16"/>
                <w:color w:val="auto"/>
              </w:rPr>
              <w:t>Embecta shares or hedging against the</w:t>
            </w:r>
          </w:p>
        </w:tc>
      </w:tr>
      <w:tr>
        <w:trPr>
          <w:trHeight w:val="189"/>
        </w:trPr>
        <w:tc>
          <w:tcPr>
            <w:tcW w:w="1700" w:type="dxa"/>
            <w:vAlign w:val="bottom"/>
            <w:tcBorders>
              <w:left w:val="single" w:sz="8" w:color="342C82"/>
              <w:right w:val="single" w:sz="8" w:color="342C82"/>
            </w:tcBorders>
          </w:tcPr>
          <w:p>
            <w:pPr>
              <w:spacing w:after="0"/>
              <w:rPr>
                <w:sz w:val="16"/>
                <w:szCs w:val="16"/>
                <w:color w:val="auto"/>
              </w:rPr>
            </w:pPr>
          </w:p>
        </w:tc>
        <w:tc>
          <w:tcPr>
            <w:tcW w:w="3380" w:type="dxa"/>
            <w:vAlign w:val="bottom"/>
            <w:tcBorders>
              <w:right w:val="single" w:sz="8" w:color="342C82"/>
            </w:tcBorders>
          </w:tcPr>
          <w:p>
            <w:pPr>
              <w:ind w:left="360"/>
              <w:spacing w:after="0"/>
              <w:rPr>
                <w:sz w:val="20"/>
                <w:szCs w:val="20"/>
                <w:color w:val="auto"/>
              </w:rPr>
            </w:pPr>
            <w:r>
              <w:rPr>
                <w:rFonts w:ascii="Arial" w:cs="Arial" w:eastAsia="Arial" w:hAnsi="Arial"/>
                <w:sz w:val="16"/>
                <w:szCs w:val="16"/>
                <w:color w:val="auto"/>
              </w:rPr>
              <w:t>double-trigger accelerated vesting</w:t>
            </w:r>
          </w:p>
        </w:tc>
        <w:tc>
          <w:tcPr>
            <w:tcW w:w="3360" w:type="dxa"/>
            <w:vAlign w:val="bottom"/>
            <w:tcBorders>
              <w:right w:val="single" w:sz="8" w:color="342C82"/>
            </w:tcBorders>
          </w:tcPr>
          <w:p>
            <w:pPr>
              <w:ind w:left="340"/>
              <w:spacing w:after="0"/>
              <w:rPr>
                <w:sz w:val="20"/>
                <w:szCs w:val="20"/>
                <w:color w:val="auto"/>
              </w:rPr>
            </w:pPr>
            <w:r>
              <w:rPr>
                <w:rFonts w:ascii="Arial" w:cs="Arial" w:eastAsia="Arial" w:hAnsi="Arial"/>
                <w:sz w:val="16"/>
                <w:szCs w:val="16"/>
                <w:color w:val="auto"/>
              </w:rPr>
              <w:t>economic risk of ownership.</w:t>
            </w:r>
          </w:p>
        </w:tc>
      </w:tr>
      <w:tr>
        <w:trPr>
          <w:trHeight w:val="216"/>
        </w:trPr>
        <w:tc>
          <w:tcPr>
            <w:tcW w:w="1700" w:type="dxa"/>
            <w:vAlign w:val="bottom"/>
            <w:tcBorders>
              <w:left w:val="single" w:sz="8" w:color="342C82"/>
              <w:right w:val="single" w:sz="8" w:color="342C82"/>
            </w:tcBorders>
          </w:tcPr>
          <w:p>
            <w:pPr>
              <w:ind w:left="120"/>
              <w:spacing w:after="0"/>
              <w:rPr>
                <w:sz w:val="20"/>
                <w:szCs w:val="20"/>
                <w:color w:val="auto"/>
              </w:rPr>
            </w:pPr>
            <w:r>
              <w:rPr>
                <w:rFonts w:ascii="Arial" w:cs="Arial" w:eastAsia="Arial" w:hAnsi="Arial"/>
                <w:sz w:val="16"/>
                <w:szCs w:val="16"/>
                <w:b w:val="1"/>
                <w:bCs w:val="1"/>
                <w:color w:val="342C82"/>
              </w:rPr>
              <w:t>Strong</w:t>
            </w:r>
          </w:p>
        </w:tc>
        <w:tc>
          <w:tcPr>
            <w:tcW w:w="3380" w:type="dxa"/>
            <w:vAlign w:val="bottom"/>
            <w:tcBorders>
              <w:right w:val="single" w:sz="8" w:color="342C82"/>
            </w:tcBorders>
          </w:tcPr>
          <w:p>
            <w:pPr>
              <w:ind w:left="360"/>
              <w:spacing w:after="0"/>
              <w:rPr>
                <w:sz w:val="20"/>
                <w:szCs w:val="20"/>
                <w:color w:val="auto"/>
              </w:rPr>
            </w:pPr>
            <w:r>
              <w:rPr>
                <w:rFonts w:ascii="Arial" w:cs="Arial" w:eastAsia="Arial" w:hAnsi="Arial"/>
                <w:sz w:val="16"/>
                <w:szCs w:val="16"/>
                <w:color w:val="auto"/>
              </w:rPr>
              <w:t>provision.</w:t>
            </w:r>
          </w:p>
        </w:tc>
        <w:tc>
          <w:tcPr>
            <w:tcW w:w="3360" w:type="dxa"/>
            <w:vAlign w:val="bottom"/>
            <w:tcBorders>
              <w:right w:val="single" w:sz="8" w:color="342C82"/>
            </w:tcBorders>
          </w:tcPr>
          <w:p>
            <w:pPr>
              <w:ind w:left="180"/>
              <w:spacing w:after="0"/>
              <w:rPr>
                <w:sz w:val="20"/>
                <w:szCs w:val="20"/>
                <w:color w:val="auto"/>
              </w:rPr>
            </w:pPr>
            <w:r>
              <w:rPr>
                <w:rFonts w:ascii="Arial" w:cs="Arial" w:eastAsia="Arial" w:hAnsi="Arial"/>
                <w:sz w:val="16"/>
                <w:szCs w:val="16"/>
                <w:color w:val="auto"/>
              </w:rPr>
              <w:t>   No excise tax “gross-ups” in our change</w:t>
            </w:r>
          </w:p>
        </w:tc>
      </w:tr>
      <w:tr>
        <w:trPr>
          <w:trHeight w:val="189"/>
        </w:trPr>
        <w:tc>
          <w:tcPr>
            <w:tcW w:w="1700" w:type="dxa"/>
            <w:vAlign w:val="bottom"/>
            <w:tcBorders>
              <w:left w:val="single" w:sz="8" w:color="342C82"/>
              <w:right w:val="single" w:sz="8" w:color="342C82"/>
            </w:tcBorders>
          </w:tcPr>
          <w:p>
            <w:pPr>
              <w:ind w:left="120"/>
              <w:spacing w:after="0"/>
              <w:rPr>
                <w:sz w:val="20"/>
                <w:szCs w:val="20"/>
                <w:color w:val="auto"/>
              </w:rPr>
            </w:pPr>
            <w:r>
              <w:rPr>
                <w:rFonts w:ascii="Arial" w:cs="Arial" w:eastAsia="Arial" w:hAnsi="Arial"/>
                <w:sz w:val="16"/>
                <w:szCs w:val="16"/>
                <w:b w:val="1"/>
                <w:bCs w:val="1"/>
                <w:color w:val="342C82"/>
              </w:rPr>
              <w:t>Compensation</w:t>
            </w:r>
          </w:p>
        </w:tc>
        <w:tc>
          <w:tcPr>
            <w:tcW w:w="3380" w:type="dxa"/>
            <w:vAlign w:val="bottom"/>
            <w:tcBorders>
              <w:right w:val="single" w:sz="8" w:color="342C82"/>
            </w:tcBorders>
          </w:tcPr>
          <w:p>
            <w:pPr>
              <w:ind w:left="180"/>
              <w:spacing w:after="0"/>
              <w:rPr>
                <w:sz w:val="20"/>
                <w:szCs w:val="20"/>
                <w:color w:val="auto"/>
              </w:rPr>
            </w:pPr>
            <w:r>
              <w:rPr>
                <w:rFonts w:ascii="Arial" w:cs="Arial" w:eastAsia="Arial" w:hAnsi="Arial"/>
                <w:sz w:val="16"/>
                <w:szCs w:val="16"/>
                <w:color w:val="auto"/>
              </w:rPr>
              <w:t>   Clawback policy that provides for</w:t>
            </w:r>
          </w:p>
        </w:tc>
        <w:tc>
          <w:tcPr>
            <w:tcW w:w="3360" w:type="dxa"/>
            <w:vAlign w:val="bottom"/>
            <w:tcBorders>
              <w:right w:val="single" w:sz="8" w:color="342C82"/>
            </w:tcBorders>
          </w:tcPr>
          <w:p>
            <w:pPr>
              <w:ind w:left="340"/>
              <w:spacing w:after="0"/>
              <w:rPr>
                <w:sz w:val="20"/>
                <w:szCs w:val="20"/>
                <w:color w:val="auto"/>
              </w:rPr>
            </w:pPr>
            <w:r>
              <w:rPr>
                <w:rFonts w:ascii="Arial" w:cs="Arial" w:eastAsia="Arial" w:hAnsi="Arial"/>
                <w:sz w:val="16"/>
                <w:szCs w:val="16"/>
                <w:color w:val="auto"/>
              </w:rPr>
              <w:t>in control and severance policy.</w:t>
            </w:r>
          </w:p>
        </w:tc>
      </w:tr>
      <w:tr>
        <w:trPr>
          <w:trHeight w:val="217"/>
        </w:trPr>
        <w:tc>
          <w:tcPr>
            <w:tcW w:w="1700" w:type="dxa"/>
            <w:vAlign w:val="bottom"/>
            <w:tcBorders>
              <w:left w:val="single" w:sz="8" w:color="342C82"/>
              <w:right w:val="single" w:sz="8" w:color="342C82"/>
            </w:tcBorders>
          </w:tcPr>
          <w:p>
            <w:pPr>
              <w:ind w:left="120"/>
              <w:spacing w:after="0"/>
              <w:rPr>
                <w:sz w:val="20"/>
                <w:szCs w:val="20"/>
                <w:color w:val="auto"/>
              </w:rPr>
            </w:pPr>
            <w:r>
              <w:rPr>
                <w:rFonts w:ascii="Arial" w:cs="Arial" w:eastAsia="Arial" w:hAnsi="Arial"/>
                <w:sz w:val="16"/>
                <w:szCs w:val="16"/>
                <w:b w:val="1"/>
                <w:bCs w:val="1"/>
                <w:color w:val="342C82"/>
              </w:rPr>
              <w:t>Policies</w:t>
            </w:r>
          </w:p>
        </w:tc>
        <w:tc>
          <w:tcPr>
            <w:tcW w:w="3380" w:type="dxa"/>
            <w:vAlign w:val="bottom"/>
            <w:tcBorders>
              <w:right w:val="single" w:sz="8" w:color="342C82"/>
            </w:tcBorders>
          </w:tcPr>
          <w:p>
            <w:pPr>
              <w:ind w:left="360"/>
              <w:spacing w:after="0"/>
              <w:rPr>
                <w:sz w:val="20"/>
                <w:szCs w:val="20"/>
                <w:color w:val="auto"/>
              </w:rPr>
            </w:pPr>
            <w:r>
              <w:rPr>
                <w:rFonts w:ascii="Arial" w:cs="Arial" w:eastAsia="Arial" w:hAnsi="Arial"/>
                <w:sz w:val="16"/>
                <w:szCs w:val="16"/>
                <w:color w:val="auto"/>
              </w:rPr>
              <w:t>recoupment of compensation in</w:t>
            </w:r>
          </w:p>
        </w:tc>
        <w:tc>
          <w:tcPr>
            <w:tcW w:w="3360" w:type="dxa"/>
            <w:vAlign w:val="bottom"/>
            <w:tcBorders>
              <w:right w:val="single" w:sz="8" w:color="342C82"/>
            </w:tcBorders>
          </w:tcPr>
          <w:p>
            <w:pPr>
              <w:ind w:left="180"/>
              <w:spacing w:after="0"/>
              <w:rPr>
                <w:sz w:val="20"/>
                <w:szCs w:val="20"/>
                <w:color w:val="auto"/>
              </w:rPr>
            </w:pPr>
            <w:r>
              <w:rPr>
                <w:rFonts w:ascii="Arial" w:cs="Arial" w:eastAsia="Arial" w:hAnsi="Arial"/>
                <w:sz w:val="16"/>
                <w:szCs w:val="16"/>
                <w:color w:val="auto"/>
              </w:rPr>
              <w:t>   Limited executive perquisites.</w:t>
            </w:r>
          </w:p>
        </w:tc>
      </w:tr>
      <w:tr>
        <w:trPr>
          <w:trHeight w:val="175"/>
        </w:trPr>
        <w:tc>
          <w:tcPr>
            <w:tcW w:w="1700" w:type="dxa"/>
            <w:vAlign w:val="bottom"/>
            <w:tcBorders>
              <w:left w:val="single" w:sz="8" w:color="342C82"/>
              <w:right w:val="single" w:sz="8" w:color="342C82"/>
            </w:tcBorders>
          </w:tcPr>
          <w:p>
            <w:pPr>
              <w:spacing w:after="0"/>
              <w:rPr>
                <w:sz w:val="15"/>
                <w:szCs w:val="15"/>
                <w:color w:val="auto"/>
              </w:rPr>
            </w:pPr>
          </w:p>
        </w:tc>
        <w:tc>
          <w:tcPr>
            <w:tcW w:w="3380" w:type="dxa"/>
            <w:vAlign w:val="bottom"/>
            <w:tcBorders>
              <w:right w:val="single" w:sz="8" w:color="342C82"/>
            </w:tcBorders>
          </w:tcPr>
          <w:p>
            <w:pPr>
              <w:ind w:left="360"/>
              <w:spacing w:after="0" w:line="175" w:lineRule="exact"/>
              <w:rPr>
                <w:sz w:val="20"/>
                <w:szCs w:val="20"/>
                <w:color w:val="auto"/>
              </w:rPr>
            </w:pPr>
            <w:r>
              <w:rPr>
                <w:rFonts w:ascii="Arial" w:cs="Arial" w:eastAsia="Arial" w:hAnsi="Arial"/>
                <w:sz w:val="16"/>
                <w:szCs w:val="16"/>
                <w:color w:val="auto"/>
              </w:rPr>
              <w:t>connection with restatements of financial</w:t>
            </w:r>
          </w:p>
        </w:tc>
        <w:tc>
          <w:tcPr>
            <w:tcW w:w="3360" w:type="dxa"/>
            <w:vAlign w:val="bottom"/>
            <w:tcBorders>
              <w:right w:val="single" w:sz="8" w:color="342C82"/>
            </w:tcBorders>
          </w:tcPr>
          <w:p>
            <w:pPr>
              <w:spacing w:after="0"/>
              <w:rPr>
                <w:sz w:val="15"/>
                <w:szCs w:val="15"/>
                <w:color w:val="auto"/>
              </w:rPr>
            </w:pPr>
          </w:p>
        </w:tc>
      </w:tr>
      <w:tr>
        <w:trPr>
          <w:trHeight w:val="189"/>
        </w:trPr>
        <w:tc>
          <w:tcPr>
            <w:tcW w:w="1700" w:type="dxa"/>
            <w:vAlign w:val="bottom"/>
            <w:tcBorders>
              <w:left w:val="single" w:sz="8" w:color="342C82"/>
              <w:right w:val="single" w:sz="8" w:color="342C82"/>
            </w:tcBorders>
          </w:tcPr>
          <w:p>
            <w:pPr>
              <w:spacing w:after="0"/>
              <w:rPr>
                <w:sz w:val="16"/>
                <w:szCs w:val="16"/>
                <w:color w:val="auto"/>
              </w:rPr>
            </w:pPr>
          </w:p>
        </w:tc>
        <w:tc>
          <w:tcPr>
            <w:tcW w:w="3380" w:type="dxa"/>
            <w:vAlign w:val="bottom"/>
            <w:tcBorders>
              <w:right w:val="single" w:sz="8" w:color="342C82"/>
            </w:tcBorders>
          </w:tcPr>
          <w:p>
            <w:pPr>
              <w:ind w:left="360"/>
              <w:spacing w:after="0"/>
              <w:rPr>
                <w:sz w:val="20"/>
                <w:szCs w:val="20"/>
                <w:color w:val="auto"/>
              </w:rPr>
            </w:pPr>
            <w:r>
              <w:rPr>
                <w:rFonts w:ascii="Arial" w:cs="Arial" w:eastAsia="Arial" w:hAnsi="Arial"/>
                <w:sz w:val="16"/>
                <w:szCs w:val="16"/>
                <w:color w:val="auto"/>
              </w:rPr>
              <w:t>results, regardless of individual</w:t>
            </w:r>
          </w:p>
        </w:tc>
        <w:tc>
          <w:tcPr>
            <w:tcW w:w="3360" w:type="dxa"/>
            <w:vAlign w:val="bottom"/>
            <w:tcBorders>
              <w:right w:val="single" w:sz="8" w:color="342C82"/>
            </w:tcBorders>
          </w:tcPr>
          <w:p>
            <w:pPr>
              <w:spacing w:after="0"/>
              <w:rPr>
                <w:sz w:val="16"/>
                <w:szCs w:val="16"/>
                <w:color w:val="auto"/>
              </w:rPr>
            </w:pPr>
          </w:p>
        </w:tc>
      </w:tr>
      <w:tr>
        <w:trPr>
          <w:trHeight w:val="189"/>
        </w:trPr>
        <w:tc>
          <w:tcPr>
            <w:tcW w:w="1700" w:type="dxa"/>
            <w:vAlign w:val="bottom"/>
            <w:tcBorders>
              <w:left w:val="single" w:sz="8" w:color="342C82"/>
              <w:right w:val="single" w:sz="8" w:color="342C82"/>
            </w:tcBorders>
          </w:tcPr>
          <w:p>
            <w:pPr>
              <w:spacing w:after="0"/>
              <w:rPr>
                <w:sz w:val="16"/>
                <w:szCs w:val="16"/>
                <w:color w:val="auto"/>
              </w:rPr>
            </w:pPr>
          </w:p>
        </w:tc>
        <w:tc>
          <w:tcPr>
            <w:tcW w:w="3380" w:type="dxa"/>
            <w:vAlign w:val="bottom"/>
            <w:tcBorders>
              <w:right w:val="single" w:sz="8" w:color="342C82"/>
            </w:tcBorders>
          </w:tcPr>
          <w:p>
            <w:pPr>
              <w:ind w:left="360"/>
              <w:spacing w:after="0"/>
              <w:rPr>
                <w:sz w:val="20"/>
                <w:szCs w:val="20"/>
                <w:color w:val="auto"/>
              </w:rPr>
            </w:pPr>
            <w:r>
              <w:rPr>
                <w:rFonts w:ascii="Arial" w:cs="Arial" w:eastAsia="Arial" w:hAnsi="Arial"/>
                <w:sz w:val="16"/>
                <w:szCs w:val="16"/>
                <w:color w:val="auto"/>
              </w:rPr>
              <w:t>misconduct, in compliance with Nasdaq</w:t>
            </w:r>
          </w:p>
        </w:tc>
        <w:tc>
          <w:tcPr>
            <w:tcW w:w="3360" w:type="dxa"/>
            <w:vAlign w:val="bottom"/>
            <w:tcBorders>
              <w:right w:val="single" w:sz="8" w:color="342C82"/>
            </w:tcBorders>
          </w:tcPr>
          <w:p>
            <w:pPr>
              <w:spacing w:after="0"/>
              <w:rPr>
                <w:sz w:val="16"/>
                <w:szCs w:val="16"/>
                <w:color w:val="auto"/>
              </w:rPr>
            </w:pPr>
          </w:p>
        </w:tc>
      </w:tr>
      <w:tr>
        <w:trPr>
          <w:trHeight w:val="189"/>
        </w:trPr>
        <w:tc>
          <w:tcPr>
            <w:tcW w:w="1700" w:type="dxa"/>
            <w:vAlign w:val="bottom"/>
            <w:tcBorders>
              <w:left w:val="single" w:sz="8" w:color="342C82"/>
              <w:right w:val="single" w:sz="8" w:color="342C82"/>
            </w:tcBorders>
          </w:tcPr>
          <w:p>
            <w:pPr>
              <w:spacing w:after="0"/>
              <w:rPr>
                <w:sz w:val="16"/>
                <w:szCs w:val="16"/>
                <w:color w:val="auto"/>
              </w:rPr>
            </w:pPr>
          </w:p>
        </w:tc>
        <w:tc>
          <w:tcPr>
            <w:tcW w:w="3380" w:type="dxa"/>
            <w:vAlign w:val="bottom"/>
            <w:tcBorders>
              <w:right w:val="single" w:sz="8" w:color="342C82"/>
            </w:tcBorders>
          </w:tcPr>
          <w:p>
            <w:pPr>
              <w:ind w:left="360"/>
              <w:spacing w:after="0"/>
              <w:rPr>
                <w:sz w:val="20"/>
                <w:szCs w:val="20"/>
                <w:color w:val="auto"/>
              </w:rPr>
            </w:pPr>
            <w:r>
              <w:rPr>
                <w:rFonts w:ascii="Arial" w:cs="Arial" w:eastAsia="Arial" w:hAnsi="Arial"/>
                <w:sz w:val="16"/>
                <w:szCs w:val="16"/>
                <w:color w:val="auto"/>
              </w:rPr>
              <w:t>Global Select Market’s (“Nasdaq”) listing</w:t>
            </w:r>
          </w:p>
        </w:tc>
        <w:tc>
          <w:tcPr>
            <w:tcW w:w="3360" w:type="dxa"/>
            <w:vAlign w:val="bottom"/>
            <w:tcBorders>
              <w:right w:val="single" w:sz="8" w:color="342C82"/>
            </w:tcBorders>
          </w:tcPr>
          <w:p>
            <w:pPr>
              <w:spacing w:after="0"/>
              <w:rPr>
                <w:sz w:val="16"/>
                <w:szCs w:val="16"/>
                <w:color w:val="auto"/>
              </w:rPr>
            </w:pPr>
          </w:p>
        </w:tc>
      </w:tr>
      <w:tr>
        <w:trPr>
          <w:trHeight w:val="215"/>
        </w:trPr>
        <w:tc>
          <w:tcPr>
            <w:tcW w:w="1700" w:type="dxa"/>
            <w:vAlign w:val="bottom"/>
            <w:tcBorders>
              <w:left w:val="single" w:sz="8" w:color="342C82"/>
              <w:right w:val="single" w:sz="8" w:color="342C82"/>
            </w:tcBorders>
          </w:tcPr>
          <w:p>
            <w:pPr>
              <w:spacing w:after="0"/>
              <w:rPr>
                <w:sz w:val="18"/>
                <w:szCs w:val="18"/>
                <w:color w:val="auto"/>
              </w:rPr>
            </w:pPr>
          </w:p>
        </w:tc>
        <w:tc>
          <w:tcPr>
            <w:tcW w:w="3380" w:type="dxa"/>
            <w:vAlign w:val="bottom"/>
            <w:tcBorders>
              <w:right w:val="single" w:sz="8" w:color="342C82"/>
            </w:tcBorders>
          </w:tcPr>
          <w:p>
            <w:pPr>
              <w:ind w:left="360"/>
              <w:spacing w:after="0"/>
              <w:rPr>
                <w:sz w:val="20"/>
                <w:szCs w:val="20"/>
                <w:color w:val="auto"/>
              </w:rPr>
            </w:pPr>
            <w:r>
              <w:rPr>
                <w:rFonts w:ascii="Arial" w:cs="Arial" w:eastAsia="Arial" w:hAnsi="Arial"/>
                <w:sz w:val="16"/>
                <w:szCs w:val="16"/>
                <w:color w:val="auto"/>
              </w:rPr>
              <w:t>rules.</w:t>
            </w:r>
          </w:p>
        </w:tc>
        <w:tc>
          <w:tcPr>
            <w:tcW w:w="3360" w:type="dxa"/>
            <w:vAlign w:val="bottom"/>
            <w:tcBorders>
              <w:right w:val="single" w:sz="8" w:color="342C82"/>
            </w:tcBorders>
          </w:tcPr>
          <w:p>
            <w:pPr>
              <w:spacing w:after="0"/>
              <w:rPr>
                <w:sz w:val="18"/>
                <w:szCs w:val="18"/>
                <w:color w:val="auto"/>
              </w:rPr>
            </w:pPr>
          </w:p>
        </w:tc>
      </w:tr>
      <w:tr>
        <w:trPr>
          <w:trHeight w:val="230"/>
        </w:trPr>
        <w:tc>
          <w:tcPr>
            <w:tcW w:w="1700" w:type="dxa"/>
            <w:vAlign w:val="bottom"/>
            <w:tcBorders>
              <w:left w:val="single" w:sz="8" w:color="342C82"/>
              <w:right w:val="single" w:sz="8" w:color="342C82"/>
            </w:tcBorders>
          </w:tcPr>
          <w:p>
            <w:pPr>
              <w:spacing w:after="0"/>
              <w:rPr>
                <w:sz w:val="19"/>
                <w:szCs w:val="19"/>
                <w:color w:val="auto"/>
              </w:rPr>
            </w:pPr>
          </w:p>
        </w:tc>
        <w:tc>
          <w:tcPr>
            <w:tcW w:w="3380" w:type="dxa"/>
            <w:vAlign w:val="bottom"/>
            <w:tcBorders>
              <w:right w:val="single" w:sz="8" w:color="342C82"/>
            </w:tcBorders>
          </w:tcPr>
          <w:p>
            <w:pPr>
              <w:ind w:left="180"/>
              <w:spacing w:after="0"/>
              <w:rPr>
                <w:sz w:val="20"/>
                <w:szCs w:val="20"/>
                <w:color w:val="auto"/>
              </w:rPr>
            </w:pPr>
            <w:r>
              <w:rPr>
                <w:rFonts w:ascii="Arial" w:cs="Arial" w:eastAsia="Arial" w:hAnsi="Arial"/>
                <w:sz w:val="16"/>
                <w:szCs w:val="16"/>
                <w:color w:val="auto"/>
              </w:rPr>
              <w:t>   Annual say-on-pay vote.</w:t>
            </w:r>
          </w:p>
        </w:tc>
        <w:tc>
          <w:tcPr>
            <w:tcW w:w="3360" w:type="dxa"/>
            <w:vAlign w:val="bottom"/>
            <w:tcBorders>
              <w:right w:val="single" w:sz="8" w:color="342C82"/>
            </w:tcBorders>
          </w:tcPr>
          <w:p>
            <w:pPr>
              <w:spacing w:after="0"/>
              <w:rPr>
                <w:sz w:val="19"/>
                <w:szCs w:val="19"/>
                <w:color w:val="auto"/>
              </w:rPr>
            </w:pPr>
          </w:p>
        </w:tc>
      </w:tr>
      <w:tr>
        <w:trPr>
          <w:trHeight w:val="39"/>
        </w:trPr>
        <w:tc>
          <w:tcPr>
            <w:tcW w:w="1700" w:type="dxa"/>
            <w:vAlign w:val="bottom"/>
            <w:tcBorders>
              <w:left w:val="single" w:sz="8" w:color="342C82"/>
              <w:bottom w:val="single" w:sz="8" w:color="342C82"/>
              <w:right w:val="single" w:sz="8" w:color="342C82"/>
            </w:tcBorders>
          </w:tcPr>
          <w:p>
            <w:pPr>
              <w:spacing w:after="0"/>
              <w:rPr>
                <w:sz w:val="3"/>
                <w:szCs w:val="3"/>
                <w:color w:val="auto"/>
              </w:rPr>
            </w:pPr>
          </w:p>
        </w:tc>
        <w:tc>
          <w:tcPr>
            <w:tcW w:w="3380" w:type="dxa"/>
            <w:vAlign w:val="bottom"/>
            <w:tcBorders>
              <w:bottom w:val="single" w:sz="8" w:color="342C82"/>
              <w:right w:val="single" w:sz="8" w:color="342C82"/>
            </w:tcBorders>
          </w:tcPr>
          <w:p>
            <w:pPr>
              <w:spacing w:after="0"/>
              <w:rPr>
                <w:sz w:val="3"/>
                <w:szCs w:val="3"/>
                <w:color w:val="auto"/>
              </w:rPr>
            </w:pPr>
          </w:p>
        </w:tc>
        <w:tc>
          <w:tcPr>
            <w:tcW w:w="3360" w:type="dxa"/>
            <w:vAlign w:val="bottom"/>
            <w:tcBorders>
              <w:bottom w:val="single" w:sz="8" w:color="342C82"/>
              <w:right w:val="single" w:sz="8" w:color="342C82"/>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-3876040</wp:posOffset>
            </wp:positionV>
            <wp:extent cx="76835" cy="685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68580"/>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-3378835</wp:posOffset>
            </wp:positionV>
            <wp:extent cx="76835" cy="685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68580"/>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-3113405</wp:posOffset>
            </wp:positionV>
            <wp:extent cx="76835" cy="685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6858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-3867785</wp:posOffset>
            </wp:positionV>
            <wp:extent cx="60325" cy="603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325" cy="6032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-2675890</wp:posOffset>
            </wp:positionV>
            <wp:extent cx="76835" cy="685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6858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-2667635</wp:posOffset>
            </wp:positionV>
            <wp:extent cx="60325" cy="603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325" cy="6032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-2187575</wp:posOffset>
            </wp:positionV>
            <wp:extent cx="60325" cy="603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325" cy="6032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-1887220</wp:posOffset>
            </wp:positionV>
            <wp:extent cx="76835" cy="685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68580"/>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-1630045</wp:posOffset>
            </wp:positionV>
            <wp:extent cx="76835" cy="685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68580"/>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-1004570</wp:posOffset>
            </wp:positionV>
            <wp:extent cx="76835" cy="685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68580"/>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-138430</wp:posOffset>
            </wp:positionV>
            <wp:extent cx="76835" cy="685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6858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-1878965</wp:posOffset>
            </wp:positionV>
            <wp:extent cx="60325" cy="596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325" cy="5969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-1501775</wp:posOffset>
            </wp:positionV>
            <wp:extent cx="60325" cy="603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325" cy="6032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-1115695</wp:posOffset>
            </wp:positionV>
            <wp:extent cx="60325" cy="603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325" cy="6032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-850265</wp:posOffset>
            </wp:positionV>
            <wp:extent cx="60325" cy="596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325" cy="59690"/>
                    </a:xfrm>
                    <a:prstGeom prst="rect">
                      <a:avLst/>
                    </a:prstGeom>
                    <a:noFill/>
                  </pic:spPr>
                </pic:pic>
              </a:graphicData>
            </a:graphic>
          </wp:anchor>
        </w:drawing>
      </w:r>
    </w:p>
    <w:p>
      <w:pPr>
        <w:spacing w:after="0" w:line="179" w:lineRule="exact"/>
        <w:rPr>
          <w:sz w:val="20"/>
          <w:szCs w:val="20"/>
          <w:color w:val="auto"/>
        </w:rPr>
      </w:pPr>
    </w:p>
    <w:p>
      <w:pPr>
        <w:ind w:left="300" w:right="339"/>
        <w:spacing w:after="0" w:line="254" w:lineRule="auto"/>
        <w:rPr>
          <w:sz w:val="20"/>
          <w:szCs w:val="20"/>
          <w:color w:val="auto"/>
        </w:rPr>
      </w:pPr>
      <w:r>
        <w:rPr>
          <w:rFonts w:ascii="Arial" w:cs="Arial" w:eastAsia="Arial" w:hAnsi="Arial"/>
          <w:sz w:val="16"/>
          <w:szCs w:val="16"/>
          <w:color w:val="auto"/>
        </w:rPr>
        <w:t xml:space="preserve">The Compensation Discussion and Analysis beginning on page </w:t>
      </w:r>
      <w:r>
        <w:rPr>
          <w:rFonts w:ascii="Arial" w:cs="Arial" w:eastAsia="Arial" w:hAnsi="Arial"/>
          <w:sz w:val="16"/>
          <w:szCs w:val="16"/>
          <w:u w:val="single" w:color="auto"/>
          <w:color w:val="0000EE"/>
        </w:rPr>
        <w:t>34</w:t>
      </w:r>
      <w:r>
        <w:rPr>
          <w:rFonts w:ascii="Arial" w:cs="Arial" w:eastAsia="Arial" w:hAnsi="Arial"/>
          <w:sz w:val="16"/>
          <w:szCs w:val="16"/>
          <w:color w:val="auto"/>
        </w:rPr>
        <w:t xml:space="preserve"> of this proxy statement describes Embecta’s executive compensation program and the compensation decisions made with respect to our Chief Executive Officer (“CEO”) and the other executive officers named in the Summary Compensation Table on page </w:t>
      </w:r>
      <w:r>
        <w:rPr>
          <w:rFonts w:ascii="Arial" w:cs="Arial" w:eastAsia="Arial" w:hAnsi="Arial"/>
          <w:sz w:val="16"/>
          <w:szCs w:val="16"/>
          <w:u w:val="single" w:color="auto"/>
          <w:color w:val="0000EE"/>
        </w:rPr>
        <w:t>50</w:t>
      </w:r>
      <w:r>
        <w:rPr>
          <w:rFonts w:ascii="Arial" w:cs="Arial" w:eastAsia="Arial" w:hAnsi="Arial"/>
          <w:sz w:val="16"/>
          <w:szCs w:val="16"/>
          <w:color w:val="auto"/>
        </w:rPr>
        <w:t>. The Board believes that the information provided in the Compensation Discussion and Analysis and the executive compensation tables demonstrates that our executive compensation programs are appropriately designed, emphasize pay for performance and aligns management and stockholder interests.</w:t>
      </w:r>
    </w:p>
    <w:p>
      <w:pPr>
        <w:spacing w:after="0" w:line="128" w:lineRule="exact"/>
        <w:rPr>
          <w:sz w:val="20"/>
          <w:szCs w:val="20"/>
          <w:color w:val="auto"/>
        </w:rPr>
      </w:pPr>
    </w:p>
    <w:p>
      <w:pPr>
        <w:ind w:left="300" w:right="1179"/>
        <w:spacing w:after="0" w:line="286" w:lineRule="auto"/>
        <w:rPr>
          <w:sz w:val="20"/>
          <w:szCs w:val="20"/>
          <w:color w:val="auto"/>
        </w:rPr>
      </w:pPr>
      <w:r>
        <w:rPr>
          <w:rFonts w:ascii="Arial" w:cs="Arial" w:eastAsia="Arial" w:hAnsi="Arial"/>
          <w:sz w:val="16"/>
          <w:szCs w:val="16"/>
          <w:color w:val="auto"/>
        </w:rPr>
        <w:t>This vote is advisory, which means that it is not binding on Embecta, the Board, or the Compensation and Management Development Committee.</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123825</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6" w:lineRule="exact"/>
        <w:rPr>
          <w:sz w:val="20"/>
          <w:szCs w:val="20"/>
          <w:color w:val="auto"/>
        </w:rPr>
      </w:pPr>
    </w:p>
    <w:p>
      <w:pPr>
        <w:ind w:left="300"/>
        <w:spacing w:after="0"/>
        <w:rPr>
          <w:sz w:val="20"/>
          <w:szCs w:val="20"/>
          <w:color w:val="auto"/>
        </w:rPr>
      </w:pPr>
      <w:r>
        <w:rPr>
          <w:rFonts w:ascii="Arial" w:cs="Arial" w:eastAsia="Arial" w:hAnsi="Arial"/>
          <w:sz w:val="43"/>
          <w:szCs w:val="43"/>
          <w:color w:val="342C82"/>
        </w:rPr>
        <w:t>Table of contents</w:t>
      </w:r>
    </w:p>
    <w:p>
      <w:pPr>
        <w:spacing w:after="0" w:line="335" w:lineRule="exact"/>
        <w:rPr>
          <w:sz w:val="20"/>
          <w:szCs w:val="20"/>
          <w:color w:val="auto"/>
        </w:rPr>
      </w:pPr>
    </w:p>
    <w:tbl>
      <w:tblPr>
        <w:tblLayout w:type="fixed"/>
        <w:tblInd w:w="30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6200" w:type="dxa"/>
            <w:vAlign w:val="bottom"/>
            <w:gridSpan w:val="35"/>
          </w:tcPr>
          <w:p>
            <w:pPr>
              <w:spacing w:after="0"/>
              <w:rPr>
                <w:sz w:val="20"/>
                <w:szCs w:val="20"/>
                <w:color w:val="auto"/>
              </w:rPr>
            </w:pPr>
            <w:r>
              <w:rPr>
                <w:rFonts w:ascii="Arial" w:cs="Arial" w:eastAsia="Arial" w:hAnsi="Arial"/>
                <w:sz w:val="16"/>
                <w:szCs w:val="16"/>
                <w:color w:val="0000EE"/>
              </w:rPr>
              <w:t>Letter to our stockholders</w:t>
            </w:r>
          </w:p>
        </w:tc>
        <w:tc>
          <w:tcPr>
            <w:tcW w:w="1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6"/>
                <w:szCs w:val="16"/>
                <w:u w:val="single" w:color="auto"/>
                <w:color w:val="0000EE"/>
              </w:rPr>
              <w:t>i</w:t>
            </w:r>
          </w:p>
        </w:tc>
      </w:tr>
      <w:tr>
        <w:trPr>
          <w:trHeight w:val="48"/>
        </w:trPr>
        <w:tc>
          <w:tcPr>
            <w:tcW w:w="40" w:type="dxa"/>
            <w:vAlign w:val="bottom"/>
            <w:tcBorders>
              <w:bottom w:val="single" w:sz="8" w:color="342C82"/>
            </w:tcBorders>
          </w:tcPr>
          <w:p>
            <w:pPr>
              <w:spacing w:after="0"/>
              <w:rPr>
                <w:sz w:val="4"/>
                <w:szCs w:val="4"/>
                <w:color w:val="auto"/>
              </w:rPr>
            </w:pPr>
          </w:p>
        </w:tc>
        <w:tc>
          <w:tcPr>
            <w:tcW w:w="240" w:type="dxa"/>
            <w:vAlign w:val="bottom"/>
            <w:tcBorders>
              <w:top w:val="single" w:sz="8" w:color="0000EE"/>
              <w:bottom w:val="single" w:sz="8" w:color="342C82"/>
            </w:tcBorders>
          </w:tcPr>
          <w:p>
            <w:pPr>
              <w:spacing w:after="0"/>
              <w:rPr>
                <w:sz w:val="4"/>
                <w:szCs w:val="4"/>
                <w:color w:val="auto"/>
              </w:rPr>
            </w:pPr>
          </w:p>
        </w:tc>
        <w:tc>
          <w:tcPr>
            <w:tcW w:w="980" w:type="dxa"/>
            <w:vAlign w:val="bottom"/>
            <w:tcBorders>
              <w:top w:val="single" w:sz="8" w:color="0000EE"/>
              <w:bottom w:val="single" w:sz="8" w:color="342C82"/>
            </w:tcBorders>
          </w:tcPr>
          <w:p>
            <w:pPr>
              <w:spacing w:after="0"/>
              <w:rPr>
                <w:sz w:val="4"/>
                <w:szCs w:val="4"/>
                <w:color w:val="auto"/>
              </w:rPr>
            </w:pPr>
          </w:p>
        </w:tc>
        <w:tc>
          <w:tcPr>
            <w:tcW w:w="100" w:type="dxa"/>
            <w:vAlign w:val="bottom"/>
            <w:tcBorders>
              <w:top w:val="single" w:sz="8" w:color="0000EE"/>
              <w:bottom w:val="single" w:sz="8" w:color="342C82"/>
            </w:tcBorders>
          </w:tcPr>
          <w:p>
            <w:pPr>
              <w:spacing w:after="0"/>
              <w:rPr>
                <w:sz w:val="4"/>
                <w:szCs w:val="4"/>
                <w:color w:val="auto"/>
              </w:rPr>
            </w:pPr>
          </w:p>
        </w:tc>
        <w:tc>
          <w:tcPr>
            <w:tcW w:w="10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320" w:type="dxa"/>
            <w:vAlign w:val="bottom"/>
            <w:tcBorders>
              <w:top w:val="single" w:sz="8" w:color="0000EE"/>
              <w:bottom w:val="single" w:sz="8" w:color="342C82"/>
            </w:tcBorders>
          </w:tcPr>
          <w:p>
            <w:pPr>
              <w:spacing w:after="0"/>
              <w:rPr>
                <w:sz w:val="4"/>
                <w:szCs w:val="4"/>
                <w:color w:val="auto"/>
              </w:rPr>
            </w:pPr>
          </w:p>
        </w:tc>
        <w:tc>
          <w:tcPr>
            <w:tcW w:w="40" w:type="dxa"/>
            <w:vAlign w:val="bottom"/>
            <w:tcBorders>
              <w:top w:val="single" w:sz="8" w:color="0000EE"/>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160" w:type="dxa"/>
            <w:vAlign w:val="bottom"/>
            <w:tcBorders>
              <w:bottom w:val="single" w:sz="8" w:color="342C82"/>
            </w:tcBorders>
          </w:tcPr>
          <w:p>
            <w:pPr>
              <w:spacing w:after="0"/>
              <w:rPr>
                <w:sz w:val="4"/>
                <w:szCs w:val="4"/>
                <w:color w:val="auto"/>
              </w:rPr>
            </w:pPr>
          </w:p>
        </w:tc>
        <w:tc>
          <w:tcPr>
            <w:tcW w:w="2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80" w:type="dxa"/>
            <w:vAlign w:val="bottom"/>
            <w:tcBorders>
              <w:bottom w:val="single" w:sz="8" w:color="342C82"/>
            </w:tcBorders>
          </w:tcPr>
          <w:p>
            <w:pPr>
              <w:spacing w:after="0"/>
              <w:rPr>
                <w:sz w:val="4"/>
                <w:szCs w:val="4"/>
                <w:color w:val="auto"/>
              </w:rPr>
            </w:pPr>
          </w:p>
        </w:tc>
        <w:tc>
          <w:tcPr>
            <w:tcW w:w="16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28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2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18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380" w:type="dxa"/>
            <w:vAlign w:val="bottom"/>
            <w:tcBorders>
              <w:bottom w:val="single" w:sz="8" w:color="342C82"/>
            </w:tcBorders>
          </w:tcPr>
          <w:p>
            <w:pPr>
              <w:spacing w:after="0"/>
              <w:rPr>
                <w:sz w:val="4"/>
                <w:szCs w:val="4"/>
                <w:color w:val="auto"/>
              </w:rPr>
            </w:pPr>
          </w:p>
        </w:tc>
        <w:tc>
          <w:tcPr>
            <w:tcW w:w="340" w:type="dxa"/>
            <w:vAlign w:val="bottom"/>
            <w:tcBorders>
              <w:bottom w:val="single" w:sz="8" w:color="342C82"/>
            </w:tcBorders>
          </w:tcPr>
          <w:p>
            <w:pPr>
              <w:spacing w:after="0"/>
              <w:rPr>
                <w:sz w:val="4"/>
                <w:szCs w:val="4"/>
                <w:color w:val="auto"/>
              </w:rPr>
            </w:pPr>
          </w:p>
        </w:tc>
        <w:tc>
          <w:tcPr>
            <w:tcW w:w="108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560" w:type="dxa"/>
            <w:vAlign w:val="bottom"/>
            <w:tcBorders>
              <w:bottom w:val="single" w:sz="8" w:color="342C82"/>
            </w:tcBorders>
          </w:tcPr>
          <w:p>
            <w:pPr>
              <w:spacing w:after="0"/>
              <w:rPr>
                <w:sz w:val="4"/>
                <w:szCs w:val="4"/>
                <w:color w:val="auto"/>
              </w:rPr>
            </w:pPr>
          </w:p>
        </w:tc>
        <w:tc>
          <w:tcPr>
            <w:tcW w:w="180" w:type="dxa"/>
            <w:vAlign w:val="bottom"/>
            <w:tcBorders>
              <w:bottom w:val="single" w:sz="8" w:color="342C82"/>
            </w:tcBorders>
          </w:tcPr>
          <w:p>
            <w:pPr>
              <w:spacing w:after="0"/>
              <w:rPr>
                <w:sz w:val="4"/>
                <w:szCs w:val="4"/>
                <w:color w:val="auto"/>
              </w:rPr>
            </w:pPr>
          </w:p>
        </w:tc>
        <w:tc>
          <w:tcPr>
            <w:tcW w:w="1880" w:type="dxa"/>
            <w:vAlign w:val="bottom"/>
            <w:tcBorders>
              <w:bottom w:val="single" w:sz="8" w:color="342C82"/>
            </w:tcBorders>
          </w:tcPr>
          <w:p>
            <w:pPr>
              <w:spacing w:after="0"/>
              <w:rPr>
                <w:sz w:val="4"/>
                <w:szCs w:val="4"/>
                <w:color w:val="auto"/>
              </w:rPr>
            </w:pPr>
          </w:p>
        </w:tc>
        <w:tc>
          <w:tcPr>
            <w:tcW w:w="8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80" w:type="dxa"/>
            <w:vAlign w:val="bottom"/>
            <w:tcBorders>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r>
      <w:tr>
        <w:trPr>
          <w:trHeight w:val="183"/>
        </w:trPr>
        <w:tc>
          <w:tcPr>
            <w:tcW w:w="40" w:type="dxa"/>
            <w:vAlign w:val="bottom"/>
          </w:tcPr>
          <w:p>
            <w:pPr>
              <w:spacing w:after="0"/>
              <w:rPr>
                <w:sz w:val="15"/>
                <w:szCs w:val="15"/>
                <w:color w:val="auto"/>
              </w:rPr>
            </w:pPr>
          </w:p>
        </w:tc>
        <w:tc>
          <w:tcPr>
            <w:tcW w:w="6200" w:type="dxa"/>
            <w:vAlign w:val="bottom"/>
            <w:gridSpan w:val="35"/>
          </w:tcPr>
          <w:p>
            <w:pPr>
              <w:spacing w:after="0" w:line="183" w:lineRule="exact"/>
              <w:rPr>
                <w:sz w:val="20"/>
                <w:szCs w:val="20"/>
                <w:color w:val="auto"/>
              </w:rPr>
            </w:pPr>
            <w:r>
              <w:rPr>
                <w:rFonts w:ascii="Arial" w:cs="Arial" w:eastAsia="Arial" w:hAnsi="Arial"/>
                <w:sz w:val="16"/>
                <w:szCs w:val="16"/>
                <w:color w:val="0000EE"/>
              </w:rPr>
              <w:t>Notice of annual meeting of stockholders</w:t>
            </w:r>
          </w:p>
        </w:tc>
        <w:tc>
          <w:tcPr>
            <w:tcW w:w="1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0000EE"/>
                <w:w w:val="83"/>
              </w:rPr>
              <w:t>ii</w:t>
            </w:r>
          </w:p>
        </w:tc>
      </w:tr>
      <w:tr>
        <w:trPr>
          <w:trHeight w:val="48"/>
        </w:trPr>
        <w:tc>
          <w:tcPr>
            <w:tcW w:w="40" w:type="dxa"/>
            <w:vAlign w:val="bottom"/>
            <w:tcBorders>
              <w:bottom w:val="single" w:sz="8" w:color="342C82"/>
            </w:tcBorders>
          </w:tcPr>
          <w:p>
            <w:pPr>
              <w:spacing w:after="0"/>
              <w:rPr>
                <w:sz w:val="4"/>
                <w:szCs w:val="4"/>
                <w:color w:val="auto"/>
              </w:rPr>
            </w:pPr>
          </w:p>
        </w:tc>
        <w:tc>
          <w:tcPr>
            <w:tcW w:w="240" w:type="dxa"/>
            <w:vAlign w:val="bottom"/>
            <w:tcBorders>
              <w:top w:val="single" w:sz="8" w:color="0000EE"/>
              <w:bottom w:val="single" w:sz="8" w:color="342C82"/>
            </w:tcBorders>
          </w:tcPr>
          <w:p>
            <w:pPr>
              <w:spacing w:after="0"/>
              <w:rPr>
                <w:sz w:val="4"/>
                <w:szCs w:val="4"/>
                <w:color w:val="auto"/>
              </w:rPr>
            </w:pPr>
          </w:p>
        </w:tc>
        <w:tc>
          <w:tcPr>
            <w:tcW w:w="980" w:type="dxa"/>
            <w:vAlign w:val="bottom"/>
            <w:tcBorders>
              <w:top w:val="single" w:sz="8" w:color="0000EE"/>
              <w:bottom w:val="single" w:sz="8" w:color="342C82"/>
            </w:tcBorders>
          </w:tcPr>
          <w:p>
            <w:pPr>
              <w:spacing w:after="0"/>
              <w:rPr>
                <w:sz w:val="4"/>
                <w:szCs w:val="4"/>
                <w:color w:val="auto"/>
              </w:rPr>
            </w:pPr>
          </w:p>
        </w:tc>
        <w:tc>
          <w:tcPr>
            <w:tcW w:w="100" w:type="dxa"/>
            <w:vAlign w:val="bottom"/>
            <w:tcBorders>
              <w:top w:val="single" w:sz="8" w:color="0000EE"/>
              <w:bottom w:val="single" w:sz="8" w:color="342C82"/>
            </w:tcBorders>
          </w:tcPr>
          <w:p>
            <w:pPr>
              <w:spacing w:after="0"/>
              <w:rPr>
                <w:sz w:val="4"/>
                <w:szCs w:val="4"/>
                <w:color w:val="auto"/>
              </w:rPr>
            </w:pPr>
          </w:p>
        </w:tc>
        <w:tc>
          <w:tcPr>
            <w:tcW w:w="10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320" w:type="dxa"/>
            <w:vAlign w:val="bottom"/>
            <w:tcBorders>
              <w:top w:val="single" w:sz="8" w:color="0000EE"/>
              <w:bottom w:val="single" w:sz="8" w:color="342C82"/>
            </w:tcBorders>
          </w:tcPr>
          <w:p>
            <w:pPr>
              <w:spacing w:after="0"/>
              <w:rPr>
                <w:sz w:val="4"/>
                <w:szCs w:val="4"/>
                <w:color w:val="auto"/>
              </w:rPr>
            </w:pPr>
          </w:p>
        </w:tc>
        <w:tc>
          <w:tcPr>
            <w:tcW w:w="4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160" w:type="dxa"/>
            <w:vAlign w:val="bottom"/>
            <w:tcBorders>
              <w:top w:val="single" w:sz="8" w:color="0000EE"/>
              <w:bottom w:val="single" w:sz="8" w:color="342C82"/>
            </w:tcBorders>
          </w:tcPr>
          <w:p>
            <w:pPr>
              <w:spacing w:after="0"/>
              <w:rPr>
                <w:sz w:val="4"/>
                <w:szCs w:val="4"/>
                <w:color w:val="auto"/>
              </w:rPr>
            </w:pPr>
          </w:p>
        </w:tc>
        <w:tc>
          <w:tcPr>
            <w:tcW w:w="2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80" w:type="dxa"/>
            <w:vAlign w:val="bottom"/>
            <w:tcBorders>
              <w:top w:val="single" w:sz="8" w:color="0000EE"/>
              <w:bottom w:val="single" w:sz="8" w:color="342C82"/>
            </w:tcBorders>
          </w:tcPr>
          <w:p>
            <w:pPr>
              <w:spacing w:after="0"/>
              <w:rPr>
                <w:sz w:val="4"/>
                <w:szCs w:val="4"/>
                <w:color w:val="auto"/>
              </w:rPr>
            </w:pPr>
          </w:p>
        </w:tc>
        <w:tc>
          <w:tcPr>
            <w:tcW w:w="160" w:type="dxa"/>
            <w:vAlign w:val="bottom"/>
            <w:tcBorders>
              <w:top w:val="single" w:sz="8" w:color="0000EE"/>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280" w:type="dxa"/>
            <w:vAlign w:val="bottom"/>
            <w:tcBorders>
              <w:top w:val="single" w:sz="8" w:color="0000EE"/>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2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18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380" w:type="dxa"/>
            <w:vAlign w:val="bottom"/>
            <w:tcBorders>
              <w:bottom w:val="single" w:sz="8" w:color="342C82"/>
            </w:tcBorders>
          </w:tcPr>
          <w:p>
            <w:pPr>
              <w:spacing w:after="0"/>
              <w:rPr>
                <w:sz w:val="4"/>
                <w:szCs w:val="4"/>
                <w:color w:val="auto"/>
              </w:rPr>
            </w:pPr>
          </w:p>
        </w:tc>
        <w:tc>
          <w:tcPr>
            <w:tcW w:w="340" w:type="dxa"/>
            <w:vAlign w:val="bottom"/>
            <w:tcBorders>
              <w:bottom w:val="single" w:sz="8" w:color="342C82"/>
            </w:tcBorders>
          </w:tcPr>
          <w:p>
            <w:pPr>
              <w:spacing w:after="0"/>
              <w:rPr>
                <w:sz w:val="4"/>
                <w:szCs w:val="4"/>
                <w:color w:val="auto"/>
              </w:rPr>
            </w:pPr>
          </w:p>
        </w:tc>
        <w:tc>
          <w:tcPr>
            <w:tcW w:w="108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560" w:type="dxa"/>
            <w:vAlign w:val="bottom"/>
            <w:tcBorders>
              <w:bottom w:val="single" w:sz="8" w:color="342C82"/>
            </w:tcBorders>
          </w:tcPr>
          <w:p>
            <w:pPr>
              <w:spacing w:after="0"/>
              <w:rPr>
                <w:sz w:val="4"/>
                <w:szCs w:val="4"/>
                <w:color w:val="auto"/>
              </w:rPr>
            </w:pPr>
          </w:p>
        </w:tc>
        <w:tc>
          <w:tcPr>
            <w:tcW w:w="180" w:type="dxa"/>
            <w:vAlign w:val="bottom"/>
            <w:tcBorders>
              <w:bottom w:val="single" w:sz="8" w:color="342C82"/>
            </w:tcBorders>
          </w:tcPr>
          <w:p>
            <w:pPr>
              <w:spacing w:after="0"/>
              <w:rPr>
                <w:sz w:val="4"/>
                <w:szCs w:val="4"/>
                <w:color w:val="auto"/>
              </w:rPr>
            </w:pPr>
          </w:p>
        </w:tc>
        <w:tc>
          <w:tcPr>
            <w:tcW w:w="1880" w:type="dxa"/>
            <w:vAlign w:val="bottom"/>
            <w:tcBorders>
              <w:bottom w:val="single" w:sz="8" w:color="342C82"/>
            </w:tcBorders>
          </w:tcPr>
          <w:p>
            <w:pPr>
              <w:spacing w:after="0"/>
              <w:rPr>
                <w:sz w:val="4"/>
                <w:szCs w:val="4"/>
                <w:color w:val="auto"/>
              </w:rPr>
            </w:pPr>
          </w:p>
        </w:tc>
        <w:tc>
          <w:tcPr>
            <w:tcW w:w="8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80" w:type="dxa"/>
            <w:vAlign w:val="bottom"/>
            <w:tcBorders>
              <w:top w:val="single" w:sz="8" w:color="0000EE"/>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r>
      <w:tr>
        <w:trPr>
          <w:trHeight w:val="183"/>
        </w:trPr>
        <w:tc>
          <w:tcPr>
            <w:tcW w:w="40" w:type="dxa"/>
            <w:vAlign w:val="bottom"/>
          </w:tcPr>
          <w:p>
            <w:pPr>
              <w:spacing w:after="0"/>
              <w:rPr>
                <w:sz w:val="15"/>
                <w:szCs w:val="15"/>
                <w:color w:val="auto"/>
              </w:rPr>
            </w:pPr>
          </w:p>
        </w:tc>
        <w:tc>
          <w:tcPr>
            <w:tcW w:w="6200" w:type="dxa"/>
            <w:vAlign w:val="bottom"/>
            <w:gridSpan w:val="35"/>
          </w:tcPr>
          <w:p>
            <w:pPr>
              <w:spacing w:after="0" w:line="183" w:lineRule="exact"/>
              <w:rPr>
                <w:sz w:val="20"/>
                <w:szCs w:val="20"/>
                <w:color w:val="auto"/>
              </w:rPr>
            </w:pPr>
            <w:r>
              <w:rPr>
                <w:rFonts w:ascii="Arial" w:cs="Arial" w:eastAsia="Arial" w:hAnsi="Arial"/>
                <w:sz w:val="16"/>
                <w:szCs w:val="16"/>
                <w:color w:val="0000EE"/>
              </w:rPr>
              <w:t>Proxy statement overview</w:t>
            </w:r>
          </w:p>
        </w:tc>
        <w:tc>
          <w:tcPr>
            <w:tcW w:w="1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gridSpan w:val="4"/>
          </w:tcPr>
          <w:p>
            <w:pPr>
              <w:jc w:val="right"/>
              <w:ind w:right="40"/>
              <w:spacing w:after="0" w:line="183" w:lineRule="exact"/>
              <w:rPr>
                <w:sz w:val="20"/>
                <w:szCs w:val="20"/>
                <w:color w:val="auto"/>
              </w:rPr>
            </w:pPr>
            <w:r>
              <w:rPr>
                <w:rFonts w:ascii="Arial" w:cs="Arial" w:eastAsia="Arial" w:hAnsi="Arial"/>
                <w:sz w:val="16"/>
                <w:szCs w:val="16"/>
                <w:color w:val="0000EE"/>
                <w:w w:val="93"/>
              </w:rPr>
              <w:t>iii</w:t>
            </w:r>
          </w:p>
        </w:tc>
      </w:tr>
      <w:tr>
        <w:trPr>
          <w:trHeight w:val="48"/>
        </w:trPr>
        <w:tc>
          <w:tcPr>
            <w:tcW w:w="40" w:type="dxa"/>
            <w:vAlign w:val="bottom"/>
            <w:tcBorders>
              <w:bottom w:val="single" w:sz="8" w:color="342C82"/>
            </w:tcBorders>
          </w:tcPr>
          <w:p>
            <w:pPr>
              <w:spacing w:after="0"/>
              <w:rPr>
                <w:sz w:val="4"/>
                <w:szCs w:val="4"/>
                <w:color w:val="auto"/>
              </w:rPr>
            </w:pPr>
          </w:p>
        </w:tc>
        <w:tc>
          <w:tcPr>
            <w:tcW w:w="240" w:type="dxa"/>
            <w:vAlign w:val="bottom"/>
            <w:tcBorders>
              <w:top w:val="single" w:sz="8" w:color="0000EE"/>
              <w:bottom w:val="single" w:sz="8" w:color="342C82"/>
            </w:tcBorders>
          </w:tcPr>
          <w:p>
            <w:pPr>
              <w:spacing w:after="0"/>
              <w:rPr>
                <w:sz w:val="4"/>
                <w:szCs w:val="4"/>
                <w:color w:val="auto"/>
              </w:rPr>
            </w:pPr>
          </w:p>
        </w:tc>
        <w:tc>
          <w:tcPr>
            <w:tcW w:w="980" w:type="dxa"/>
            <w:vAlign w:val="bottom"/>
            <w:tcBorders>
              <w:top w:val="single" w:sz="8" w:color="0000EE"/>
              <w:bottom w:val="single" w:sz="8" w:color="342C82"/>
            </w:tcBorders>
          </w:tcPr>
          <w:p>
            <w:pPr>
              <w:spacing w:after="0"/>
              <w:rPr>
                <w:sz w:val="4"/>
                <w:szCs w:val="4"/>
                <w:color w:val="auto"/>
              </w:rPr>
            </w:pPr>
          </w:p>
        </w:tc>
        <w:tc>
          <w:tcPr>
            <w:tcW w:w="100" w:type="dxa"/>
            <w:vAlign w:val="bottom"/>
            <w:tcBorders>
              <w:top w:val="single" w:sz="8" w:color="0000EE"/>
              <w:bottom w:val="single" w:sz="8" w:color="342C82"/>
            </w:tcBorders>
          </w:tcPr>
          <w:p>
            <w:pPr>
              <w:spacing w:after="0"/>
              <w:rPr>
                <w:sz w:val="4"/>
                <w:szCs w:val="4"/>
                <w:color w:val="auto"/>
              </w:rPr>
            </w:pPr>
          </w:p>
        </w:tc>
        <w:tc>
          <w:tcPr>
            <w:tcW w:w="10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320" w:type="dxa"/>
            <w:vAlign w:val="bottom"/>
            <w:tcBorders>
              <w:top w:val="single" w:sz="8" w:color="0000EE"/>
              <w:bottom w:val="single" w:sz="8" w:color="342C82"/>
            </w:tcBorders>
          </w:tcPr>
          <w:p>
            <w:pPr>
              <w:spacing w:after="0"/>
              <w:rPr>
                <w:sz w:val="4"/>
                <w:szCs w:val="4"/>
                <w:color w:val="auto"/>
              </w:rPr>
            </w:pPr>
          </w:p>
        </w:tc>
        <w:tc>
          <w:tcPr>
            <w:tcW w:w="4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160" w:type="dxa"/>
            <w:vAlign w:val="bottom"/>
            <w:tcBorders>
              <w:bottom w:val="single" w:sz="8" w:color="342C82"/>
            </w:tcBorders>
          </w:tcPr>
          <w:p>
            <w:pPr>
              <w:spacing w:after="0"/>
              <w:rPr>
                <w:sz w:val="4"/>
                <w:szCs w:val="4"/>
                <w:color w:val="auto"/>
              </w:rPr>
            </w:pPr>
          </w:p>
        </w:tc>
        <w:tc>
          <w:tcPr>
            <w:tcW w:w="2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80" w:type="dxa"/>
            <w:vAlign w:val="bottom"/>
            <w:tcBorders>
              <w:bottom w:val="single" w:sz="8" w:color="342C82"/>
            </w:tcBorders>
          </w:tcPr>
          <w:p>
            <w:pPr>
              <w:spacing w:after="0"/>
              <w:rPr>
                <w:sz w:val="4"/>
                <w:szCs w:val="4"/>
                <w:color w:val="auto"/>
              </w:rPr>
            </w:pPr>
          </w:p>
        </w:tc>
        <w:tc>
          <w:tcPr>
            <w:tcW w:w="16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28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2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18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380" w:type="dxa"/>
            <w:vAlign w:val="bottom"/>
            <w:tcBorders>
              <w:bottom w:val="single" w:sz="8" w:color="342C82"/>
            </w:tcBorders>
          </w:tcPr>
          <w:p>
            <w:pPr>
              <w:spacing w:after="0"/>
              <w:rPr>
                <w:sz w:val="4"/>
                <w:szCs w:val="4"/>
                <w:color w:val="auto"/>
              </w:rPr>
            </w:pPr>
          </w:p>
        </w:tc>
        <w:tc>
          <w:tcPr>
            <w:tcW w:w="340" w:type="dxa"/>
            <w:vAlign w:val="bottom"/>
            <w:tcBorders>
              <w:bottom w:val="single" w:sz="8" w:color="342C82"/>
            </w:tcBorders>
          </w:tcPr>
          <w:p>
            <w:pPr>
              <w:spacing w:after="0"/>
              <w:rPr>
                <w:sz w:val="4"/>
                <w:szCs w:val="4"/>
                <w:color w:val="auto"/>
              </w:rPr>
            </w:pPr>
          </w:p>
        </w:tc>
        <w:tc>
          <w:tcPr>
            <w:tcW w:w="108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560" w:type="dxa"/>
            <w:vAlign w:val="bottom"/>
            <w:tcBorders>
              <w:bottom w:val="single" w:sz="8" w:color="342C82"/>
            </w:tcBorders>
          </w:tcPr>
          <w:p>
            <w:pPr>
              <w:spacing w:after="0"/>
              <w:rPr>
                <w:sz w:val="4"/>
                <w:szCs w:val="4"/>
                <w:color w:val="auto"/>
              </w:rPr>
            </w:pPr>
          </w:p>
        </w:tc>
        <w:tc>
          <w:tcPr>
            <w:tcW w:w="180" w:type="dxa"/>
            <w:vAlign w:val="bottom"/>
            <w:tcBorders>
              <w:bottom w:val="single" w:sz="8" w:color="342C82"/>
            </w:tcBorders>
          </w:tcPr>
          <w:p>
            <w:pPr>
              <w:spacing w:after="0"/>
              <w:rPr>
                <w:sz w:val="4"/>
                <w:szCs w:val="4"/>
                <w:color w:val="auto"/>
              </w:rPr>
            </w:pPr>
          </w:p>
        </w:tc>
        <w:tc>
          <w:tcPr>
            <w:tcW w:w="1880" w:type="dxa"/>
            <w:vAlign w:val="bottom"/>
            <w:tcBorders>
              <w:bottom w:val="single" w:sz="8" w:color="342C82"/>
            </w:tcBorders>
          </w:tcPr>
          <w:p>
            <w:pPr>
              <w:spacing w:after="0"/>
              <w:rPr>
                <w:sz w:val="4"/>
                <w:szCs w:val="4"/>
                <w:color w:val="auto"/>
              </w:rPr>
            </w:pPr>
          </w:p>
        </w:tc>
        <w:tc>
          <w:tcPr>
            <w:tcW w:w="8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80" w:type="dxa"/>
            <w:vAlign w:val="bottom"/>
            <w:tcBorders>
              <w:top w:val="single" w:sz="8" w:color="0000EE"/>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r>
      <w:tr>
        <w:trPr>
          <w:trHeight w:val="183"/>
        </w:trPr>
        <w:tc>
          <w:tcPr>
            <w:tcW w:w="40" w:type="dxa"/>
            <w:vAlign w:val="bottom"/>
          </w:tcPr>
          <w:p>
            <w:pPr>
              <w:spacing w:after="0"/>
              <w:rPr>
                <w:sz w:val="15"/>
                <w:szCs w:val="15"/>
                <w:color w:val="auto"/>
              </w:rPr>
            </w:pPr>
          </w:p>
        </w:tc>
        <w:tc>
          <w:tcPr>
            <w:tcW w:w="6200" w:type="dxa"/>
            <w:vAlign w:val="bottom"/>
            <w:gridSpan w:val="35"/>
          </w:tcPr>
          <w:p>
            <w:pPr>
              <w:spacing w:after="0" w:line="183" w:lineRule="exact"/>
              <w:rPr>
                <w:sz w:val="20"/>
                <w:szCs w:val="20"/>
                <w:color w:val="auto"/>
              </w:rPr>
            </w:pPr>
            <w:r>
              <w:rPr>
                <w:rFonts w:ascii="Arial" w:cs="Arial" w:eastAsia="Arial" w:hAnsi="Arial"/>
                <w:sz w:val="16"/>
                <w:szCs w:val="16"/>
                <w:color w:val="0000EE"/>
              </w:rPr>
              <w:t>Proposals to be considered at the 2025 Annual Meeting</w:t>
            </w:r>
          </w:p>
        </w:tc>
        <w:tc>
          <w:tcPr>
            <w:tcW w:w="1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gridSpan w:val="4"/>
          </w:tcPr>
          <w:p>
            <w:pPr>
              <w:jc w:val="right"/>
              <w:ind w:right="40"/>
              <w:spacing w:after="0" w:line="183" w:lineRule="exact"/>
              <w:rPr>
                <w:sz w:val="20"/>
                <w:szCs w:val="20"/>
                <w:color w:val="auto"/>
              </w:rPr>
            </w:pPr>
            <w:r>
              <w:rPr>
                <w:rFonts w:ascii="Arial" w:cs="Arial" w:eastAsia="Arial" w:hAnsi="Arial"/>
                <w:sz w:val="16"/>
                <w:szCs w:val="16"/>
                <w:color w:val="0000EE"/>
                <w:w w:val="93"/>
              </w:rPr>
              <w:t>iii</w:t>
            </w:r>
          </w:p>
        </w:tc>
      </w:tr>
      <w:tr>
        <w:trPr>
          <w:trHeight w:val="48"/>
        </w:trPr>
        <w:tc>
          <w:tcPr>
            <w:tcW w:w="40" w:type="dxa"/>
            <w:vAlign w:val="bottom"/>
            <w:tcBorders>
              <w:bottom w:val="single" w:sz="8" w:color="342C82"/>
            </w:tcBorders>
          </w:tcPr>
          <w:p>
            <w:pPr>
              <w:spacing w:after="0"/>
              <w:rPr>
                <w:sz w:val="4"/>
                <w:szCs w:val="4"/>
                <w:color w:val="auto"/>
              </w:rPr>
            </w:pPr>
          </w:p>
        </w:tc>
        <w:tc>
          <w:tcPr>
            <w:tcW w:w="240" w:type="dxa"/>
            <w:vAlign w:val="bottom"/>
            <w:tcBorders>
              <w:top w:val="single" w:sz="8" w:color="0000EE"/>
              <w:bottom w:val="single" w:sz="8" w:color="342C82"/>
            </w:tcBorders>
          </w:tcPr>
          <w:p>
            <w:pPr>
              <w:spacing w:after="0"/>
              <w:rPr>
                <w:sz w:val="4"/>
                <w:szCs w:val="4"/>
                <w:color w:val="auto"/>
              </w:rPr>
            </w:pPr>
          </w:p>
        </w:tc>
        <w:tc>
          <w:tcPr>
            <w:tcW w:w="980" w:type="dxa"/>
            <w:vAlign w:val="bottom"/>
            <w:tcBorders>
              <w:top w:val="single" w:sz="8" w:color="0000EE"/>
              <w:bottom w:val="single" w:sz="8" w:color="342C82"/>
            </w:tcBorders>
          </w:tcPr>
          <w:p>
            <w:pPr>
              <w:spacing w:after="0"/>
              <w:rPr>
                <w:sz w:val="4"/>
                <w:szCs w:val="4"/>
                <w:color w:val="auto"/>
              </w:rPr>
            </w:pPr>
          </w:p>
        </w:tc>
        <w:tc>
          <w:tcPr>
            <w:tcW w:w="100" w:type="dxa"/>
            <w:vAlign w:val="bottom"/>
            <w:tcBorders>
              <w:top w:val="single" w:sz="8" w:color="0000EE"/>
              <w:bottom w:val="single" w:sz="8" w:color="342C82"/>
            </w:tcBorders>
          </w:tcPr>
          <w:p>
            <w:pPr>
              <w:spacing w:after="0"/>
              <w:rPr>
                <w:sz w:val="4"/>
                <w:szCs w:val="4"/>
                <w:color w:val="auto"/>
              </w:rPr>
            </w:pPr>
          </w:p>
        </w:tc>
        <w:tc>
          <w:tcPr>
            <w:tcW w:w="10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320" w:type="dxa"/>
            <w:vAlign w:val="bottom"/>
            <w:tcBorders>
              <w:top w:val="single" w:sz="8" w:color="0000EE"/>
              <w:bottom w:val="single" w:sz="8" w:color="342C82"/>
            </w:tcBorders>
          </w:tcPr>
          <w:p>
            <w:pPr>
              <w:spacing w:after="0"/>
              <w:rPr>
                <w:sz w:val="4"/>
                <w:szCs w:val="4"/>
                <w:color w:val="auto"/>
              </w:rPr>
            </w:pPr>
          </w:p>
        </w:tc>
        <w:tc>
          <w:tcPr>
            <w:tcW w:w="4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160" w:type="dxa"/>
            <w:vAlign w:val="bottom"/>
            <w:tcBorders>
              <w:top w:val="single" w:sz="8" w:color="0000EE"/>
              <w:bottom w:val="single" w:sz="8" w:color="342C82"/>
            </w:tcBorders>
          </w:tcPr>
          <w:p>
            <w:pPr>
              <w:spacing w:after="0"/>
              <w:rPr>
                <w:sz w:val="4"/>
                <w:szCs w:val="4"/>
                <w:color w:val="auto"/>
              </w:rPr>
            </w:pPr>
          </w:p>
        </w:tc>
        <w:tc>
          <w:tcPr>
            <w:tcW w:w="2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80" w:type="dxa"/>
            <w:vAlign w:val="bottom"/>
            <w:tcBorders>
              <w:top w:val="single" w:sz="8" w:color="0000EE"/>
              <w:bottom w:val="single" w:sz="8" w:color="342C82"/>
            </w:tcBorders>
          </w:tcPr>
          <w:p>
            <w:pPr>
              <w:spacing w:after="0"/>
              <w:rPr>
                <w:sz w:val="4"/>
                <w:szCs w:val="4"/>
                <w:color w:val="auto"/>
              </w:rPr>
            </w:pPr>
          </w:p>
        </w:tc>
        <w:tc>
          <w:tcPr>
            <w:tcW w:w="160" w:type="dxa"/>
            <w:vAlign w:val="bottom"/>
            <w:tcBorders>
              <w:top w:val="single" w:sz="8" w:color="0000EE"/>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280" w:type="dxa"/>
            <w:vAlign w:val="bottom"/>
            <w:tcBorders>
              <w:top w:val="single" w:sz="8" w:color="0000EE"/>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40" w:type="dxa"/>
            <w:vAlign w:val="bottom"/>
            <w:tcBorders>
              <w:top w:val="single" w:sz="8" w:color="0000EE"/>
              <w:bottom w:val="single" w:sz="8" w:color="342C82"/>
            </w:tcBorders>
          </w:tcPr>
          <w:p>
            <w:pPr>
              <w:spacing w:after="0"/>
              <w:rPr>
                <w:sz w:val="4"/>
                <w:szCs w:val="4"/>
                <w:color w:val="auto"/>
              </w:rPr>
            </w:pPr>
          </w:p>
        </w:tc>
        <w:tc>
          <w:tcPr>
            <w:tcW w:w="40" w:type="dxa"/>
            <w:vAlign w:val="bottom"/>
            <w:tcBorders>
              <w:top w:val="single" w:sz="8" w:color="0000EE"/>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2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18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380" w:type="dxa"/>
            <w:vAlign w:val="bottom"/>
            <w:tcBorders>
              <w:top w:val="single" w:sz="8" w:color="0000EE"/>
              <w:bottom w:val="single" w:sz="8" w:color="342C82"/>
            </w:tcBorders>
          </w:tcPr>
          <w:p>
            <w:pPr>
              <w:spacing w:after="0"/>
              <w:rPr>
                <w:sz w:val="4"/>
                <w:szCs w:val="4"/>
                <w:color w:val="auto"/>
              </w:rPr>
            </w:pPr>
          </w:p>
        </w:tc>
        <w:tc>
          <w:tcPr>
            <w:tcW w:w="340" w:type="dxa"/>
            <w:vAlign w:val="bottom"/>
            <w:tcBorders>
              <w:bottom w:val="single" w:sz="8" w:color="342C82"/>
            </w:tcBorders>
          </w:tcPr>
          <w:p>
            <w:pPr>
              <w:spacing w:after="0"/>
              <w:rPr>
                <w:sz w:val="4"/>
                <w:szCs w:val="4"/>
                <w:color w:val="auto"/>
              </w:rPr>
            </w:pPr>
          </w:p>
        </w:tc>
        <w:tc>
          <w:tcPr>
            <w:tcW w:w="108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560" w:type="dxa"/>
            <w:vAlign w:val="bottom"/>
            <w:tcBorders>
              <w:bottom w:val="single" w:sz="8" w:color="342C82"/>
            </w:tcBorders>
          </w:tcPr>
          <w:p>
            <w:pPr>
              <w:spacing w:after="0"/>
              <w:rPr>
                <w:sz w:val="4"/>
                <w:szCs w:val="4"/>
                <w:color w:val="auto"/>
              </w:rPr>
            </w:pPr>
          </w:p>
        </w:tc>
        <w:tc>
          <w:tcPr>
            <w:tcW w:w="180" w:type="dxa"/>
            <w:vAlign w:val="bottom"/>
            <w:tcBorders>
              <w:bottom w:val="single" w:sz="8" w:color="342C82"/>
            </w:tcBorders>
          </w:tcPr>
          <w:p>
            <w:pPr>
              <w:spacing w:after="0"/>
              <w:rPr>
                <w:sz w:val="4"/>
                <w:szCs w:val="4"/>
                <w:color w:val="auto"/>
              </w:rPr>
            </w:pPr>
          </w:p>
        </w:tc>
        <w:tc>
          <w:tcPr>
            <w:tcW w:w="1880" w:type="dxa"/>
            <w:vAlign w:val="bottom"/>
            <w:tcBorders>
              <w:bottom w:val="single" w:sz="8" w:color="342C82"/>
            </w:tcBorders>
          </w:tcPr>
          <w:p>
            <w:pPr>
              <w:spacing w:after="0"/>
              <w:rPr>
                <w:sz w:val="4"/>
                <w:szCs w:val="4"/>
                <w:color w:val="auto"/>
              </w:rPr>
            </w:pPr>
          </w:p>
        </w:tc>
        <w:tc>
          <w:tcPr>
            <w:tcW w:w="8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80" w:type="dxa"/>
            <w:vAlign w:val="bottom"/>
            <w:tcBorders>
              <w:top w:val="single" w:sz="8" w:color="0000EE"/>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r>
      <w:tr>
        <w:trPr>
          <w:trHeight w:val="183"/>
        </w:trPr>
        <w:tc>
          <w:tcPr>
            <w:tcW w:w="40" w:type="dxa"/>
            <w:vAlign w:val="bottom"/>
          </w:tcPr>
          <w:p>
            <w:pPr>
              <w:spacing w:after="0"/>
              <w:rPr>
                <w:sz w:val="15"/>
                <w:szCs w:val="15"/>
                <w:color w:val="auto"/>
              </w:rPr>
            </w:pPr>
          </w:p>
        </w:tc>
        <w:tc>
          <w:tcPr>
            <w:tcW w:w="6200" w:type="dxa"/>
            <w:vAlign w:val="bottom"/>
            <w:gridSpan w:val="35"/>
          </w:tcPr>
          <w:p>
            <w:pPr>
              <w:spacing w:after="0" w:line="183" w:lineRule="exact"/>
              <w:rPr>
                <w:sz w:val="20"/>
                <w:szCs w:val="20"/>
                <w:color w:val="auto"/>
              </w:rPr>
            </w:pPr>
            <w:r>
              <w:rPr>
                <w:rFonts w:ascii="Arial" w:cs="Arial" w:eastAsia="Arial" w:hAnsi="Arial"/>
                <w:sz w:val="16"/>
                <w:szCs w:val="16"/>
                <w:color w:val="0000EE"/>
              </w:rPr>
              <w:t>Proposal 1: Election of directors</w:t>
            </w:r>
          </w:p>
        </w:tc>
        <w:tc>
          <w:tcPr>
            <w:tcW w:w="2180" w:type="dxa"/>
            <w:vAlign w:val="bottom"/>
            <w:gridSpan w:val="7"/>
          </w:tcPr>
          <w:p>
            <w:pPr>
              <w:jc w:val="right"/>
              <w:ind w:right="40"/>
              <w:spacing w:after="0" w:line="183" w:lineRule="exact"/>
              <w:rPr>
                <w:sz w:val="20"/>
                <w:szCs w:val="20"/>
                <w:color w:val="auto"/>
              </w:rPr>
            </w:pPr>
            <w:r>
              <w:rPr>
                <w:rFonts w:ascii="Arial" w:cs="Arial" w:eastAsia="Arial" w:hAnsi="Arial"/>
                <w:sz w:val="16"/>
                <w:szCs w:val="16"/>
                <w:color w:val="0000EE"/>
              </w:rPr>
              <w:t>1</w:t>
            </w:r>
          </w:p>
        </w:tc>
      </w:tr>
      <w:tr>
        <w:trPr>
          <w:trHeight w:val="48"/>
        </w:trPr>
        <w:tc>
          <w:tcPr>
            <w:tcW w:w="40" w:type="dxa"/>
            <w:vAlign w:val="bottom"/>
            <w:tcBorders>
              <w:bottom w:val="single" w:sz="8" w:color="342C82"/>
            </w:tcBorders>
          </w:tcPr>
          <w:p>
            <w:pPr>
              <w:spacing w:after="0"/>
              <w:rPr>
                <w:sz w:val="4"/>
                <w:szCs w:val="4"/>
                <w:color w:val="auto"/>
              </w:rPr>
            </w:pPr>
          </w:p>
        </w:tc>
        <w:tc>
          <w:tcPr>
            <w:tcW w:w="240" w:type="dxa"/>
            <w:vAlign w:val="bottom"/>
            <w:tcBorders>
              <w:top w:val="single" w:sz="8" w:color="0000EE"/>
              <w:bottom w:val="single" w:sz="8" w:color="342C82"/>
            </w:tcBorders>
          </w:tcPr>
          <w:p>
            <w:pPr>
              <w:spacing w:after="0"/>
              <w:rPr>
                <w:sz w:val="4"/>
                <w:szCs w:val="4"/>
                <w:color w:val="auto"/>
              </w:rPr>
            </w:pPr>
          </w:p>
        </w:tc>
        <w:tc>
          <w:tcPr>
            <w:tcW w:w="980" w:type="dxa"/>
            <w:vAlign w:val="bottom"/>
            <w:tcBorders>
              <w:top w:val="single" w:sz="8" w:color="0000EE"/>
              <w:bottom w:val="single" w:sz="8" w:color="342C82"/>
            </w:tcBorders>
          </w:tcPr>
          <w:p>
            <w:pPr>
              <w:spacing w:after="0"/>
              <w:rPr>
                <w:sz w:val="4"/>
                <w:szCs w:val="4"/>
                <w:color w:val="auto"/>
              </w:rPr>
            </w:pPr>
          </w:p>
        </w:tc>
        <w:tc>
          <w:tcPr>
            <w:tcW w:w="100" w:type="dxa"/>
            <w:vAlign w:val="bottom"/>
            <w:tcBorders>
              <w:top w:val="single" w:sz="8" w:color="0000EE"/>
              <w:bottom w:val="single" w:sz="8" w:color="342C82"/>
            </w:tcBorders>
          </w:tcPr>
          <w:p>
            <w:pPr>
              <w:spacing w:after="0"/>
              <w:rPr>
                <w:sz w:val="4"/>
                <w:szCs w:val="4"/>
                <w:color w:val="auto"/>
              </w:rPr>
            </w:pPr>
          </w:p>
        </w:tc>
        <w:tc>
          <w:tcPr>
            <w:tcW w:w="10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320" w:type="dxa"/>
            <w:vAlign w:val="bottom"/>
            <w:tcBorders>
              <w:top w:val="single" w:sz="8" w:color="0000EE"/>
              <w:bottom w:val="single" w:sz="8" w:color="342C82"/>
            </w:tcBorders>
          </w:tcPr>
          <w:p>
            <w:pPr>
              <w:spacing w:after="0"/>
              <w:rPr>
                <w:sz w:val="4"/>
                <w:szCs w:val="4"/>
                <w:color w:val="auto"/>
              </w:rPr>
            </w:pPr>
          </w:p>
        </w:tc>
        <w:tc>
          <w:tcPr>
            <w:tcW w:w="4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160" w:type="dxa"/>
            <w:vAlign w:val="bottom"/>
            <w:tcBorders>
              <w:top w:val="single" w:sz="8" w:color="0000EE"/>
              <w:bottom w:val="single" w:sz="8" w:color="342C82"/>
            </w:tcBorders>
          </w:tcPr>
          <w:p>
            <w:pPr>
              <w:spacing w:after="0"/>
              <w:rPr>
                <w:sz w:val="4"/>
                <w:szCs w:val="4"/>
                <w:color w:val="auto"/>
              </w:rPr>
            </w:pPr>
          </w:p>
        </w:tc>
        <w:tc>
          <w:tcPr>
            <w:tcW w:w="2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80" w:type="dxa"/>
            <w:vAlign w:val="bottom"/>
            <w:tcBorders>
              <w:bottom w:val="single" w:sz="8" w:color="342C82"/>
            </w:tcBorders>
          </w:tcPr>
          <w:p>
            <w:pPr>
              <w:spacing w:after="0"/>
              <w:rPr>
                <w:sz w:val="4"/>
                <w:szCs w:val="4"/>
                <w:color w:val="auto"/>
              </w:rPr>
            </w:pPr>
          </w:p>
        </w:tc>
        <w:tc>
          <w:tcPr>
            <w:tcW w:w="16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28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2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18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380" w:type="dxa"/>
            <w:vAlign w:val="bottom"/>
            <w:tcBorders>
              <w:bottom w:val="single" w:sz="8" w:color="342C82"/>
            </w:tcBorders>
          </w:tcPr>
          <w:p>
            <w:pPr>
              <w:spacing w:after="0"/>
              <w:rPr>
                <w:sz w:val="4"/>
                <w:szCs w:val="4"/>
                <w:color w:val="auto"/>
              </w:rPr>
            </w:pPr>
          </w:p>
        </w:tc>
        <w:tc>
          <w:tcPr>
            <w:tcW w:w="340" w:type="dxa"/>
            <w:vAlign w:val="bottom"/>
            <w:tcBorders>
              <w:bottom w:val="single" w:sz="8" w:color="342C82"/>
            </w:tcBorders>
          </w:tcPr>
          <w:p>
            <w:pPr>
              <w:spacing w:after="0"/>
              <w:rPr>
                <w:sz w:val="4"/>
                <w:szCs w:val="4"/>
                <w:color w:val="auto"/>
              </w:rPr>
            </w:pPr>
          </w:p>
        </w:tc>
        <w:tc>
          <w:tcPr>
            <w:tcW w:w="108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560" w:type="dxa"/>
            <w:vAlign w:val="bottom"/>
            <w:tcBorders>
              <w:bottom w:val="single" w:sz="8" w:color="342C82"/>
            </w:tcBorders>
          </w:tcPr>
          <w:p>
            <w:pPr>
              <w:spacing w:after="0"/>
              <w:rPr>
                <w:sz w:val="4"/>
                <w:szCs w:val="4"/>
                <w:color w:val="auto"/>
              </w:rPr>
            </w:pPr>
          </w:p>
        </w:tc>
        <w:tc>
          <w:tcPr>
            <w:tcW w:w="180" w:type="dxa"/>
            <w:vAlign w:val="bottom"/>
            <w:tcBorders>
              <w:bottom w:val="single" w:sz="8" w:color="342C82"/>
            </w:tcBorders>
          </w:tcPr>
          <w:p>
            <w:pPr>
              <w:spacing w:after="0"/>
              <w:rPr>
                <w:sz w:val="4"/>
                <w:szCs w:val="4"/>
                <w:color w:val="auto"/>
              </w:rPr>
            </w:pPr>
          </w:p>
        </w:tc>
        <w:tc>
          <w:tcPr>
            <w:tcW w:w="1880" w:type="dxa"/>
            <w:vAlign w:val="bottom"/>
            <w:tcBorders>
              <w:bottom w:val="single" w:sz="8" w:color="342C82"/>
            </w:tcBorders>
          </w:tcPr>
          <w:p>
            <w:pPr>
              <w:spacing w:after="0"/>
              <w:rPr>
                <w:sz w:val="4"/>
                <w:szCs w:val="4"/>
                <w:color w:val="auto"/>
              </w:rPr>
            </w:pPr>
          </w:p>
        </w:tc>
        <w:tc>
          <w:tcPr>
            <w:tcW w:w="8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80" w:type="dxa"/>
            <w:vAlign w:val="bottom"/>
            <w:tcBorders>
              <w:top w:val="single" w:sz="8" w:color="0000EE"/>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r>
      <w:tr>
        <w:trPr>
          <w:trHeight w:val="183"/>
        </w:trPr>
        <w:tc>
          <w:tcPr>
            <w:tcW w:w="40" w:type="dxa"/>
            <w:vAlign w:val="bottom"/>
          </w:tcPr>
          <w:p>
            <w:pPr>
              <w:spacing w:after="0"/>
              <w:rPr>
                <w:sz w:val="15"/>
                <w:szCs w:val="15"/>
                <w:color w:val="auto"/>
              </w:rPr>
            </w:pPr>
          </w:p>
        </w:tc>
        <w:tc>
          <w:tcPr>
            <w:tcW w:w="6200" w:type="dxa"/>
            <w:vAlign w:val="bottom"/>
            <w:gridSpan w:val="35"/>
          </w:tcPr>
          <w:p>
            <w:pPr>
              <w:ind w:left="240"/>
              <w:spacing w:after="0" w:line="183" w:lineRule="exact"/>
              <w:rPr>
                <w:sz w:val="20"/>
                <w:szCs w:val="20"/>
                <w:color w:val="auto"/>
              </w:rPr>
            </w:pPr>
            <w:r>
              <w:rPr>
                <w:rFonts w:ascii="Arial" w:cs="Arial" w:eastAsia="Arial" w:hAnsi="Arial"/>
                <w:sz w:val="16"/>
                <w:szCs w:val="16"/>
                <w:color w:val="0000EE"/>
              </w:rPr>
              <w:t>Directors - skills and experience</w:t>
            </w:r>
          </w:p>
        </w:tc>
        <w:tc>
          <w:tcPr>
            <w:tcW w:w="2180" w:type="dxa"/>
            <w:vAlign w:val="bottom"/>
            <w:gridSpan w:val="7"/>
          </w:tcPr>
          <w:p>
            <w:pPr>
              <w:jc w:val="right"/>
              <w:ind w:right="40"/>
              <w:spacing w:after="0" w:line="183" w:lineRule="exact"/>
              <w:rPr>
                <w:sz w:val="20"/>
                <w:szCs w:val="20"/>
                <w:color w:val="auto"/>
              </w:rPr>
            </w:pPr>
            <w:r>
              <w:rPr>
                <w:rFonts w:ascii="Arial" w:cs="Arial" w:eastAsia="Arial" w:hAnsi="Arial"/>
                <w:sz w:val="16"/>
                <w:szCs w:val="16"/>
                <w:color w:val="0000EE"/>
              </w:rPr>
              <w:t>1</w:t>
            </w:r>
          </w:p>
        </w:tc>
      </w:tr>
      <w:tr>
        <w:trPr>
          <w:trHeight w:val="48"/>
        </w:trPr>
        <w:tc>
          <w:tcPr>
            <w:tcW w:w="40" w:type="dxa"/>
            <w:vAlign w:val="bottom"/>
            <w:tcBorders>
              <w:bottom w:val="single" w:sz="8" w:color="342C82"/>
            </w:tcBorders>
          </w:tcPr>
          <w:p>
            <w:pPr>
              <w:spacing w:after="0"/>
              <w:rPr>
                <w:sz w:val="4"/>
                <w:szCs w:val="4"/>
                <w:color w:val="auto"/>
              </w:rPr>
            </w:pPr>
          </w:p>
        </w:tc>
        <w:tc>
          <w:tcPr>
            <w:tcW w:w="240" w:type="dxa"/>
            <w:vAlign w:val="bottom"/>
            <w:tcBorders>
              <w:bottom w:val="single" w:sz="8" w:color="342C82"/>
            </w:tcBorders>
          </w:tcPr>
          <w:p>
            <w:pPr>
              <w:spacing w:after="0"/>
              <w:rPr>
                <w:sz w:val="4"/>
                <w:szCs w:val="4"/>
                <w:color w:val="auto"/>
              </w:rPr>
            </w:pPr>
          </w:p>
        </w:tc>
        <w:tc>
          <w:tcPr>
            <w:tcW w:w="980" w:type="dxa"/>
            <w:vAlign w:val="bottom"/>
            <w:tcBorders>
              <w:top w:val="single" w:sz="8" w:color="0000EE"/>
              <w:bottom w:val="single" w:sz="8" w:color="342C82"/>
            </w:tcBorders>
          </w:tcPr>
          <w:p>
            <w:pPr>
              <w:spacing w:after="0"/>
              <w:rPr>
                <w:sz w:val="4"/>
                <w:szCs w:val="4"/>
                <w:color w:val="auto"/>
              </w:rPr>
            </w:pPr>
          </w:p>
        </w:tc>
        <w:tc>
          <w:tcPr>
            <w:tcW w:w="100" w:type="dxa"/>
            <w:vAlign w:val="bottom"/>
            <w:tcBorders>
              <w:top w:val="single" w:sz="8" w:color="0000EE"/>
              <w:bottom w:val="single" w:sz="8" w:color="342C82"/>
            </w:tcBorders>
          </w:tcPr>
          <w:p>
            <w:pPr>
              <w:spacing w:after="0"/>
              <w:rPr>
                <w:sz w:val="4"/>
                <w:szCs w:val="4"/>
                <w:color w:val="auto"/>
              </w:rPr>
            </w:pPr>
          </w:p>
        </w:tc>
        <w:tc>
          <w:tcPr>
            <w:tcW w:w="10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320" w:type="dxa"/>
            <w:vAlign w:val="bottom"/>
            <w:tcBorders>
              <w:top w:val="single" w:sz="8" w:color="0000EE"/>
              <w:bottom w:val="single" w:sz="8" w:color="342C82"/>
            </w:tcBorders>
          </w:tcPr>
          <w:p>
            <w:pPr>
              <w:spacing w:after="0"/>
              <w:rPr>
                <w:sz w:val="4"/>
                <w:szCs w:val="4"/>
                <w:color w:val="auto"/>
              </w:rPr>
            </w:pPr>
          </w:p>
        </w:tc>
        <w:tc>
          <w:tcPr>
            <w:tcW w:w="4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160" w:type="dxa"/>
            <w:vAlign w:val="bottom"/>
            <w:tcBorders>
              <w:top w:val="single" w:sz="8" w:color="0000EE"/>
              <w:bottom w:val="single" w:sz="8" w:color="342C82"/>
            </w:tcBorders>
          </w:tcPr>
          <w:p>
            <w:pPr>
              <w:spacing w:after="0"/>
              <w:rPr>
                <w:sz w:val="4"/>
                <w:szCs w:val="4"/>
                <w:color w:val="auto"/>
              </w:rPr>
            </w:pPr>
          </w:p>
        </w:tc>
        <w:tc>
          <w:tcPr>
            <w:tcW w:w="2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80" w:type="dxa"/>
            <w:vAlign w:val="bottom"/>
            <w:tcBorders>
              <w:top w:val="single" w:sz="8" w:color="0000EE"/>
              <w:bottom w:val="single" w:sz="8" w:color="342C82"/>
            </w:tcBorders>
          </w:tcPr>
          <w:p>
            <w:pPr>
              <w:spacing w:after="0"/>
              <w:rPr>
                <w:sz w:val="4"/>
                <w:szCs w:val="4"/>
                <w:color w:val="auto"/>
              </w:rPr>
            </w:pPr>
          </w:p>
        </w:tc>
        <w:tc>
          <w:tcPr>
            <w:tcW w:w="160" w:type="dxa"/>
            <w:vAlign w:val="bottom"/>
            <w:tcBorders>
              <w:top w:val="single" w:sz="8" w:color="0000EE"/>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28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2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18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380" w:type="dxa"/>
            <w:vAlign w:val="bottom"/>
            <w:tcBorders>
              <w:bottom w:val="single" w:sz="8" w:color="342C82"/>
            </w:tcBorders>
          </w:tcPr>
          <w:p>
            <w:pPr>
              <w:spacing w:after="0"/>
              <w:rPr>
                <w:sz w:val="4"/>
                <w:szCs w:val="4"/>
                <w:color w:val="auto"/>
              </w:rPr>
            </w:pPr>
          </w:p>
        </w:tc>
        <w:tc>
          <w:tcPr>
            <w:tcW w:w="340" w:type="dxa"/>
            <w:vAlign w:val="bottom"/>
            <w:tcBorders>
              <w:bottom w:val="single" w:sz="8" w:color="342C82"/>
            </w:tcBorders>
          </w:tcPr>
          <w:p>
            <w:pPr>
              <w:spacing w:after="0"/>
              <w:rPr>
                <w:sz w:val="4"/>
                <w:szCs w:val="4"/>
                <w:color w:val="auto"/>
              </w:rPr>
            </w:pPr>
          </w:p>
        </w:tc>
        <w:tc>
          <w:tcPr>
            <w:tcW w:w="108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560" w:type="dxa"/>
            <w:vAlign w:val="bottom"/>
            <w:tcBorders>
              <w:bottom w:val="single" w:sz="8" w:color="342C82"/>
            </w:tcBorders>
          </w:tcPr>
          <w:p>
            <w:pPr>
              <w:spacing w:after="0"/>
              <w:rPr>
                <w:sz w:val="4"/>
                <w:szCs w:val="4"/>
                <w:color w:val="auto"/>
              </w:rPr>
            </w:pPr>
          </w:p>
        </w:tc>
        <w:tc>
          <w:tcPr>
            <w:tcW w:w="180" w:type="dxa"/>
            <w:vAlign w:val="bottom"/>
            <w:tcBorders>
              <w:bottom w:val="single" w:sz="8" w:color="342C82"/>
            </w:tcBorders>
          </w:tcPr>
          <w:p>
            <w:pPr>
              <w:spacing w:after="0"/>
              <w:rPr>
                <w:sz w:val="4"/>
                <w:szCs w:val="4"/>
                <w:color w:val="auto"/>
              </w:rPr>
            </w:pPr>
          </w:p>
        </w:tc>
        <w:tc>
          <w:tcPr>
            <w:tcW w:w="1880" w:type="dxa"/>
            <w:vAlign w:val="bottom"/>
            <w:tcBorders>
              <w:bottom w:val="single" w:sz="8" w:color="342C82"/>
            </w:tcBorders>
          </w:tcPr>
          <w:p>
            <w:pPr>
              <w:spacing w:after="0"/>
              <w:rPr>
                <w:sz w:val="4"/>
                <w:szCs w:val="4"/>
                <w:color w:val="auto"/>
              </w:rPr>
            </w:pPr>
          </w:p>
        </w:tc>
        <w:tc>
          <w:tcPr>
            <w:tcW w:w="8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80" w:type="dxa"/>
            <w:vAlign w:val="bottom"/>
            <w:tcBorders>
              <w:top w:val="single" w:sz="8" w:color="0000EE"/>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r>
      <w:tr>
        <w:trPr>
          <w:trHeight w:val="183"/>
        </w:trPr>
        <w:tc>
          <w:tcPr>
            <w:tcW w:w="40" w:type="dxa"/>
            <w:vAlign w:val="bottom"/>
          </w:tcPr>
          <w:p>
            <w:pPr>
              <w:spacing w:after="0"/>
              <w:rPr>
                <w:sz w:val="15"/>
                <w:szCs w:val="15"/>
                <w:color w:val="auto"/>
              </w:rPr>
            </w:pPr>
          </w:p>
        </w:tc>
        <w:tc>
          <w:tcPr>
            <w:tcW w:w="6200" w:type="dxa"/>
            <w:vAlign w:val="bottom"/>
            <w:gridSpan w:val="35"/>
          </w:tcPr>
          <w:p>
            <w:pPr>
              <w:ind w:left="240"/>
              <w:spacing w:after="0" w:line="183" w:lineRule="exact"/>
              <w:rPr>
                <w:sz w:val="20"/>
                <w:szCs w:val="20"/>
                <w:color w:val="auto"/>
              </w:rPr>
            </w:pPr>
            <w:r>
              <w:rPr>
                <w:rFonts w:ascii="Arial" w:cs="Arial" w:eastAsia="Arial" w:hAnsi="Arial"/>
                <w:sz w:val="16"/>
                <w:szCs w:val="16"/>
                <w:color w:val="0000EE"/>
              </w:rPr>
              <w:t>Nominees for director</w:t>
            </w:r>
          </w:p>
        </w:tc>
        <w:tc>
          <w:tcPr>
            <w:tcW w:w="2180" w:type="dxa"/>
            <w:vAlign w:val="bottom"/>
            <w:gridSpan w:val="7"/>
          </w:tcPr>
          <w:p>
            <w:pPr>
              <w:jc w:val="right"/>
              <w:ind w:right="40"/>
              <w:spacing w:after="0" w:line="183" w:lineRule="exact"/>
              <w:rPr>
                <w:sz w:val="20"/>
                <w:szCs w:val="20"/>
                <w:color w:val="auto"/>
              </w:rPr>
            </w:pPr>
            <w:r>
              <w:rPr>
                <w:rFonts w:ascii="Arial" w:cs="Arial" w:eastAsia="Arial" w:hAnsi="Arial"/>
                <w:sz w:val="16"/>
                <w:szCs w:val="16"/>
                <w:color w:val="0000EE"/>
              </w:rPr>
              <w:t>2</w:t>
            </w:r>
          </w:p>
        </w:tc>
      </w:tr>
      <w:tr>
        <w:trPr>
          <w:trHeight w:val="48"/>
        </w:trPr>
        <w:tc>
          <w:tcPr>
            <w:tcW w:w="40" w:type="dxa"/>
            <w:vAlign w:val="bottom"/>
            <w:tcBorders>
              <w:bottom w:val="single" w:sz="8" w:color="342C82"/>
            </w:tcBorders>
          </w:tcPr>
          <w:p>
            <w:pPr>
              <w:spacing w:after="0"/>
              <w:rPr>
                <w:sz w:val="4"/>
                <w:szCs w:val="4"/>
                <w:color w:val="auto"/>
              </w:rPr>
            </w:pPr>
          </w:p>
        </w:tc>
        <w:tc>
          <w:tcPr>
            <w:tcW w:w="240" w:type="dxa"/>
            <w:vAlign w:val="bottom"/>
            <w:tcBorders>
              <w:bottom w:val="single" w:sz="8" w:color="342C82"/>
            </w:tcBorders>
          </w:tcPr>
          <w:p>
            <w:pPr>
              <w:spacing w:after="0"/>
              <w:rPr>
                <w:sz w:val="4"/>
                <w:szCs w:val="4"/>
                <w:color w:val="auto"/>
              </w:rPr>
            </w:pPr>
          </w:p>
        </w:tc>
        <w:tc>
          <w:tcPr>
            <w:tcW w:w="980" w:type="dxa"/>
            <w:vAlign w:val="bottom"/>
            <w:tcBorders>
              <w:top w:val="single" w:sz="8" w:color="0000EE"/>
              <w:bottom w:val="single" w:sz="8" w:color="342C82"/>
            </w:tcBorders>
          </w:tcPr>
          <w:p>
            <w:pPr>
              <w:spacing w:after="0"/>
              <w:rPr>
                <w:sz w:val="4"/>
                <w:szCs w:val="4"/>
                <w:color w:val="auto"/>
              </w:rPr>
            </w:pPr>
          </w:p>
        </w:tc>
        <w:tc>
          <w:tcPr>
            <w:tcW w:w="100" w:type="dxa"/>
            <w:vAlign w:val="bottom"/>
            <w:tcBorders>
              <w:top w:val="single" w:sz="8" w:color="0000EE"/>
              <w:bottom w:val="single" w:sz="8" w:color="342C82"/>
            </w:tcBorders>
          </w:tcPr>
          <w:p>
            <w:pPr>
              <w:spacing w:after="0"/>
              <w:rPr>
                <w:sz w:val="4"/>
                <w:szCs w:val="4"/>
                <w:color w:val="auto"/>
              </w:rPr>
            </w:pPr>
          </w:p>
        </w:tc>
        <w:tc>
          <w:tcPr>
            <w:tcW w:w="10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320" w:type="dxa"/>
            <w:vAlign w:val="bottom"/>
            <w:tcBorders>
              <w:top w:val="single" w:sz="8" w:color="0000EE"/>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160" w:type="dxa"/>
            <w:vAlign w:val="bottom"/>
            <w:tcBorders>
              <w:bottom w:val="single" w:sz="8" w:color="342C82"/>
            </w:tcBorders>
          </w:tcPr>
          <w:p>
            <w:pPr>
              <w:spacing w:after="0"/>
              <w:rPr>
                <w:sz w:val="4"/>
                <w:szCs w:val="4"/>
                <w:color w:val="auto"/>
              </w:rPr>
            </w:pPr>
          </w:p>
        </w:tc>
        <w:tc>
          <w:tcPr>
            <w:tcW w:w="2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80" w:type="dxa"/>
            <w:vAlign w:val="bottom"/>
            <w:tcBorders>
              <w:bottom w:val="single" w:sz="8" w:color="342C82"/>
            </w:tcBorders>
          </w:tcPr>
          <w:p>
            <w:pPr>
              <w:spacing w:after="0"/>
              <w:rPr>
                <w:sz w:val="4"/>
                <w:szCs w:val="4"/>
                <w:color w:val="auto"/>
              </w:rPr>
            </w:pPr>
          </w:p>
        </w:tc>
        <w:tc>
          <w:tcPr>
            <w:tcW w:w="16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28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2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18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380" w:type="dxa"/>
            <w:vAlign w:val="bottom"/>
            <w:tcBorders>
              <w:bottom w:val="single" w:sz="8" w:color="342C82"/>
            </w:tcBorders>
          </w:tcPr>
          <w:p>
            <w:pPr>
              <w:spacing w:after="0"/>
              <w:rPr>
                <w:sz w:val="4"/>
                <w:szCs w:val="4"/>
                <w:color w:val="auto"/>
              </w:rPr>
            </w:pPr>
          </w:p>
        </w:tc>
        <w:tc>
          <w:tcPr>
            <w:tcW w:w="340" w:type="dxa"/>
            <w:vAlign w:val="bottom"/>
            <w:tcBorders>
              <w:bottom w:val="single" w:sz="8" w:color="342C82"/>
            </w:tcBorders>
          </w:tcPr>
          <w:p>
            <w:pPr>
              <w:spacing w:after="0"/>
              <w:rPr>
                <w:sz w:val="4"/>
                <w:szCs w:val="4"/>
                <w:color w:val="auto"/>
              </w:rPr>
            </w:pPr>
          </w:p>
        </w:tc>
        <w:tc>
          <w:tcPr>
            <w:tcW w:w="108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560" w:type="dxa"/>
            <w:vAlign w:val="bottom"/>
            <w:tcBorders>
              <w:bottom w:val="single" w:sz="8" w:color="342C82"/>
            </w:tcBorders>
          </w:tcPr>
          <w:p>
            <w:pPr>
              <w:spacing w:after="0"/>
              <w:rPr>
                <w:sz w:val="4"/>
                <w:szCs w:val="4"/>
                <w:color w:val="auto"/>
              </w:rPr>
            </w:pPr>
          </w:p>
        </w:tc>
        <w:tc>
          <w:tcPr>
            <w:tcW w:w="180" w:type="dxa"/>
            <w:vAlign w:val="bottom"/>
            <w:tcBorders>
              <w:bottom w:val="single" w:sz="8" w:color="342C82"/>
            </w:tcBorders>
          </w:tcPr>
          <w:p>
            <w:pPr>
              <w:spacing w:after="0"/>
              <w:rPr>
                <w:sz w:val="4"/>
                <w:szCs w:val="4"/>
                <w:color w:val="auto"/>
              </w:rPr>
            </w:pPr>
          </w:p>
        </w:tc>
        <w:tc>
          <w:tcPr>
            <w:tcW w:w="1880" w:type="dxa"/>
            <w:vAlign w:val="bottom"/>
            <w:tcBorders>
              <w:bottom w:val="single" w:sz="8" w:color="342C82"/>
            </w:tcBorders>
          </w:tcPr>
          <w:p>
            <w:pPr>
              <w:spacing w:after="0"/>
              <w:rPr>
                <w:sz w:val="4"/>
                <w:szCs w:val="4"/>
                <w:color w:val="auto"/>
              </w:rPr>
            </w:pPr>
          </w:p>
        </w:tc>
        <w:tc>
          <w:tcPr>
            <w:tcW w:w="8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80" w:type="dxa"/>
            <w:vAlign w:val="bottom"/>
            <w:tcBorders>
              <w:top w:val="single" w:sz="8" w:color="0000EE"/>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r>
      <w:tr>
        <w:trPr>
          <w:trHeight w:val="183"/>
        </w:trPr>
        <w:tc>
          <w:tcPr>
            <w:tcW w:w="40" w:type="dxa"/>
            <w:vAlign w:val="bottom"/>
          </w:tcPr>
          <w:p>
            <w:pPr>
              <w:spacing w:after="0"/>
              <w:rPr>
                <w:sz w:val="15"/>
                <w:szCs w:val="15"/>
                <w:color w:val="auto"/>
              </w:rPr>
            </w:pPr>
          </w:p>
        </w:tc>
        <w:tc>
          <w:tcPr>
            <w:tcW w:w="6200" w:type="dxa"/>
            <w:vAlign w:val="bottom"/>
            <w:gridSpan w:val="35"/>
          </w:tcPr>
          <w:p>
            <w:pPr>
              <w:ind w:left="240"/>
              <w:spacing w:after="0" w:line="183" w:lineRule="exact"/>
              <w:rPr>
                <w:sz w:val="20"/>
                <w:szCs w:val="20"/>
                <w:color w:val="auto"/>
              </w:rPr>
            </w:pPr>
            <w:r>
              <w:rPr>
                <w:rFonts w:ascii="Arial" w:cs="Arial" w:eastAsia="Arial" w:hAnsi="Arial"/>
                <w:sz w:val="16"/>
                <w:szCs w:val="16"/>
                <w:color w:val="0000EE"/>
              </w:rPr>
              <w:t>Board refreshment and diversity</w:t>
            </w:r>
          </w:p>
        </w:tc>
        <w:tc>
          <w:tcPr>
            <w:tcW w:w="2180" w:type="dxa"/>
            <w:vAlign w:val="bottom"/>
            <w:gridSpan w:val="7"/>
          </w:tcPr>
          <w:p>
            <w:pPr>
              <w:jc w:val="right"/>
              <w:ind w:right="40"/>
              <w:spacing w:after="0" w:line="183" w:lineRule="exact"/>
              <w:rPr>
                <w:sz w:val="20"/>
                <w:szCs w:val="20"/>
                <w:color w:val="auto"/>
              </w:rPr>
            </w:pPr>
            <w:r>
              <w:rPr>
                <w:rFonts w:ascii="Arial" w:cs="Arial" w:eastAsia="Arial" w:hAnsi="Arial"/>
                <w:sz w:val="16"/>
                <w:szCs w:val="16"/>
                <w:color w:val="0000EE"/>
              </w:rPr>
              <w:t>11</w:t>
            </w:r>
          </w:p>
        </w:tc>
      </w:tr>
      <w:tr>
        <w:trPr>
          <w:trHeight w:val="48"/>
        </w:trPr>
        <w:tc>
          <w:tcPr>
            <w:tcW w:w="40" w:type="dxa"/>
            <w:vAlign w:val="bottom"/>
            <w:tcBorders>
              <w:bottom w:val="single" w:sz="8" w:color="342C82"/>
            </w:tcBorders>
          </w:tcPr>
          <w:p>
            <w:pPr>
              <w:spacing w:after="0"/>
              <w:rPr>
                <w:sz w:val="4"/>
                <w:szCs w:val="4"/>
                <w:color w:val="auto"/>
              </w:rPr>
            </w:pPr>
          </w:p>
        </w:tc>
        <w:tc>
          <w:tcPr>
            <w:tcW w:w="240" w:type="dxa"/>
            <w:vAlign w:val="bottom"/>
            <w:tcBorders>
              <w:bottom w:val="single" w:sz="8" w:color="342C82"/>
            </w:tcBorders>
          </w:tcPr>
          <w:p>
            <w:pPr>
              <w:spacing w:after="0"/>
              <w:rPr>
                <w:sz w:val="4"/>
                <w:szCs w:val="4"/>
                <w:color w:val="auto"/>
              </w:rPr>
            </w:pPr>
          </w:p>
        </w:tc>
        <w:tc>
          <w:tcPr>
            <w:tcW w:w="980" w:type="dxa"/>
            <w:vAlign w:val="bottom"/>
            <w:tcBorders>
              <w:top w:val="single" w:sz="8" w:color="0000EE"/>
              <w:bottom w:val="single" w:sz="8" w:color="342C82"/>
            </w:tcBorders>
          </w:tcPr>
          <w:p>
            <w:pPr>
              <w:spacing w:after="0"/>
              <w:rPr>
                <w:sz w:val="4"/>
                <w:szCs w:val="4"/>
                <w:color w:val="auto"/>
              </w:rPr>
            </w:pPr>
          </w:p>
        </w:tc>
        <w:tc>
          <w:tcPr>
            <w:tcW w:w="100" w:type="dxa"/>
            <w:vAlign w:val="bottom"/>
            <w:tcBorders>
              <w:top w:val="single" w:sz="8" w:color="0000EE"/>
              <w:bottom w:val="single" w:sz="8" w:color="342C82"/>
            </w:tcBorders>
          </w:tcPr>
          <w:p>
            <w:pPr>
              <w:spacing w:after="0"/>
              <w:rPr>
                <w:sz w:val="4"/>
                <w:szCs w:val="4"/>
                <w:color w:val="auto"/>
              </w:rPr>
            </w:pPr>
          </w:p>
        </w:tc>
        <w:tc>
          <w:tcPr>
            <w:tcW w:w="10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320" w:type="dxa"/>
            <w:vAlign w:val="bottom"/>
            <w:tcBorders>
              <w:top w:val="single" w:sz="8" w:color="0000EE"/>
              <w:bottom w:val="single" w:sz="8" w:color="342C82"/>
            </w:tcBorders>
          </w:tcPr>
          <w:p>
            <w:pPr>
              <w:spacing w:after="0"/>
              <w:rPr>
                <w:sz w:val="4"/>
                <w:szCs w:val="4"/>
                <w:color w:val="auto"/>
              </w:rPr>
            </w:pPr>
          </w:p>
        </w:tc>
        <w:tc>
          <w:tcPr>
            <w:tcW w:w="4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160" w:type="dxa"/>
            <w:vAlign w:val="bottom"/>
            <w:tcBorders>
              <w:top w:val="single" w:sz="8" w:color="0000EE"/>
              <w:bottom w:val="single" w:sz="8" w:color="342C82"/>
            </w:tcBorders>
          </w:tcPr>
          <w:p>
            <w:pPr>
              <w:spacing w:after="0"/>
              <w:rPr>
                <w:sz w:val="4"/>
                <w:szCs w:val="4"/>
                <w:color w:val="auto"/>
              </w:rPr>
            </w:pPr>
          </w:p>
        </w:tc>
        <w:tc>
          <w:tcPr>
            <w:tcW w:w="2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80" w:type="dxa"/>
            <w:vAlign w:val="bottom"/>
            <w:tcBorders>
              <w:top w:val="single" w:sz="8" w:color="0000EE"/>
              <w:bottom w:val="single" w:sz="8" w:color="342C82"/>
            </w:tcBorders>
          </w:tcPr>
          <w:p>
            <w:pPr>
              <w:spacing w:after="0"/>
              <w:rPr>
                <w:sz w:val="4"/>
                <w:szCs w:val="4"/>
                <w:color w:val="auto"/>
              </w:rPr>
            </w:pPr>
          </w:p>
        </w:tc>
        <w:tc>
          <w:tcPr>
            <w:tcW w:w="160" w:type="dxa"/>
            <w:vAlign w:val="bottom"/>
            <w:tcBorders>
              <w:top w:val="single" w:sz="8" w:color="0000EE"/>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28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2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18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380" w:type="dxa"/>
            <w:vAlign w:val="bottom"/>
            <w:tcBorders>
              <w:bottom w:val="single" w:sz="8" w:color="342C82"/>
            </w:tcBorders>
          </w:tcPr>
          <w:p>
            <w:pPr>
              <w:spacing w:after="0"/>
              <w:rPr>
                <w:sz w:val="4"/>
                <w:szCs w:val="4"/>
                <w:color w:val="auto"/>
              </w:rPr>
            </w:pPr>
          </w:p>
        </w:tc>
        <w:tc>
          <w:tcPr>
            <w:tcW w:w="340" w:type="dxa"/>
            <w:vAlign w:val="bottom"/>
            <w:tcBorders>
              <w:bottom w:val="single" w:sz="8" w:color="342C82"/>
            </w:tcBorders>
          </w:tcPr>
          <w:p>
            <w:pPr>
              <w:spacing w:after="0"/>
              <w:rPr>
                <w:sz w:val="4"/>
                <w:szCs w:val="4"/>
                <w:color w:val="auto"/>
              </w:rPr>
            </w:pPr>
          </w:p>
        </w:tc>
        <w:tc>
          <w:tcPr>
            <w:tcW w:w="108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560" w:type="dxa"/>
            <w:vAlign w:val="bottom"/>
            <w:tcBorders>
              <w:bottom w:val="single" w:sz="8" w:color="342C82"/>
            </w:tcBorders>
          </w:tcPr>
          <w:p>
            <w:pPr>
              <w:spacing w:after="0"/>
              <w:rPr>
                <w:sz w:val="4"/>
                <w:szCs w:val="4"/>
                <w:color w:val="auto"/>
              </w:rPr>
            </w:pPr>
          </w:p>
        </w:tc>
        <w:tc>
          <w:tcPr>
            <w:tcW w:w="180" w:type="dxa"/>
            <w:vAlign w:val="bottom"/>
            <w:tcBorders>
              <w:bottom w:val="single" w:sz="8" w:color="342C82"/>
            </w:tcBorders>
          </w:tcPr>
          <w:p>
            <w:pPr>
              <w:spacing w:after="0"/>
              <w:rPr>
                <w:sz w:val="4"/>
                <w:szCs w:val="4"/>
                <w:color w:val="auto"/>
              </w:rPr>
            </w:pPr>
          </w:p>
        </w:tc>
        <w:tc>
          <w:tcPr>
            <w:tcW w:w="1880" w:type="dxa"/>
            <w:vAlign w:val="bottom"/>
            <w:tcBorders>
              <w:bottom w:val="single" w:sz="8" w:color="342C82"/>
            </w:tcBorders>
          </w:tcPr>
          <w:p>
            <w:pPr>
              <w:spacing w:after="0"/>
              <w:rPr>
                <w:sz w:val="4"/>
                <w:szCs w:val="4"/>
                <w:color w:val="auto"/>
              </w:rPr>
            </w:pPr>
          </w:p>
        </w:tc>
        <w:tc>
          <w:tcPr>
            <w:tcW w:w="80" w:type="dxa"/>
            <w:vAlign w:val="bottom"/>
            <w:tcBorders>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80" w:type="dxa"/>
            <w:vAlign w:val="bottom"/>
            <w:tcBorders>
              <w:top w:val="single" w:sz="8" w:color="0000EE"/>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r>
      <w:tr>
        <w:trPr>
          <w:trHeight w:val="183"/>
        </w:trPr>
        <w:tc>
          <w:tcPr>
            <w:tcW w:w="40" w:type="dxa"/>
            <w:vAlign w:val="bottom"/>
          </w:tcPr>
          <w:p>
            <w:pPr>
              <w:spacing w:after="0"/>
              <w:rPr>
                <w:sz w:val="15"/>
                <w:szCs w:val="15"/>
                <w:color w:val="auto"/>
              </w:rPr>
            </w:pPr>
          </w:p>
        </w:tc>
        <w:tc>
          <w:tcPr>
            <w:tcW w:w="6200" w:type="dxa"/>
            <w:vAlign w:val="bottom"/>
            <w:gridSpan w:val="35"/>
          </w:tcPr>
          <w:p>
            <w:pPr>
              <w:ind w:left="240"/>
              <w:spacing w:after="0" w:line="183" w:lineRule="exact"/>
              <w:rPr>
                <w:sz w:val="20"/>
                <w:szCs w:val="20"/>
                <w:color w:val="auto"/>
              </w:rPr>
            </w:pPr>
            <w:r>
              <w:rPr>
                <w:rFonts w:ascii="Arial" w:cs="Arial" w:eastAsia="Arial" w:hAnsi="Arial"/>
                <w:sz w:val="16"/>
                <w:szCs w:val="16"/>
                <w:color w:val="0000EE"/>
              </w:rPr>
              <w:t>Director nomination process</w:t>
            </w:r>
          </w:p>
        </w:tc>
        <w:tc>
          <w:tcPr>
            <w:tcW w:w="2180" w:type="dxa"/>
            <w:vAlign w:val="bottom"/>
            <w:gridSpan w:val="7"/>
          </w:tcPr>
          <w:p>
            <w:pPr>
              <w:jc w:val="right"/>
              <w:ind w:right="40"/>
              <w:spacing w:after="0" w:line="183" w:lineRule="exact"/>
              <w:rPr>
                <w:sz w:val="20"/>
                <w:szCs w:val="20"/>
                <w:color w:val="auto"/>
              </w:rPr>
            </w:pPr>
            <w:r>
              <w:rPr>
                <w:rFonts w:ascii="Arial" w:cs="Arial" w:eastAsia="Arial" w:hAnsi="Arial"/>
                <w:sz w:val="16"/>
                <w:szCs w:val="16"/>
                <w:color w:val="0000EE"/>
              </w:rPr>
              <w:t>11</w:t>
            </w:r>
          </w:p>
        </w:tc>
      </w:tr>
      <w:tr>
        <w:trPr>
          <w:trHeight w:val="48"/>
        </w:trPr>
        <w:tc>
          <w:tcPr>
            <w:tcW w:w="40" w:type="dxa"/>
            <w:vAlign w:val="bottom"/>
            <w:tcBorders>
              <w:bottom w:val="single" w:sz="8" w:color="342C82"/>
            </w:tcBorders>
          </w:tcPr>
          <w:p>
            <w:pPr>
              <w:spacing w:after="0"/>
              <w:rPr>
                <w:sz w:val="4"/>
                <w:szCs w:val="4"/>
                <w:color w:val="auto"/>
              </w:rPr>
            </w:pPr>
          </w:p>
        </w:tc>
        <w:tc>
          <w:tcPr>
            <w:tcW w:w="240" w:type="dxa"/>
            <w:vAlign w:val="bottom"/>
            <w:tcBorders>
              <w:bottom w:val="single" w:sz="8" w:color="342C82"/>
            </w:tcBorders>
          </w:tcPr>
          <w:p>
            <w:pPr>
              <w:spacing w:after="0"/>
              <w:rPr>
                <w:sz w:val="4"/>
                <w:szCs w:val="4"/>
                <w:color w:val="auto"/>
              </w:rPr>
            </w:pPr>
          </w:p>
        </w:tc>
        <w:tc>
          <w:tcPr>
            <w:tcW w:w="980" w:type="dxa"/>
            <w:vAlign w:val="bottom"/>
            <w:tcBorders>
              <w:top w:val="single" w:sz="8" w:color="0000EE"/>
              <w:bottom w:val="single" w:sz="8" w:color="342C82"/>
            </w:tcBorders>
          </w:tcPr>
          <w:p>
            <w:pPr>
              <w:spacing w:after="0"/>
              <w:rPr>
                <w:sz w:val="4"/>
                <w:szCs w:val="4"/>
                <w:color w:val="auto"/>
              </w:rPr>
            </w:pPr>
          </w:p>
        </w:tc>
        <w:tc>
          <w:tcPr>
            <w:tcW w:w="100" w:type="dxa"/>
            <w:vAlign w:val="bottom"/>
            <w:tcBorders>
              <w:top w:val="single" w:sz="8" w:color="0000EE"/>
              <w:bottom w:val="single" w:sz="8" w:color="342C82"/>
            </w:tcBorders>
          </w:tcPr>
          <w:p>
            <w:pPr>
              <w:spacing w:after="0"/>
              <w:rPr>
                <w:sz w:val="4"/>
                <w:szCs w:val="4"/>
                <w:color w:val="auto"/>
              </w:rPr>
            </w:pPr>
          </w:p>
        </w:tc>
        <w:tc>
          <w:tcPr>
            <w:tcW w:w="10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320" w:type="dxa"/>
            <w:vAlign w:val="bottom"/>
            <w:tcBorders>
              <w:top w:val="single" w:sz="8" w:color="0000EE"/>
              <w:bottom w:val="single" w:sz="8" w:color="342C82"/>
            </w:tcBorders>
          </w:tcPr>
          <w:p>
            <w:pPr>
              <w:spacing w:after="0"/>
              <w:rPr>
                <w:sz w:val="4"/>
                <w:szCs w:val="4"/>
                <w:color w:val="auto"/>
              </w:rPr>
            </w:pPr>
          </w:p>
        </w:tc>
        <w:tc>
          <w:tcPr>
            <w:tcW w:w="4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160" w:type="dxa"/>
            <w:vAlign w:val="bottom"/>
            <w:tcBorders>
              <w:top w:val="single" w:sz="8" w:color="0000EE"/>
              <w:bottom w:val="single" w:sz="8" w:color="342C82"/>
            </w:tcBorders>
          </w:tcPr>
          <w:p>
            <w:pPr>
              <w:spacing w:after="0"/>
              <w:rPr>
                <w:sz w:val="4"/>
                <w:szCs w:val="4"/>
                <w:color w:val="auto"/>
              </w:rPr>
            </w:pPr>
          </w:p>
        </w:tc>
        <w:tc>
          <w:tcPr>
            <w:tcW w:w="220" w:type="dxa"/>
            <w:vAlign w:val="bottom"/>
            <w:tcBorders>
              <w:top w:val="single" w:sz="8" w:color="0000EE"/>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80" w:type="dxa"/>
            <w:vAlign w:val="bottom"/>
            <w:tcBorders>
              <w:bottom w:val="single" w:sz="8" w:color="342C82"/>
            </w:tcBorders>
          </w:tcPr>
          <w:p>
            <w:pPr>
              <w:spacing w:after="0"/>
              <w:rPr>
                <w:sz w:val="4"/>
                <w:szCs w:val="4"/>
                <w:color w:val="auto"/>
              </w:rPr>
            </w:pPr>
          </w:p>
        </w:tc>
        <w:tc>
          <w:tcPr>
            <w:tcW w:w="16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28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2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18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380" w:type="dxa"/>
            <w:vAlign w:val="bottom"/>
            <w:tcBorders>
              <w:bottom w:val="single" w:sz="8" w:color="342C82"/>
            </w:tcBorders>
          </w:tcPr>
          <w:p>
            <w:pPr>
              <w:spacing w:after="0"/>
              <w:rPr>
                <w:sz w:val="4"/>
                <w:szCs w:val="4"/>
                <w:color w:val="auto"/>
              </w:rPr>
            </w:pPr>
          </w:p>
        </w:tc>
        <w:tc>
          <w:tcPr>
            <w:tcW w:w="340" w:type="dxa"/>
            <w:vAlign w:val="bottom"/>
            <w:tcBorders>
              <w:bottom w:val="single" w:sz="8" w:color="342C82"/>
            </w:tcBorders>
          </w:tcPr>
          <w:p>
            <w:pPr>
              <w:spacing w:after="0"/>
              <w:rPr>
                <w:sz w:val="4"/>
                <w:szCs w:val="4"/>
                <w:color w:val="auto"/>
              </w:rPr>
            </w:pPr>
          </w:p>
        </w:tc>
        <w:tc>
          <w:tcPr>
            <w:tcW w:w="108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560" w:type="dxa"/>
            <w:vAlign w:val="bottom"/>
            <w:tcBorders>
              <w:bottom w:val="single" w:sz="8" w:color="342C82"/>
            </w:tcBorders>
          </w:tcPr>
          <w:p>
            <w:pPr>
              <w:spacing w:after="0"/>
              <w:rPr>
                <w:sz w:val="4"/>
                <w:szCs w:val="4"/>
                <w:color w:val="auto"/>
              </w:rPr>
            </w:pPr>
          </w:p>
        </w:tc>
        <w:tc>
          <w:tcPr>
            <w:tcW w:w="180" w:type="dxa"/>
            <w:vAlign w:val="bottom"/>
            <w:tcBorders>
              <w:bottom w:val="single" w:sz="8" w:color="342C82"/>
            </w:tcBorders>
          </w:tcPr>
          <w:p>
            <w:pPr>
              <w:spacing w:after="0"/>
              <w:rPr>
                <w:sz w:val="4"/>
                <w:szCs w:val="4"/>
                <w:color w:val="auto"/>
              </w:rPr>
            </w:pPr>
          </w:p>
        </w:tc>
        <w:tc>
          <w:tcPr>
            <w:tcW w:w="1880" w:type="dxa"/>
            <w:vAlign w:val="bottom"/>
            <w:tcBorders>
              <w:bottom w:val="single" w:sz="8" w:color="342C82"/>
            </w:tcBorders>
          </w:tcPr>
          <w:p>
            <w:pPr>
              <w:spacing w:after="0"/>
              <w:rPr>
                <w:sz w:val="4"/>
                <w:szCs w:val="4"/>
                <w:color w:val="auto"/>
              </w:rPr>
            </w:pPr>
          </w:p>
        </w:tc>
        <w:tc>
          <w:tcPr>
            <w:tcW w:w="80" w:type="dxa"/>
            <w:vAlign w:val="bottom"/>
            <w:tcBorders>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80" w:type="dxa"/>
            <w:vAlign w:val="bottom"/>
            <w:tcBorders>
              <w:top w:val="single" w:sz="8" w:color="0000EE"/>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r>
      <w:tr>
        <w:trPr>
          <w:trHeight w:val="183"/>
        </w:trPr>
        <w:tc>
          <w:tcPr>
            <w:tcW w:w="40" w:type="dxa"/>
            <w:vAlign w:val="bottom"/>
          </w:tcPr>
          <w:p>
            <w:pPr>
              <w:spacing w:after="0"/>
              <w:rPr>
                <w:sz w:val="15"/>
                <w:szCs w:val="15"/>
                <w:color w:val="auto"/>
              </w:rPr>
            </w:pPr>
          </w:p>
        </w:tc>
        <w:tc>
          <w:tcPr>
            <w:tcW w:w="6200" w:type="dxa"/>
            <w:vAlign w:val="bottom"/>
            <w:gridSpan w:val="35"/>
          </w:tcPr>
          <w:p>
            <w:pPr>
              <w:ind w:left="240"/>
              <w:spacing w:after="0" w:line="183" w:lineRule="exact"/>
              <w:rPr>
                <w:sz w:val="20"/>
                <w:szCs w:val="20"/>
                <w:color w:val="auto"/>
              </w:rPr>
            </w:pPr>
            <w:r>
              <w:rPr>
                <w:rFonts w:ascii="Arial" w:cs="Arial" w:eastAsia="Arial" w:hAnsi="Arial"/>
                <w:sz w:val="16"/>
                <w:szCs w:val="16"/>
                <w:color w:val="0000EE"/>
              </w:rPr>
              <w:t>Director retirement policy; term limits</w:t>
            </w:r>
          </w:p>
        </w:tc>
        <w:tc>
          <w:tcPr>
            <w:tcW w:w="2180" w:type="dxa"/>
            <w:vAlign w:val="bottom"/>
            <w:gridSpan w:val="7"/>
          </w:tcPr>
          <w:p>
            <w:pPr>
              <w:jc w:val="right"/>
              <w:ind w:right="40"/>
              <w:spacing w:after="0" w:line="183" w:lineRule="exact"/>
              <w:rPr>
                <w:sz w:val="20"/>
                <w:szCs w:val="20"/>
                <w:color w:val="auto"/>
              </w:rPr>
            </w:pPr>
            <w:r>
              <w:rPr>
                <w:rFonts w:ascii="Arial" w:cs="Arial" w:eastAsia="Arial" w:hAnsi="Arial"/>
                <w:sz w:val="16"/>
                <w:szCs w:val="16"/>
                <w:color w:val="0000EE"/>
              </w:rPr>
              <w:t>12</w:t>
            </w:r>
          </w:p>
        </w:tc>
      </w:tr>
      <w:tr>
        <w:trPr>
          <w:trHeight w:val="48"/>
        </w:trPr>
        <w:tc>
          <w:tcPr>
            <w:tcW w:w="40" w:type="dxa"/>
            <w:vAlign w:val="bottom"/>
            <w:tcBorders>
              <w:bottom w:val="single" w:sz="8" w:color="342C82"/>
            </w:tcBorders>
          </w:tcPr>
          <w:p>
            <w:pPr>
              <w:spacing w:after="0"/>
              <w:rPr>
                <w:sz w:val="4"/>
                <w:szCs w:val="4"/>
                <w:color w:val="auto"/>
              </w:rPr>
            </w:pPr>
          </w:p>
        </w:tc>
        <w:tc>
          <w:tcPr>
            <w:tcW w:w="240" w:type="dxa"/>
            <w:vAlign w:val="bottom"/>
            <w:tcBorders>
              <w:bottom w:val="single" w:sz="8" w:color="342C82"/>
            </w:tcBorders>
          </w:tcPr>
          <w:p>
            <w:pPr>
              <w:spacing w:after="0"/>
              <w:rPr>
                <w:sz w:val="4"/>
                <w:szCs w:val="4"/>
                <w:color w:val="auto"/>
              </w:rPr>
            </w:pPr>
          </w:p>
        </w:tc>
        <w:tc>
          <w:tcPr>
            <w:tcW w:w="980" w:type="dxa"/>
            <w:vAlign w:val="bottom"/>
            <w:tcBorders>
              <w:top w:val="single" w:sz="8" w:color="0000EE"/>
              <w:bottom w:val="single" w:sz="8" w:color="342C82"/>
            </w:tcBorders>
          </w:tcPr>
          <w:p>
            <w:pPr>
              <w:spacing w:after="0"/>
              <w:rPr>
                <w:sz w:val="4"/>
                <w:szCs w:val="4"/>
                <w:color w:val="auto"/>
              </w:rPr>
            </w:pPr>
          </w:p>
        </w:tc>
        <w:tc>
          <w:tcPr>
            <w:tcW w:w="100" w:type="dxa"/>
            <w:vAlign w:val="bottom"/>
            <w:tcBorders>
              <w:top w:val="single" w:sz="8" w:color="0000EE"/>
              <w:bottom w:val="single" w:sz="8" w:color="342C82"/>
            </w:tcBorders>
          </w:tcPr>
          <w:p>
            <w:pPr>
              <w:spacing w:after="0"/>
              <w:rPr>
                <w:sz w:val="4"/>
                <w:szCs w:val="4"/>
                <w:color w:val="auto"/>
              </w:rPr>
            </w:pPr>
          </w:p>
        </w:tc>
        <w:tc>
          <w:tcPr>
            <w:tcW w:w="10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320" w:type="dxa"/>
            <w:vAlign w:val="bottom"/>
            <w:tcBorders>
              <w:top w:val="single" w:sz="8" w:color="0000EE"/>
              <w:bottom w:val="single" w:sz="8" w:color="342C82"/>
            </w:tcBorders>
          </w:tcPr>
          <w:p>
            <w:pPr>
              <w:spacing w:after="0"/>
              <w:rPr>
                <w:sz w:val="4"/>
                <w:szCs w:val="4"/>
                <w:color w:val="auto"/>
              </w:rPr>
            </w:pPr>
          </w:p>
        </w:tc>
        <w:tc>
          <w:tcPr>
            <w:tcW w:w="4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160" w:type="dxa"/>
            <w:vAlign w:val="bottom"/>
            <w:tcBorders>
              <w:top w:val="single" w:sz="8" w:color="0000EE"/>
              <w:bottom w:val="single" w:sz="8" w:color="342C82"/>
            </w:tcBorders>
          </w:tcPr>
          <w:p>
            <w:pPr>
              <w:spacing w:after="0"/>
              <w:rPr>
                <w:sz w:val="4"/>
                <w:szCs w:val="4"/>
                <w:color w:val="auto"/>
              </w:rPr>
            </w:pPr>
          </w:p>
        </w:tc>
        <w:tc>
          <w:tcPr>
            <w:tcW w:w="2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80" w:type="dxa"/>
            <w:vAlign w:val="bottom"/>
            <w:tcBorders>
              <w:top w:val="single" w:sz="8" w:color="0000EE"/>
              <w:bottom w:val="single" w:sz="8" w:color="342C82"/>
            </w:tcBorders>
          </w:tcPr>
          <w:p>
            <w:pPr>
              <w:spacing w:after="0"/>
              <w:rPr>
                <w:sz w:val="4"/>
                <w:szCs w:val="4"/>
                <w:color w:val="auto"/>
              </w:rPr>
            </w:pPr>
          </w:p>
        </w:tc>
        <w:tc>
          <w:tcPr>
            <w:tcW w:w="160" w:type="dxa"/>
            <w:vAlign w:val="bottom"/>
            <w:tcBorders>
              <w:top w:val="single" w:sz="8" w:color="0000EE"/>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280" w:type="dxa"/>
            <w:vAlign w:val="bottom"/>
            <w:tcBorders>
              <w:top w:val="single" w:sz="8" w:color="0000EE"/>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2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18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380" w:type="dxa"/>
            <w:vAlign w:val="bottom"/>
            <w:tcBorders>
              <w:bottom w:val="single" w:sz="8" w:color="342C82"/>
            </w:tcBorders>
          </w:tcPr>
          <w:p>
            <w:pPr>
              <w:spacing w:after="0"/>
              <w:rPr>
                <w:sz w:val="4"/>
                <w:szCs w:val="4"/>
                <w:color w:val="auto"/>
              </w:rPr>
            </w:pPr>
          </w:p>
        </w:tc>
        <w:tc>
          <w:tcPr>
            <w:tcW w:w="340" w:type="dxa"/>
            <w:vAlign w:val="bottom"/>
            <w:tcBorders>
              <w:bottom w:val="single" w:sz="8" w:color="342C82"/>
            </w:tcBorders>
          </w:tcPr>
          <w:p>
            <w:pPr>
              <w:spacing w:after="0"/>
              <w:rPr>
                <w:sz w:val="4"/>
                <w:szCs w:val="4"/>
                <w:color w:val="auto"/>
              </w:rPr>
            </w:pPr>
          </w:p>
        </w:tc>
        <w:tc>
          <w:tcPr>
            <w:tcW w:w="108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560" w:type="dxa"/>
            <w:vAlign w:val="bottom"/>
            <w:tcBorders>
              <w:bottom w:val="single" w:sz="8" w:color="342C82"/>
            </w:tcBorders>
          </w:tcPr>
          <w:p>
            <w:pPr>
              <w:spacing w:after="0"/>
              <w:rPr>
                <w:sz w:val="4"/>
                <w:szCs w:val="4"/>
                <w:color w:val="auto"/>
              </w:rPr>
            </w:pPr>
          </w:p>
        </w:tc>
        <w:tc>
          <w:tcPr>
            <w:tcW w:w="180" w:type="dxa"/>
            <w:vAlign w:val="bottom"/>
            <w:tcBorders>
              <w:bottom w:val="single" w:sz="8" w:color="342C82"/>
            </w:tcBorders>
          </w:tcPr>
          <w:p>
            <w:pPr>
              <w:spacing w:after="0"/>
              <w:rPr>
                <w:sz w:val="4"/>
                <w:szCs w:val="4"/>
                <w:color w:val="auto"/>
              </w:rPr>
            </w:pPr>
          </w:p>
        </w:tc>
        <w:tc>
          <w:tcPr>
            <w:tcW w:w="1880" w:type="dxa"/>
            <w:vAlign w:val="bottom"/>
            <w:tcBorders>
              <w:bottom w:val="single" w:sz="8" w:color="342C82"/>
            </w:tcBorders>
          </w:tcPr>
          <w:p>
            <w:pPr>
              <w:spacing w:after="0"/>
              <w:rPr>
                <w:sz w:val="4"/>
                <w:szCs w:val="4"/>
                <w:color w:val="auto"/>
              </w:rPr>
            </w:pPr>
          </w:p>
        </w:tc>
        <w:tc>
          <w:tcPr>
            <w:tcW w:w="80" w:type="dxa"/>
            <w:vAlign w:val="bottom"/>
            <w:tcBorders>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80" w:type="dxa"/>
            <w:vAlign w:val="bottom"/>
            <w:tcBorders>
              <w:top w:val="single" w:sz="8" w:color="0000EE"/>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r>
      <w:tr>
        <w:trPr>
          <w:trHeight w:val="183"/>
        </w:trPr>
        <w:tc>
          <w:tcPr>
            <w:tcW w:w="40" w:type="dxa"/>
            <w:vAlign w:val="bottom"/>
          </w:tcPr>
          <w:p>
            <w:pPr>
              <w:spacing w:after="0"/>
              <w:rPr>
                <w:sz w:val="15"/>
                <w:szCs w:val="15"/>
                <w:color w:val="auto"/>
              </w:rPr>
            </w:pPr>
          </w:p>
        </w:tc>
        <w:tc>
          <w:tcPr>
            <w:tcW w:w="6200" w:type="dxa"/>
            <w:vAlign w:val="bottom"/>
            <w:gridSpan w:val="35"/>
          </w:tcPr>
          <w:p>
            <w:pPr>
              <w:ind w:left="240"/>
              <w:spacing w:after="0" w:line="183" w:lineRule="exact"/>
              <w:rPr>
                <w:sz w:val="20"/>
                <w:szCs w:val="20"/>
                <w:color w:val="auto"/>
              </w:rPr>
            </w:pPr>
            <w:r>
              <w:rPr>
                <w:rFonts w:ascii="Arial" w:cs="Arial" w:eastAsia="Arial" w:hAnsi="Arial"/>
                <w:sz w:val="16"/>
                <w:szCs w:val="16"/>
                <w:color w:val="0000EE"/>
              </w:rPr>
              <w:t>Corporate governance</w:t>
            </w:r>
          </w:p>
        </w:tc>
        <w:tc>
          <w:tcPr>
            <w:tcW w:w="2180" w:type="dxa"/>
            <w:vAlign w:val="bottom"/>
            <w:gridSpan w:val="7"/>
          </w:tcPr>
          <w:p>
            <w:pPr>
              <w:jc w:val="right"/>
              <w:ind w:right="40"/>
              <w:spacing w:after="0" w:line="183" w:lineRule="exact"/>
              <w:rPr>
                <w:sz w:val="20"/>
                <w:szCs w:val="20"/>
                <w:color w:val="auto"/>
              </w:rPr>
            </w:pPr>
            <w:r>
              <w:rPr>
                <w:rFonts w:ascii="Arial" w:cs="Arial" w:eastAsia="Arial" w:hAnsi="Arial"/>
                <w:sz w:val="16"/>
                <w:szCs w:val="16"/>
                <w:color w:val="0000EE"/>
              </w:rPr>
              <w:t>13</w:t>
            </w:r>
          </w:p>
        </w:tc>
      </w:tr>
      <w:tr>
        <w:trPr>
          <w:trHeight w:val="48"/>
        </w:trPr>
        <w:tc>
          <w:tcPr>
            <w:tcW w:w="40" w:type="dxa"/>
            <w:vAlign w:val="bottom"/>
            <w:tcBorders>
              <w:bottom w:val="single" w:sz="8" w:color="342C82"/>
            </w:tcBorders>
          </w:tcPr>
          <w:p>
            <w:pPr>
              <w:spacing w:after="0"/>
              <w:rPr>
                <w:sz w:val="4"/>
                <w:szCs w:val="4"/>
                <w:color w:val="auto"/>
              </w:rPr>
            </w:pPr>
          </w:p>
        </w:tc>
        <w:tc>
          <w:tcPr>
            <w:tcW w:w="240" w:type="dxa"/>
            <w:vAlign w:val="bottom"/>
            <w:tcBorders>
              <w:bottom w:val="single" w:sz="8" w:color="342C82"/>
            </w:tcBorders>
          </w:tcPr>
          <w:p>
            <w:pPr>
              <w:spacing w:after="0"/>
              <w:rPr>
                <w:sz w:val="4"/>
                <w:szCs w:val="4"/>
                <w:color w:val="auto"/>
              </w:rPr>
            </w:pPr>
          </w:p>
        </w:tc>
        <w:tc>
          <w:tcPr>
            <w:tcW w:w="980" w:type="dxa"/>
            <w:vAlign w:val="bottom"/>
            <w:tcBorders>
              <w:top w:val="single" w:sz="8" w:color="0000EE"/>
              <w:bottom w:val="single" w:sz="8" w:color="342C82"/>
            </w:tcBorders>
          </w:tcPr>
          <w:p>
            <w:pPr>
              <w:spacing w:after="0"/>
              <w:rPr>
                <w:sz w:val="4"/>
                <w:szCs w:val="4"/>
                <w:color w:val="auto"/>
              </w:rPr>
            </w:pPr>
          </w:p>
        </w:tc>
        <w:tc>
          <w:tcPr>
            <w:tcW w:w="100" w:type="dxa"/>
            <w:vAlign w:val="bottom"/>
            <w:tcBorders>
              <w:top w:val="single" w:sz="8" w:color="0000EE"/>
              <w:bottom w:val="single" w:sz="8" w:color="342C82"/>
            </w:tcBorders>
          </w:tcPr>
          <w:p>
            <w:pPr>
              <w:spacing w:after="0"/>
              <w:rPr>
                <w:sz w:val="4"/>
                <w:szCs w:val="4"/>
                <w:color w:val="auto"/>
              </w:rPr>
            </w:pPr>
          </w:p>
        </w:tc>
        <w:tc>
          <w:tcPr>
            <w:tcW w:w="10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320" w:type="dxa"/>
            <w:vAlign w:val="bottom"/>
            <w:tcBorders>
              <w:top w:val="single" w:sz="8" w:color="0000EE"/>
              <w:bottom w:val="single" w:sz="8" w:color="342C82"/>
            </w:tcBorders>
          </w:tcPr>
          <w:p>
            <w:pPr>
              <w:spacing w:after="0"/>
              <w:rPr>
                <w:sz w:val="4"/>
                <w:szCs w:val="4"/>
                <w:color w:val="auto"/>
              </w:rPr>
            </w:pPr>
          </w:p>
        </w:tc>
        <w:tc>
          <w:tcPr>
            <w:tcW w:w="4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160" w:type="dxa"/>
            <w:vAlign w:val="bottom"/>
            <w:tcBorders>
              <w:bottom w:val="single" w:sz="8" w:color="342C82"/>
            </w:tcBorders>
          </w:tcPr>
          <w:p>
            <w:pPr>
              <w:spacing w:after="0"/>
              <w:rPr>
                <w:sz w:val="4"/>
                <w:szCs w:val="4"/>
                <w:color w:val="auto"/>
              </w:rPr>
            </w:pPr>
          </w:p>
        </w:tc>
        <w:tc>
          <w:tcPr>
            <w:tcW w:w="2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80" w:type="dxa"/>
            <w:vAlign w:val="bottom"/>
            <w:tcBorders>
              <w:bottom w:val="single" w:sz="8" w:color="342C82"/>
            </w:tcBorders>
          </w:tcPr>
          <w:p>
            <w:pPr>
              <w:spacing w:after="0"/>
              <w:rPr>
                <w:sz w:val="4"/>
                <w:szCs w:val="4"/>
                <w:color w:val="auto"/>
              </w:rPr>
            </w:pPr>
          </w:p>
        </w:tc>
        <w:tc>
          <w:tcPr>
            <w:tcW w:w="16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28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2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18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380" w:type="dxa"/>
            <w:vAlign w:val="bottom"/>
            <w:tcBorders>
              <w:bottom w:val="single" w:sz="8" w:color="342C82"/>
            </w:tcBorders>
          </w:tcPr>
          <w:p>
            <w:pPr>
              <w:spacing w:after="0"/>
              <w:rPr>
                <w:sz w:val="4"/>
                <w:szCs w:val="4"/>
                <w:color w:val="auto"/>
              </w:rPr>
            </w:pPr>
          </w:p>
        </w:tc>
        <w:tc>
          <w:tcPr>
            <w:tcW w:w="340" w:type="dxa"/>
            <w:vAlign w:val="bottom"/>
            <w:tcBorders>
              <w:bottom w:val="single" w:sz="8" w:color="342C82"/>
            </w:tcBorders>
          </w:tcPr>
          <w:p>
            <w:pPr>
              <w:spacing w:after="0"/>
              <w:rPr>
                <w:sz w:val="4"/>
                <w:szCs w:val="4"/>
                <w:color w:val="auto"/>
              </w:rPr>
            </w:pPr>
          </w:p>
        </w:tc>
        <w:tc>
          <w:tcPr>
            <w:tcW w:w="108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560" w:type="dxa"/>
            <w:vAlign w:val="bottom"/>
            <w:tcBorders>
              <w:bottom w:val="single" w:sz="8" w:color="342C82"/>
            </w:tcBorders>
          </w:tcPr>
          <w:p>
            <w:pPr>
              <w:spacing w:after="0"/>
              <w:rPr>
                <w:sz w:val="4"/>
                <w:szCs w:val="4"/>
                <w:color w:val="auto"/>
              </w:rPr>
            </w:pPr>
          </w:p>
        </w:tc>
        <w:tc>
          <w:tcPr>
            <w:tcW w:w="180" w:type="dxa"/>
            <w:vAlign w:val="bottom"/>
            <w:tcBorders>
              <w:bottom w:val="single" w:sz="8" w:color="342C82"/>
            </w:tcBorders>
          </w:tcPr>
          <w:p>
            <w:pPr>
              <w:spacing w:after="0"/>
              <w:rPr>
                <w:sz w:val="4"/>
                <w:szCs w:val="4"/>
                <w:color w:val="auto"/>
              </w:rPr>
            </w:pPr>
          </w:p>
        </w:tc>
        <w:tc>
          <w:tcPr>
            <w:tcW w:w="1880" w:type="dxa"/>
            <w:vAlign w:val="bottom"/>
            <w:tcBorders>
              <w:bottom w:val="single" w:sz="8" w:color="342C82"/>
            </w:tcBorders>
          </w:tcPr>
          <w:p>
            <w:pPr>
              <w:spacing w:after="0"/>
              <w:rPr>
                <w:sz w:val="4"/>
                <w:szCs w:val="4"/>
                <w:color w:val="auto"/>
              </w:rPr>
            </w:pPr>
          </w:p>
        </w:tc>
        <w:tc>
          <w:tcPr>
            <w:tcW w:w="80" w:type="dxa"/>
            <w:vAlign w:val="bottom"/>
            <w:tcBorders>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80" w:type="dxa"/>
            <w:vAlign w:val="bottom"/>
            <w:tcBorders>
              <w:top w:val="single" w:sz="8" w:color="0000EE"/>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r>
      <w:tr>
        <w:trPr>
          <w:trHeight w:val="183"/>
        </w:trPr>
        <w:tc>
          <w:tcPr>
            <w:tcW w:w="40" w:type="dxa"/>
            <w:vAlign w:val="bottom"/>
          </w:tcPr>
          <w:p>
            <w:pPr>
              <w:spacing w:after="0"/>
              <w:rPr>
                <w:sz w:val="15"/>
                <w:szCs w:val="15"/>
                <w:color w:val="auto"/>
              </w:rPr>
            </w:pPr>
          </w:p>
        </w:tc>
        <w:tc>
          <w:tcPr>
            <w:tcW w:w="6200" w:type="dxa"/>
            <w:vAlign w:val="bottom"/>
            <w:gridSpan w:val="35"/>
          </w:tcPr>
          <w:p>
            <w:pPr>
              <w:ind w:left="240"/>
              <w:spacing w:after="0" w:line="183" w:lineRule="exact"/>
              <w:rPr>
                <w:sz w:val="20"/>
                <w:szCs w:val="20"/>
                <w:color w:val="auto"/>
              </w:rPr>
            </w:pPr>
            <w:r>
              <w:rPr>
                <w:rFonts w:ascii="Arial" w:cs="Arial" w:eastAsia="Arial" w:hAnsi="Arial"/>
                <w:sz w:val="16"/>
                <w:szCs w:val="16"/>
                <w:color w:val="0000EE"/>
              </w:rPr>
              <w:t>The Board and committees of the Board</w:t>
            </w:r>
          </w:p>
        </w:tc>
        <w:tc>
          <w:tcPr>
            <w:tcW w:w="2180" w:type="dxa"/>
            <w:vAlign w:val="bottom"/>
            <w:gridSpan w:val="7"/>
          </w:tcPr>
          <w:p>
            <w:pPr>
              <w:jc w:val="right"/>
              <w:ind w:right="40"/>
              <w:spacing w:after="0" w:line="183" w:lineRule="exact"/>
              <w:rPr>
                <w:sz w:val="20"/>
                <w:szCs w:val="20"/>
                <w:color w:val="auto"/>
              </w:rPr>
            </w:pPr>
            <w:r>
              <w:rPr>
                <w:rFonts w:ascii="Arial" w:cs="Arial" w:eastAsia="Arial" w:hAnsi="Arial"/>
                <w:sz w:val="16"/>
                <w:szCs w:val="16"/>
                <w:color w:val="0000EE"/>
              </w:rPr>
              <w:t>13</w:t>
            </w:r>
          </w:p>
        </w:tc>
      </w:tr>
      <w:tr>
        <w:trPr>
          <w:trHeight w:val="48"/>
        </w:trPr>
        <w:tc>
          <w:tcPr>
            <w:tcW w:w="40" w:type="dxa"/>
            <w:vAlign w:val="bottom"/>
            <w:tcBorders>
              <w:bottom w:val="single" w:sz="8" w:color="342C82"/>
            </w:tcBorders>
          </w:tcPr>
          <w:p>
            <w:pPr>
              <w:spacing w:after="0"/>
              <w:rPr>
                <w:sz w:val="4"/>
                <w:szCs w:val="4"/>
                <w:color w:val="auto"/>
              </w:rPr>
            </w:pPr>
          </w:p>
        </w:tc>
        <w:tc>
          <w:tcPr>
            <w:tcW w:w="240" w:type="dxa"/>
            <w:vAlign w:val="bottom"/>
            <w:tcBorders>
              <w:bottom w:val="single" w:sz="8" w:color="342C82"/>
            </w:tcBorders>
          </w:tcPr>
          <w:p>
            <w:pPr>
              <w:spacing w:after="0"/>
              <w:rPr>
                <w:sz w:val="4"/>
                <w:szCs w:val="4"/>
                <w:color w:val="auto"/>
              </w:rPr>
            </w:pPr>
          </w:p>
        </w:tc>
        <w:tc>
          <w:tcPr>
            <w:tcW w:w="980" w:type="dxa"/>
            <w:vAlign w:val="bottom"/>
            <w:tcBorders>
              <w:top w:val="single" w:sz="8" w:color="0000EE"/>
              <w:bottom w:val="single" w:sz="8" w:color="342C82"/>
            </w:tcBorders>
          </w:tcPr>
          <w:p>
            <w:pPr>
              <w:spacing w:after="0"/>
              <w:rPr>
                <w:sz w:val="4"/>
                <w:szCs w:val="4"/>
                <w:color w:val="auto"/>
              </w:rPr>
            </w:pPr>
          </w:p>
        </w:tc>
        <w:tc>
          <w:tcPr>
            <w:tcW w:w="100" w:type="dxa"/>
            <w:vAlign w:val="bottom"/>
            <w:tcBorders>
              <w:top w:val="single" w:sz="8" w:color="0000EE"/>
              <w:bottom w:val="single" w:sz="8" w:color="342C82"/>
            </w:tcBorders>
          </w:tcPr>
          <w:p>
            <w:pPr>
              <w:spacing w:after="0"/>
              <w:rPr>
                <w:sz w:val="4"/>
                <w:szCs w:val="4"/>
                <w:color w:val="auto"/>
              </w:rPr>
            </w:pPr>
          </w:p>
        </w:tc>
        <w:tc>
          <w:tcPr>
            <w:tcW w:w="10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320" w:type="dxa"/>
            <w:vAlign w:val="bottom"/>
            <w:tcBorders>
              <w:top w:val="single" w:sz="8" w:color="0000EE"/>
              <w:bottom w:val="single" w:sz="8" w:color="342C82"/>
            </w:tcBorders>
          </w:tcPr>
          <w:p>
            <w:pPr>
              <w:spacing w:after="0"/>
              <w:rPr>
                <w:sz w:val="4"/>
                <w:szCs w:val="4"/>
                <w:color w:val="auto"/>
              </w:rPr>
            </w:pPr>
          </w:p>
        </w:tc>
        <w:tc>
          <w:tcPr>
            <w:tcW w:w="4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160" w:type="dxa"/>
            <w:vAlign w:val="bottom"/>
            <w:tcBorders>
              <w:top w:val="single" w:sz="8" w:color="0000EE"/>
              <w:bottom w:val="single" w:sz="8" w:color="342C82"/>
            </w:tcBorders>
          </w:tcPr>
          <w:p>
            <w:pPr>
              <w:spacing w:after="0"/>
              <w:rPr>
                <w:sz w:val="4"/>
                <w:szCs w:val="4"/>
                <w:color w:val="auto"/>
              </w:rPr>
            </w:pPr>
          </w:p>
        </w:tc>
        <w:tc>
          <w:tcPr>
            <w:tcW w:w="2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80" w:type="dxa"/>
            <w:vAlign w:val="bottom"/>
            <w:tcBorders>
              <w:top w:val="single" w:sz="8" w:color="0000EE"/>
              <w:bottom w:val="single" w:sz="8" w:color="342C82"/>
            </w:tcBorders>
          </w:tcPr>
          <w:p>
            <w:pPr>
              <w:spacing w:after="0"/>
              <w:rPr>
                <w:sz w:val="4"/>
                <w:szCs w:val="4"/>
                <w:color w:val="auto"/>
              </w:rPr>
            </w:pPr>
          </w:p>
        </w:tc>
        <w:tc>
          <w:tcPr>
            <w:tcW w:w="160" w:type="dxa"/>
            <w:vAlign w:val="bottom"/>
            <w:tcBorders>
              <w:top w:val="single" w:sz="8" w:color="0000EE"/>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280" w:type="dxa"/>
            <w:vAlign w:val="bottom"/>
            <w:tcBorders>
              <w:top w:val="single" w:sz="8" w:color="0000EE"/>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40" w:type="dxa"/>
            <w:vAlign w:val="bottom"/>
            <w:tcBorders>
              <w:top w:val="single" w:sz="8" w:color="0000EE"/>
              <w:bottom w:val="single" w:sz="8" w:color="342C82"/>
            </w:tcBorders>
          </w:tcPr>
          <w:p>
            <w:pPr>
              <w:spacing w:after="0"/>
              <w:rPr>
                <w:sz w:val="4"/>
                <w:szCs w:val="4"/>
                <w:color w:val="auto"/>
              </w:rPr>
            </w:pPr>
          </w:p>
        </w:tc>
        <w:tc>
          <w:tcPr>
            <w:tcW w:w="40" w:type="dxa"/>
            <w:vAlign w:val="bottom"/>
            <w:tcBorders>
              <w:top w:val="single" w:sz="8" w:color="0000EE"/>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2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18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380" w:type="dxa"/>
            <w:vAlign w:val="bottom"/>
            <w:tcBorders>
              <w:bottom w:val="single" w:sz="8" w:color="342C82"/>
            </w:tcBorders>
          </w:tcPr>
          <w:p>
            <w:pPr>
              <w:spacing w:after="0"/>
              <w:rPr>
                <w:sz w:val="4"/>
                <w:szCs w:val="4"/>
                <w:color w:val="auto"/>
              </w:rPr>
            </w:pPr>
          </w:p>
        </w:tc>
        <w:tc>
          <w:tcPr>
            <w:tcW w:w="340" w:type="dxa"/>
            <w:vAlign w:val="bottom"/>
            <w:tcBorders>
              <w:bottom w:val="single" w:sz="8" w:color="342C82"/>
            </w:tcBorders>
          </w:tcPr>
          <w:p>
            <w:pPr>
              <w:spacing w:after="0"/>
              <w:rPr>
                <w:sz w:val="4"/>
                <w:szCs w:val="4"/>
                <w:color w:val="auto"/>
              </w:rPr>
            </w:pPr>
          </w:p>
        </w:tc>
        <w:tc>
          <w:tcPr>
            <w:tcW w:w="108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560" w:type="dxa"/>
            <w:vAlign w:val="bottom"/>
            <w:tcBorders>
              <w:bottom w:val="single" w:sz="8" w:color="342C82"/>
            </w:tcBorders>
          </w:tcPr>
          <w:p>
            <w:pPr>
              <w:spacing w:after="0"/>
              <w:rPr>
                <w:sz w:val="4"/>
                <w:szCs w:val="4"/>
                <w:color w:val="auto"/>
              </w:rPr>
            </w:pPr>
          </w:p>
        </w:tc>
        <w:tc>
          <w:tcPr>
            <w:tcW w:w="180" w:type="dxa"/>
            <w:vAlign w:val="bottom"/>
            <w:tcBorders>
              <w:bottom w:val="single" w:sz="8" w:color="342C82"/>
            </w:tcBorders>
          </w:tcPr>
          <w:p>
            <w:pPr>
              <w:spacing w:after="0"/>
              <w:rPr>
                <w:sz w:val="4"/>
                <w:szCs w:val="4"/>
                <w:color w:val="auto"/>
              </w:rPr>
            </w:pPr>
          </w:p>
        </w:tc>
        <w:tc>
          <w:tcPr>
            <w:tcW w:w="1880" w:type="dxa"/>
            <w:vAlign w:val="bottom"/>
            <w:tcBorders>
              <w:bottom w:val="single" w:sz="8" w:color="342C82"/>
            </w:tcBorders>
          </w:tcPr>
          <w:p>
            <w:pPr>
              <w:spacing w:after="0"/>
              <w:rPr>
                <w:sz w:val="4"/>
                <w:szCs w:val="4"/>
                <w:color w:val="auto"/>
              </w:rPr>
            </w:pPr>
          </w:p>
        </w:tc>
        <w:tc>
          <w:tcPr>
            <w:tcW w:w="80" w:type="dxa"/>
            <w:vAlign w:val="bottom"/>
            <w:tcBorders>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80" w:type="dxa"/>
            <w:vAlign w:val="bottom"/>
            <w:tcBorders>
              <w:top w:val="single" w:sz="8" w:color="0000EE"/>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r>
      <w:tr>
        <w:trPr>
          <w:trHeight w:val="183"/>
        </w:trPr>
        <w:tc>
          <w:tcPr>
            <w:tcW w:w="40" w:type="dxa"/>
            <w:vAlign w:val="bottom"/>
          </w:tcPr>
          <w:p>
            <w:pPr>
              <w:spacing w:after="0"/>
              <w:rPr>
                <w:sz w:val="15"/>
                <w:szCs w:val="15"/>
                <w:color w:val="auto"/>
              </w:rPr>
            </w:pPr>
          </w:p>
        </w:tc>
        <w:tc>
          <w:tcPr>
            <w:tcW w:w="6200" w:type="dxa"/>
            <w:vAlign w:val="bottom"/>
            <w:gridSpan w:val="35"/>
          </w:tcPr>
          <w:p>
            <w:pPr>
              <w:ind w:left="240"/>
              <w:spacing w:after="0" w:line="183" w:lineRule="exact"/>
              <w:rPr>
                <w:sz w:val="20"/>
                <w:szCs w:val="20"/>
                <w:color w:val="auto"/>
              </w:rPr>
            </w:pPr>
            <w:r>
              <w:rPr>
                <w:rFonts w:ascii="Arial" w:cs="Arial" w:eastAsia="Arial" w:hAnsi="Arial"/>
                <w:sz w:val="16"/>
                <w:szCs w:val="16"/>
                <w:color w:val="0000EE"/>
              </w:rPr>
              <w:t>Board practices, policies and processes</w:t>
            </w:r>
          </w:p>
        </w:tc>
        <w:tc>
          <w:tcPr>
            <w:tcW w:w="2180" w:type="dxa"/>
            <w:vAlign w:val="bottom"/>
            <w:gridSpan w:val="7"/>
          </w:tcPr>
          <w:p>
            <w:pPr>
              <w:jc w:val="right"/>
              <w:ind w:right="40"/>
              <w:spacing w:after="0" w:line="183" w:lineRule="exact"/>
              <w:rPr>
                <w:sz w:val="20"/>
                <w:szCs w:val="20"/>
                <w:color w:val="auto"/>
              </w:rPr>
            </w:pPr>
            <w:r>
              <w:rPr>
                <w:rFonts w:ascii="Arial" w:cs="Arial" w:eastAsia="Arial" w:hAnsi="Arial"/>
                <w:sz w:val="16"/>
                <w:szCs w:val="16"/>
                <w:color w:val="0000EE"/>
              </w:rPr>
              <w:t>23</w:t>
            </w:r>
          </w:p>
        </w:tc>
      </w:tr>
      <w:tr>
        <w:trPr>
          <w:trHeight w:val="48"/>
        </w:trPr>
        <w:tc>
          <w:tcPr>
            <w:tcW w:w="40" w:type="dxa"/>
            <w:vAlign w:val="bottom"/>
            <w:tcBorders>
              <w:bottom w:val="single" w:sz="8" w:color="342C82"/>
            </w:tcBorders>
          </w:tcPr>
          <w:p>
            <w:pPr>
              <w:spacing w:after="0"/>
              <w:rPr>
                <w:sz w:val="4"/>
                <w:szCs w:val="4"/>
                <w:color w:val="auto"/>
              </w:rPr>
            </w:pPr>
          </w:p>
        </w:tc>
        <w:tc>
          <w:tcPr>
            <w:tcW w:w="240" w:type="dxa"/>
            <w:vAlign w:val="bottom"/>
            <w:tcBorders>
              <w:bottom w:val="single" w:sz="8" w:color="342C82"/>
            </w:tcBorders>
          </w:tcPr>
          <w:p>
            <w:pPr>
              <w:spacing w:after="0"/>
              <w:rPr>
                <w:sz w:val="4"/>
                <w:szCs w:val="4"/>
                <w:color w:val="auto"/>
              </w:rPr>
            </w:pPr>
          </w:p>
        </w:tc>
        <w:tc>
          <w:tcPr>
            <w:tcW w:w="980" w:type="dxa"/>
            <w:vAlign w:val="bottom"/>
            <w:tcBorders>
              <w:top w:val="single" w:sz="8" w:color="0000EE"/>
              <w:bottom w:val="single" w:sz="8" w:color="342C82"/>
            </w:tcBorders>
          </w:tcPr>
          <w:p>
            <w:pPr>
              <w:spacing w:after="0"/>
              <w:rPr>
                <w:sz w:val="4"/>
                <w:szCs w:val="4"/>
                <w:color w:val="auto"/>
              </w:rPr>
            </w:pPr>
          </w:p>
        </w:tc>
        <w:tc>
          <w:tcPr>
            <w:tcW w:w="100" w:type="dxa"/>
            <w:vAlign w:val="bottom"/>
            <w:tcBorders>
              <w:top w:val="single" w:sz="8" w:color="0000EE"/>
              <w:bottom w:val="single" w:sz="8" w:color="342C82"/>
            </w:tcBorders>
          </w:tcPr>
          <w:p>
            <w:pPr>
              <w:spacing w:after="0"/>
              <w:rPr>
                <w:sz w:val="4"/>
                <w:szCs w:val="4"/>
                <w:color w:val="auto"/>
              </w:rPr>
            </w:pPr>
          </w:p>
        </w:tc>
        <w:tc>
          <w:tcPr>
            <w:tcW w:w="10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320" w:type="dxa"/>
            <w:vAlign w:val="bottom"/>
            <w:tcBorders>
              <w:top w:val="single" w:sz="8" w:color="0000EE"/>
              <w:bottom w:val="single" w:sz="8" w:color="342C82"/>
            </w:tcBorders>
          </w:tcPr>
          <w:p>
            <w:pPr>
              <w:spacing w:after="0"/>
              <w:rPr>
                <w:sz w:val="4"/>
                <w:szCs w:val="4"/>
                <w:color w:val="auto"/>
              </w:rPr>
            </w:pPr>
          </w:p>
        </w:tc>
        <w:tc>
          <w:tcPr>
            <w:tcW w:w="4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160" w:type="dxa"/>
            <w:vAlign w:val="bottom"/>
            <w:tcBorders>
              <w:top w:val="single" w:sz="8" w:color="0000EE"/>
              <w:bottom w:val="single" w:sz="8" w:color="342C82"/>
            </w:tcBorders>
          </w:tcPr>
          <w:p>
            <w:pPr>
              <w:spacing w:after="0"/>
              <w:rPr>
                <w:sz w:val="4"/>
                <w:szCs w:val="4"/>
                <w:color w:val="auto"/>
              </w:rPr>
            </w:pPr>
          </w:p>
        </w:tc>
        <w:tc>
          <w:tcPr>
            <w:tcW w:w="2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80" w:type="dxa"/>
            <w:vAlign w:val="bottom"/>
            <w:tcBorders>
              <w:top w:val="single" w:sz="8" w:color="0000EE"/>
              <w:bottom w:val="single" w:sz="8" w:color="342C82"/>
            </w:tcBorders>
          </w:tcPr>
          <w:p>
            <w:pPr>
              <w:spacing w:after="0"/>
              <w:rPr>
                <w:sz w:val="4"/>
                <w:szCs w:val="4"/>
                <w:color w:val="auto"/>
              </w:rPr>
            </w:pPr>
          </w:p>
        </w:tc>
        <w:tc>
          <w:tcPr>
            <w:tcW w:w="160" w:type="dxa"/>
            <w:vAlign w:val="bottom"/>
            <w:tcBorders>
              <w:top w:val="single" w:sz="8" w:color="0000EE"/>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280" w:type="dxa"/>
            <w:vAlign w:val="bottom"/>
            <w:tcBorders>
              <w:top w:val="single" w:sz="8" w:color="0000EE"/>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40" w:type="dxa"/>
            <w:vAlign w:val="bottom"/>
            <w:tcBorders>
              <w:top w:val="single" w:sz="8" w:color="0000EE"/>
              <w:bottom w:val="single" w:sz="8" w:color="342C82"/>
            </w:tcBorders>
          </w:tcPr>
          <w:p>
            <w:pPr>
              <w:spacing w:after="0"/>
              <w:rPr>
                <w:sz w:val="4"/>
                <w:szCs w:val="4"/>
                <w:color w:val="auto"/>
              </w:rPr>
            </w:pPr>
          </w:p>
        </w:tc>
        <w:tc>
          <w:tcPr>
            <w:tcW w:w="40" w:type="dxa"/>
            <w:vAlign w:val="bottom"/>
            <w:tcBorders>
              <w:top w:val="single" w:sz="8" w:color="0000EE"/>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2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18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380" w:type="dxa"/>
            <w:vAlign w:val="bottom"/>
            <w:tcBorders>
              <w:bottom w:val="single" w:sz="8" w:color="342C82"/>
            </w:tcBorders>
          </w:tcPr>
          <w:p>
            <w:pPr>
              <w:spacing w:after="0"/>
              <w:rPr>
                <w:sz w:val="4"/>
                <w:szCs w:val="4"/>
                <w:color w:val="auto"/>
              </w:rPr>
            </w:pPr>
          </w:p>
        </w:tc>
        <w:tc>
          <w:tcPr>
            <w:tcW w:w="340" w:type="dxa"/>
            <w:vAlign w:val="bottom"/>
            <w:tcBorders>
              <w:bottom w:val="single" w:sz="8" w:color="342C82"/>
            </w:tcBorders>
          </w:tcPr>
          <w:p>
            <w:pPr>
              <w:spacing w:after="0"/>
              <w:rPr>
                <w:sz w:val="4"/>
                <w:szCs w:val="4"/>
                <w:color w:val="auto"/>
              </w:rPr>
            </w:pPr>
          </w:p>
        </w:tc>
        <w:tc>
          <w:tcPr>
            <w:tcW w:w="108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560" w:type="dxa"/>
            <w:vAlign w:val="bottom"/>
            <w:tcBorders>
              <w:bottom w:val="single" w:sz="8" w:color="342C82"/>
            </w:tcBorders>
          </w:tcPr>
          <w:p>
            <w:pPr>
              <w:spacing w:after="0"/>
              <w:rPr>
                <w:sz w:val="4"/>
                <w:szCs w:val="4"/>
                <w:color w:val="auto"/>
              </w:rPr>
            </w:pPr>
          </w:p>
        </w:tc>
        <w:tc>
          <w:tcPr>
            <w:tcW w:w="180" w:type="dxa"/>
            <w:vAlign w:val="bottom"/>
            <w:tcBorders>
              <w:bottom w:val="single" w:sz="8" w:color="342C82"/>
            </w:tcBorders>
          </w:tcPr>
          <w:p>
            <w:pPr>
              <w:spacing w:after="0"/>
              <w:rPr>
                <w:sz w:val="4"/>
                <w:szCs w:val="4"/>
                <w:color w:val="auto"/>
              </w:rPr>
            </w:pPr>
          </w:p>
        </w:tc>
        <w:tc>
          <w:tcPr>
            <w:tcW w:w="1880" w:type="dxa"/>
            <w:vAlign w:val="bottom"/>
            <w:tcBorders>
              <w:bottom w:val="single" w:sz="8" w:color="342C82"/>
            </w:tcBorders>
          </w:tcPr>
          <w:p>
            <w:pPr>
              <w:spacing w:after="0"/>
              <w:rPr>
                <w:sz w:val="4"/>
                <w:szCs w:val="4"/>
                <w:color w:val="auto"/>
              </w:rPr>
            </w:pPr>
          </w:p>
        </w:tc>
        <w:tc>
          <w:tcPr>
            <w:tcW w:w="80" w:type="dxa"/>
            <w:vAlign w:val="bottom"/>
            <w:tcBorders>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80" w:type="dxa"/>
            <w:vAlign w:val="bottom"/>
            <w:tcBorders>
              <w:top w:val="single" w:sz="8" w:color="0000EE"/>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r>
      <w:tr>
        <w:trPr>
          <w:trHeight w:val="183"/>
        </w:trPr>
        <w:tc>
          <w:tcPr>
            <w:tcW w:w="40" w:type="dxa"/>
            <w:vAlign w:val="bottom"/>
          </w:tcPr>
          <w:p>
            <w:pPr>
              <w:spacing w:after="0"/>
              <w:rPr>
                <w:sz w:val="15"/>
                <w:szCs w:val="15"/>
                <w:color w:val="auto"/>
              </w:rPr>
            </w:pPr>
          </w:p>
        </w:tc>
        <w:tc>
          <w:tcPr>
            <w:tcW w:w="6200" w:type="dxa"/>
            <w:vAlign w:val="bottom"/>
            <w:gridSpan w:val="35"/>
          </w:tcPr>
          <w:p>
            <w:pPr>
              <w:ind w:left="240"/>
              <w:spacing w:after="0" w:line="183" w:lineRule="exact"/>
              <w:rPr>
                <w:sz w:val="20"/>
                <w:szCs w:val="20"/>
                <w:color w:val="auto"/>
              </w:rPr>
            </w:pPr>
            <w:r>
              <w:rPr>
                <w:rFonts w:ascii="Arial" w:cs="Arial" w:eastAsia="Arial" w:hAnsi="Arial"/>
                <w:sz w:val="16"/>
                <w:szCs w:val="16"/>
                <w:color w:val="0000EE"/>
              </w:rPr>
              <w:t>Non-management director compensation</w:t>
            </w:r>
          </w:p>
        </w:tc>
        <w:tc>
          <w:tcPr>
            <w:tcW w:w="2180" w:type="dxa"/>
            <w:vAlign w:val="bottom"/>
            <w:gridSpan w:val="7"/>
          </w:tcPr>
          <w:p>
            <w:pPr>
              <w:jc w:val="right"/>
              <w:ind w:right="40"/>
              <w:spacing w:after="0" w:line="183" w:lineRule="exact"/>
              <w:rPr>
                <w:sz w:val="20"/>
                <w:szCs w:val="20"/>
                <w:color w:val="auto"/>
              </w:rPr>
            </w:pPr>
            <w:r>
              <w:rPr>
                <w:rFonts w:ascii="Arial" w:cs="Arial" w:eastAsia="Arial" w:hAnsi="Arial"/>
                <w:sz w:val="16"/>
                <w:szCs w:val="16"/>
                <w:color w:val="0000EE"/>
              </w:rPr>
              <w:t>25</w:t>
            </w:r>
          </w:p>
        </w:tc>
      </w:tr>
      <w:tr>
        <w:trPr>
          <w:trHeight w:val="48"/>
        </w:trPr>
        <w:tc>
          <w:tcPr>
            <w:tcW w:w="40" w:type="dxa"/>
            <w:vAlign w:val="bottom"/>
            <w:tcBorders>
              <w:bottom w:val="single" w:sz="8" w:color="342C82"/>
            </w:tcBorders>
          </w:tcPr>
          <w:p>
            <w:pPr>
              <w:spacing w:after="0"/>
              <w:rPr>
                <w:sz w:val="4"/>
                <w:szCs w:val="4"/>
                <w:color w:val="auto"/>
              </w:rPr>
            </w:pPr>
          </w:p>
        </w:tc>
        <w:tc>
          <w:tcPr>
            <w:tcW w:w="240" w:type="dxa"/>
            <w:vAlign w:val="bottom"/>
            <w:tcBorders>
              <w:bottom w:val="single" w:sz="8" w:color="342C82"/>
            </w:tcBorders>
          </w:tcPr>
          <w:p>
            <w:pPr>
              <w:spacing w:after="0"/>
              <w:rPr>
                <w:sz w:val="4"/>
                <w:szCs w:val="4"/>
                <w:color w:val="auto"/>
              </w:rPr>
            </w:pPr>
          </w:p>
        </w:tc>
        <w:tc>
          <w:tcPr>
            <w:tcW w:w="980" w:type="dxa"/>
            <w:vAlign w:val="bottom"/>
            <w:tcBorders>
              <w:top w:val="single" w:sz="8" w:color="0000EE"/>
              <w:bottom w:val="single" w:sz="8" w:color="342C82"/>
            </w:tcBorders>
          </w:tcPr>
          <w:p>
            <w:pPr>
              <w:spacing w:after="0"/>
              <w:rPr>
                <w:sz w:val="4"/>
                <w:szCs w:val="4"/>
                <w:color w:val="auto"/>
              </w:rPr>
            </w:pPr>
          </w:p>
        </w:tc>
        <w:tc>
          <w:tcPr>
            <w:tcW w:w="100" w:type="dxa"/>
            <w:vAlign w:val="bottom"/>
            <w:tcBorders>
              <w:top w:val="single" w:sz="8" w:color="0000EE"/>
              <w:bottom w:val="single" w:sz="8" w:color="342C82"/>
            </w:tcBorders>
          </w:tcPr>
          <w:p>
            <w:pPr>
              <w:spacing w:after="0"/>
              <w:rPr>
                <w:sz w:val="4"/>
                <w:szCs w:val="4"/>
                <w:color w:val="auto"/>
              </w:rPr>
            </w:pPr>
          </w:p>
        </w:tc>
        <w:tc>
          <w:tcPr>
            <w:tcW w:w="10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320" w:type="dxa"/>
            <w:vAlign w:val="bottom"/>
            <w:tcBorders>
              <w:top w:val="single" w:sz="8" w:color="0000EE"/>
              <w:bottom w:val="single" w:sz="8" w:color="342C82"/>
            </w:tcBorders>
          </w:tcPr>
          <w:p>
            <w:pPr>
              <w:spacing w:after="0"/>
              <w:rPr>
                <w:sz w:val="4"/>
                <w:szCs w:val="4"/>
                <w:color w:val="auto"/>
              </w:rPr>
            </w:pPr>
          </w:p>
        </w:tc>
        <w:tc>
          <w:tcPr>
            <w:tcW w:w="4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160" w:type="dxa"/>
            <w:vAlign w:val="bottom"/>
            <w:tcBorders>
              <w:top w:val="single" w:sz="8" w:color="0000EE"/>
              <w:bottom w:val="single" w:sz="8" w:color="342C82"/>
            </w:tcBorders>
          </w:tcPr>
          <w:p>
            <w:pPr>
              <w:spacing w:after="0"/>
              <w:rPr>
                <w:sz w:val="4"/>
                <w:szCs w:val="4"/>
                <w:color w:val="auto"/>
              </w:rPr>
            </w:pPr>
          </w:p>
        </w:tc>
        <w:tc>
          <w:tcPr>
            <w:tcW w:w="2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80" w:type="dxa"/>
            <w:vAlign w:val="bottom"/>
            <w:tcBorders>
              <w:top w:val="single" w:sz="8" w:color="0000EE"/>
              <w:bottom w:val="single" w:sz="8" w:color="342C82"/>
            </w:tcBorders>
          </w:tcPr>
          <w:p>
            <w:pPr>
              <w:spacing w:after="0"/>
              <w:rPr>
                <w:sz w:val="4"/>
                <w:szCs w:val="4"/>
                <w:color w:val="auto"/>
              </w:rPr>
            </w:pPr>
          </w:p>
        </w:tc>
        <w:tc>
          <w:tcPr>
            <w:tcW w:w="160" w:type="dxa"/>
            <w:vAlign w:val="bottom"/>
            <w:tcBorders>
              <w:top w:val="single" w:sz="8" w:color="0000EE"/>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280" w:type="dxa"/>
            <w:vAlign w:val="bottom"/>
            <w:tcBorders>
              <w:top w:val="single" w:sz="8" w:color="0000EE"/>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40" w:type="dxa"/>
            <w:vAlign w:val="bottom"/>
            <w:tcBorders>
              <w:top w:val="single" w:sz="8" w:color="0000EE"/>
              <w:bottom w:val="single" w:sz="8" w:color="342C82"/>
            </w:tcBorders>
          </w:tcPr>
          <w:p>
            <w:pPr>
              <w:spacing w:after="0"/>
              <w:rPr>
                <w:sz w:val="4"/>
                <w:szCs w:val="4"/>
                <w:color w:val="auto"/>
              </w:rPr>
            </w:pPr>
          </w:p>
        </w:tc>
        <w:tc>
          <w:tcPr>
            <w:tcW w:w="40" w:type="dxa"/>
            <w:vAlign w:val="bottom"/>
            <w:tcBorders>
              <w:top w:val="single" w:sz="8" w:color="0000EE"/>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2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18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380" w:type="dxa"/>
            <w:vAlign w:val="bottom"/>
            <w:tcBorders>
              <w:bottom w:val="single" w:sz="8" w:color="342C82"/>
            </w:tcBorders>
          </w:tcPr>
          <w:p>
            <w:pPr>
              <w:spacing w:after="0"/>
              <w:rPr>
                <w:sz w:val="4"/>
                <w:szCs w:val="4"/>
                <w:color w:val="auto"/>
              </w:rPr>
            </w:pPr>
          </w:p>
        </w:tc>
        <w:tc>
          <w:tcPr>
            <w:tcW w:w="340" w:type="dxa"/>
            <w:vAlign w:val="bottom"/>
            <w:tcBorders>
              <w:bottom w:val="single" w:sz="8" w:color="342C82"/>
            </w:tcBorders>
          </w:tcPr>
          <w:p>
            <w:pPr>
              <w:spacing w:after="0"/>
              <w:rPr>
                <w:sz w:val="4"/>
                <w:szCs w:val="4"/>
                <w:color w:val="auto"/>
              </w:rPr>
            </w:pPr>
          </w:p>
        </w:tc>
        <w:tc>
          <w:tcPr>
            <w:tcW w:w="108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560" w:type="dxa"/>
            <w:vAlign w:val="bottom"/>
            <w:tcBorders>
              <w:bottom w:val="single" w:sz="8" w:color="342C82"/>
            </w:tcBorders>
          </w:tcPr>
          <w:p>
            <w:pPr>
              <w:spacing w:after="0"/>
              <w:rPr>
                <w:sz w:val="4"/>
                <w:szCs w:val="4"/>
                <w:color w:val="auto"/>
              </w:rPr>
            </w:pPr>
          </w:p>
        </w:tc>
        <w:tc>
          <w:tcPr>
            <w:tcW w:w="180" w:type="dxa"/>
            <w:vAlign w:val="bottom"/>
            <w:tcBorders>
              <w:bottom w:val="single" w:sz="8" w:color="342C82"/>
            </w:tcBorders>
          </w:tcPr>
          <w:p>
            <w:pPr>
              <w:spacing w:after="0"/>
              <w:rPr>
                <w:sz w:val="4"/>
                <w:szCs w:val="4"/>
                <w:color w:val="auto"/>
              </w:rPr>
            </w:pPr>
          </w:p>
        </w:tc>
        <w:tc>
          <w:tcPr>
            <w:tcW w:w="1880" w:type="dxa"/>
            <w:vAlign w:val="bottom"/>
            <w:tcBorders>
              <w:bottom w:val="single" w:sz="8" w:color="342C82"/>
            </w:tcBorders>
          </w:tcPr>
          <w:p>
            <w:pPr>
              <w:spacing w:after="0"/>
              <w:rPr>
                <w:sz w:val="4"/>
                <w:szCs w:val="4"/>
                <w:color w:val="auto"/>
              </w:rPr>
            </w:pPr>
          </w:p>
        </w:tc>
        <w:tc>
          <w:tcPr>
            <w:tcW w:w="80" w:type="dxa"/>
            <w:vAlign w:val="bottom"/>
            <w:tcBorders>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80" w:type="dxa"/>
            <w:vAlign w:val="bottom"/>
            <w:tcBorders>
              <w:top w:val="single" w:sz="8" w:color="0000EE"/>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r>
      <w:tr>
        <w:trPr>
          <w:trHeight w:val="183"/>
        </w:trPr>
        <w:tc>
          <w:tcPr>
            <w:tcW w:w="40" w:type="dxa"/>
            <w:vAlign w:val="bottom"/>
          </w:tcPr>
          <w:p>
            <w:pPr>
              <w:spacing w:after="0"/>
              <w:rPr>
                <w:sz w:val="15"/>
                <w:szCs w:val="15"/>
                <w:color w:val="auto"/>
              </w:rPr>
            </w:pPr>
          </w:p>
        </w:tc>
        <w:tc>
          <w:tcPr>
            <w:tcW w:w="6200" w:type="dxa"/>
            <w:vAlign w:val="bottom"/>
            <w:gridSpan w:val="35"/>
          </w:tcPr>
          <w:p>
            <w:pPr>
              <w:spacing w:after="0" w:line="183" w:lineRule="exact"/>
              <w:rPr>
                <w:sz w:val="20"/>
                <w:szCs w:val="20"/>
                <w:color w:val="auto"/>
              </w:rPr>
            </w:pPr>
            <w:r>
              <w:rPr>
                <w:rFonts w:ascii="Arial" w:cs="Arial" w:eastAsia="Arial" w:hAnsi="Arial"/>
                <w:sz w:val="16"/>
                <w:szCs w:val="16"/>
                <w:color w:val="0000EE"/>
              </w:rPr>
              <w:t>Proposal 2: Ratification of selection of independent registered public accounting firm</w:t>
            </w:r>
          </w:p>
        </w:tc>
        <w:tc>
          <w:tcPr>
            <w:tcW w:w="2180" w:type="dxa"/>
            <w:vAlign w:val="bottom"/>
            <w:gridSpan w:val="7"/>
          </w:tcPr>
          <w:p>
            <w:pPr>
              <w:jc w:val="right"/>
              <w:ind w:right="40"/>
              <w:spacing w:after="0" w:line="183" w:lineRule="exact"/>
              <w:rPr>
                <w:sz w:val="20"/>
                <w:szCs w:val="20"/>
                <w:color w:val="auto"/>
              </w:rPr>
            </w:pPr>
            <w:r>
              <w:rPr>
                <w:rFonts w:ascii="Arial" w:cs="Arial" w:eastAsia="Arial" w:hAnsi="Arial"/>
                <w:sz w:val="16"/>
                <w:szCs w:val="16"/>
                <w:color w:val="0000EE"/>
              </w:rPr>
              <w:t>28</w:t>
            </w:r>
          </w:p>
        </w:tc>
      </w:tr>
      <w:tr>
        <w:trPr>
          <w:trHeight w:val="48"/>
        </w:trPr>
        <w:tc>
          <w:tcPr>
            <w:tcW w:w="40" w:type="dxa"/>
            <w:vAlign w:val="bottom"/>
            <w:tcBorders>
              <w:bottom w:val="single" w:sz="8" w:color="342C82"/>
            </w:tcBorders>
          </w:tcPr>
          <w:p>
            <w:pPr>
              <w:spacing w:after="0"/>
              <w:rPr>
                <w:sz w:val="4"/>
                <w:szCs w:val="4"/>
                <w:color w:val="auto"/>
              </w:rPr>
            </w:pPr>
          </w:p>
        </w:tc>
        <w:tc>
          <w:tcPr>
            <w:tcW w:w="240" w:type="dxa"/>
            <w:vAlign w:val="bottom"/>
            <w:tcBorders>
              <w:top w:val="single" w:sz="8" w:color="0000EE"/>
              <w:bottom w:val="single" w:sz="8" w:color="342C82"/>
            </w:tcBorders>
          </w:tcPr>
          <w:p>
            <w:pPr>
              <w:spacing w:after="0"/>
              <w:rPr>
                <w:sz w:val="4"/>
                <w:szCs w:val="4"/>
                <w:color w:val="auto"/>
              </w:rPr>
            </w:pPr>
          </w:p>
        </w:tc>
        <w:tc>
          <w:tcPr>
            <w:tcW w:w="980" w:type="dxa"/>
            <w:vAlign w:val="bottom"/>
            <w:tcBorders>
              <w:top w:val="single" w:sz="8" w:color="0000EE"/>
              <w:bottom w:val="single" w:sz="8" w:color="342C82"/>
            </w:tcBorders>
          </w:tcPr>
          <w:p>
            <w:pPr>
              <w:spacing w:after="0"/>
              <w:rPr>
                <w:sz w:val="4"/>
                <w:szCs w:val="4"/>
                <w:color w:val="auto"/>
              </w:rPr>
            </w:pPr>
          </w:p>
        </w:tc>
        <w:tc>
          <w:tcPr>
            <w:tcW w:w="100" w:type="dxa"/>
            <w:vAlign w:val="bottom"/>
            <w:tcBorders>
              <w:top w:val="single" w:sz="8" w:color="0000EE"/>
              <w:bottom w:val="single" w:sz="8" w:color="342C82"/>
            </w:tcBorders>
          </w:tcPr>
          <w:p>
            <w:pPr>
              <w:spacing w:after="0"/>
              <w:rPr>
                <w:sz w:val="4"/>
                <w:szCs w:val="4"/>
                <w:color w:val="auto"/>
              </w:rPr>
            </w:pPr>
          </w:p>
        </w:tc>
        <w:tc>
          <w:tcPr>
            <w:tcW w:w="10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320" w:type="dxa"/>
            <w:vAlign w:val="bottom"/>
            <w:tcBorders>
              <w:top w:val="single" w:sz="8" w:color="0000EE"/>
              <w:bottom w:val="single" w:sz="8" w:color="342C82"/>
            </w:tcBorders>
          </w:tcPr>
          <w:p>
            <w:pPr>
              <w:spacing w:after="0"/>
              <w:rPr>
                <w:sz w:val="4"/>
                <w:szCs w:val="4"/>
                <w:color w:val="auto"/>
              </w:rPr>
            </w:pPr>
          </w:p>
        </w:tc>
        <w:tc>
          <w:tcPr>
            <w:tcW w:w="4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160" w:type="dxa"/>
            <w:vAlign w:val="bottom"/>
            <w:tcBorders>
              <w:top w:val="single" w:sz="8" w:color="0000EE"/>
              <w:bottom w:val="single" w:sz="8" w:color="342C82"/>
            </w:tcBorders>
          </w:tcPr>
          <w:p>
            <w:pPr>
              <w:spacing w:after="0"/>
              <w:rPr>
                <w:sz w:val="4"/>
                <w:szCs w:val="4"/>
                <w:color w:val="auto"/>
              </w:rPr>
            </w:pPr>
          </w:p>
        </w:tc>
        <w:tc>
          <w:tcPr>
            <w:tcW w:w="2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80" w:type="dxa"/>
            <w:vAlign w:val="bottom"/>
            <w:tcBorders>
              <w:top w:val="single" w:sz="8" w:color="0000EE"/>
              <w:bottom w:val="single" w:sz="8" w:color="342C82"/>
            </w:tcBorders>
          </w:tcPr>
          <w:p>
            <w:pPr>
              <w:spacing w:after="0"/>
              <w:rPr>
                <w:sz w:val="4"/>
                <w:szCs w:val="4"/>
                <w:color w:val="auto"/>
              </w:rPr>
            </w:pPr>
          </w:p>
        </w:tc>
        <w:tc>
          <w:tcPr>
            <w:tcW w:w="160" w:type="dxa"/>
            <w:vAlign w:val="bottom"/>
            <w:tcBorders>
              <w:top w:val="single" w:sz="8" w:color="0000EE"/>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280" w:type="dxa"/>
            <w:vAlign w:val="bottom"/>
            <w:tcBorders>
              <w:top w:val="single" w:sz="8" w:color="0000EE"/>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40" w:type="dxa"/>
            <w:vAlign w:val="bottom"/>
            <w:tcBorders>
              <w:top w:val="single" w:sz="8" w:color="0000EE"/>
              <w:bottom w:val="single" w:sz="8" w:color="342C82"/>
            </w:tcBorders>
          </w:tcPr>
          <w:p>
            <w:pPr>
              <w:spacing w:after="0"/>
              <w:rPr>
                <w:sz w:val="4"/>
                <w:szCs w:val="4"/>
                <w:color w:val="auto"/>
              </w:rPr>
            </w:pPr>
          </w:p>
        </w:tc>
        <w:tc>
          <w:tcPr>
            <w:tcW w:w="40" w:type="dxa"/>
            <w:vAlign w:val="bottom"/>
            <w:tcBorders>
              <w:top w:val="single" w:sz="8" w:color="0000EE"/>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2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18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380" w:type="dxa"/>
            <w:vAlign w:val="bottom"/>
            <w:tcBorders>
              <w:top w:val="single" w:sz="8" w:color="0000EE"/>
              <w:bottom w:val="single" w:sz="8" w:color="342C82"/>
            </w:tcBorders>
          </w:tcPr>
          <w:p>
            <w:pPr>
              <w:spacing w:after="0"/>
              <w:rPr>
                <w:sz w:val="4"/>
                <w:szCs w:val="4"/>
                <w:color w:val="auto"/>
              </w:rPr>
            </w:pPr>
          </w:p>
        </w:tc>
        <w:tc>
          <w:tcPr>
            <w:tcW w:w="340" w:type="dxa"/>
            <w:vAlign w:val="bottom"/>
            <w:tcBorders>
              <w:top w:val="single" w:sz="8" w:color="0000EE"/>
              <w:bottom w:val="single" w:sz="8" w:color="342C82"/>
            </w:tcBorders>
          </w:tcPr>
          <w:p>
            <w:pPr>
              <w:spacing w:after="0"/>
              <w:rPr>
                <w:sz w:val="4"/>
                <w:szCs w:val="4"/>
                <w:color w:val="auto"/>
              </w:rPr>
            </w:pPr>
          </w:p>
        </w:tc>
        <w:tc>
          <w:tcPr>
            <w:tcW w:w="1080" w:type="dxa"/>
            <w:vAlign w:val="bottom"/>
            <w:tcBorders>
              <w:top w:val="single" w:sz="8" w:color="0000EE"/>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560" w:type="dxa"/>
            <w:vAlign w:val="bottom"/>
            <w:tcBorders>
              <w:top w:val="single" w:sz="8" w:color="0000EE"/>
              <w:bottom w:val="single" w:sz="8" w:color="342C82"/>
            </w:tcBorders>
          </w:tcPr>
          <w:p>
            <w:pPr>
              <w:spacing w:after="0"/>
              <w:rPr>
                <w:sz w:val="4"/>
                <w:szCs w:val="4"/>
                <w:color w:val="auto"/>
              </w:rPr>
            </w:pPr>
          </w:p>
        </w:tc>
        <w:tc>
          <w:tcPr>
            <w:tcW w:w="180" w:type="dxa"/>
            <w:vAlign w:val="bottom"/>
            <w:tcBorders>
              <w:bottom w:val="single" w:sz="8" w:color="342C82"/>
            </w:tcBorders>
          </w:tcPr>
          <w:p>
            <w:pPr>
              <w:spacing w:after="0"/>
              <w:rPr>
                <w:sz w:val="4"/>
                <w:szCs w:val="4"/>
                <w:color w:val="auto"/>
              </w:rPr>
            </w:pPr>
          </w:p>
        </w:tc>
        <w:tc>
          <w:tcPr>
            <w:tcW w:w="1880" w:type="dxa"/>
            <w:vAlign w:val="bottom"/>
            <w:tcBorders>
              <w:bottom w:val="single" w:sz="8" w:color="342C82"/>
            </w:tcBorders>
          </w:tcPr>
          <w:p>
            <w:pPr>
              <w:spacing w:after="0"/>
              <w:rPr>
                <w:sz w:val="4"/>
                <w:szCs w:val="4"/>
                <w:color w:val="auto"/>
              </w:rPr>
            </w:pPr>
          </w:p>
        </w:tc>
        <w:tc>
          <w:tcPr>
            <w:tcW w:w="80" w:type="dxa"/>
            <w:vAlign w:val="bottom"/>
            <w:tcBorders>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80" w:type="dxa"/>
            <w:vAlign w:val="bottom"/>
            <w:tcBorders>
              <w:top w:val="single" w:sz="8" w:color="0000EE"/>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r>
      <w:tr>
        <w:trPr>
          <w:trHeight w:val="183"/>
        </w:trPr>
        <w:tc>
          <w:tcPr>
            <w:tcW w:w="40" w:type="dxa"/>
            <w:vAlign w:val="bottom"/>
          </w:tcPr>
          <w:p>
            <w:pPr>
              <w:spacing w:after="0"/>
              <w:rPr>
                <w:sz w:val="15"/>
                <w:szCs w:val="15"/>
                <w:color w:val="auto"/>
              </w:rPr>
            </w:pPr>
          </w:p>
        </w:tc>
        <w:tc>
          <w:tcPr>
            <w:tcW w:w="6200" w:type="dxa"/>
            <w:vAlign w:val="bottom"/>
            <w:gridSpan w:val="35"/>
          </w:tcPr>
          <w:p>
            <w:pPr>
              <w:ind w:left="240"/>
              <w:spacing w:after="0" w:line="183" w:lineRule="exact"/>
              <w:rPr>
                <w:sz w:val="20"/>
                <w:szCs w:val="20"/>
                <w:color w:val="auto"/>
              </w:rPr>
            </w:pPr>
            <w:r>
              <w:rPr>
                <w:rFonts w:ascii="Arial" w:cs="Arial" w:eastAsia="Arial" w:hAnsi="Arial"/>
                <w:sz w:val="16"/>
                <w:szCs w:val="16"/>
                <w:color w:val="0000EE"/>
              </w:rPr>
              <w:t>Pre-approval of audit and non-audit services</w:t>
            </w:r>
          </w:p>
        </w:tc>
        <w:tc>
          <w:tcPr>
            <w:tcW w:w="2180" w:type="dxa"/>
            <w:vAlign w:val="bottom"/>
            <w:gridSpan w:val="7"/>
          </w:tcPr>
          <w:p>
            <w:pPr>
              <w:jc w:val="right"/>
              <w:ind w:right="40"/>
              <w:spacing w:after="0" w:line="183" w:lineRule="exact"/>
              <w:rPr>
                <w:sz w:val="20"/>
                <w:szCs w:val="20"/>
                <w:color w:val="auto"/>
              </w:rPr>
            </w:pPr>
            <w:r>
              <w:rPr>
                <w:rFonts w:ascii="Arial" w:cs="Arial" w:eastAsia="Arial" w:hAnsi="Arial"/>
                <w:sz w:val="16"/>
                <w:szCs w:val="16"/>
                <w:color w:val="0000EE"/>
              </w:rPr>
              <w:t>29</w:t>
            </w:r>
          </w:p>
        </w:tc>
      </w:tr>
      <w:tr>
        <w:trPr>
          <w:trHeight w:val="48"/>
        </w:trPr>
        <w:tc>
          <w:tcPr>
            <w:tcW w:w="40" w:type="dxa"/>
            <w:vAlign w:val="bottom"/>
            <w:tcBorders>
              <w:bottom w:val="single" w:sz="8" w:color="342C82"/>
            </w:tcBorders>
          </w:tcPr>
          <w:p>
            <w:pPr>
              <w:spacing w:after="0"/>
              <w:rPr>
                <w:sz w:val="4"/>
                <w:szCs w:val="4"/>
                <w:color w:val="auto"/>
              </w:rPr>
            </w:pPr>
          </w:p>
        </w:tc>
        <w:tc>
          <w:tcPr>
            <w:tcW w:w="240" w:type="dxa"/>
            <w:vAlign w:val="bottom"/>
            <w:tcBorders>
              <w:bottom w:val="single" w:sz="8" w:color="342C82"/>
            </w:tcBorders>
          </w:tcPr>
          <w:p>
            <w:pPr>
              <w:spacing w:after="0"/>
              <w:rPr>
                <w:sz w:val="4"/>
                <w:szCs w:val="4"/>
                <w:color w:val="auto"/>
              </w:rPr>
            </w:pPr>
          </w:p>
        </w:tc>
        <w:tc>
          <w:tcPr>
            <w:tcW w:w="980" w:type="dxa"/>
            <w:vAlign w:val="bottom"/>
            <w:tcBorders>
              <w:top w:val="single" w:sz="8" w:color="0000EE"/>
              <w:bottom w:val="single" w:sz="8" w:color="342C82"/>
            </w:tcBorders>
          </w:tcPr>
          <w:p>
            <w:pPr>
              <w:spacing w:after="0"/>
              <w:rPr>
                <w:sz w:val="4"/>
                <w:szCs w:val="4"/>
                <w:color w:val="auto"/>
              </w:rPr>
            </w:pPr>
          </w:p>
        </w:tc>
        <w:tc>
          <w:tcPr>
            <w:tcW w:w="100" w:type="dxa"/>
            <w:vAlign w:val="bottom"/>
            <w:tcBorders>
              <w:top w:val="single" w:sz="8" w:color="0000EE"/>
              <w:bottom w:val="single" w:sz="8" w:color="342C82"/>
            </w:tcBorders>
          </w:tcPr>
          <w:p>
            <w:pPr>
              <w:spacing w:after="0"/>
              <w:rPr>
                <w:sz w:val="4"/>
                <w:szCs w:val="4"/>
                <w:color w:val="auto"/>
              </w:rPr>
            </w:pPr>
          </w:p>
        </w:tc>
        <w:tc>
          <w:tcPr>
            <w:tcW w:w="10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320" w:type="dxa"/>
            <w:vAlign w:val="bottom"/>
            <w:tcBorders>
              <w:top w:val="single" w:sz="8" w:color="0000EE"/>
              <w:bottom w:val="single" w:sz="8" w:color="342C82"/>
            </w:tcBorders>
          </w:tcPr>
          <w:p>
            <w:pPr>
              <w:spacing w:after="0"/>
              <w:rPr>
                <w:sz w:val="4"/>
                <w:szCs w:val="4"/>
                <w:color w:val="auto"/>
              </w:rPr>
            </w:pPr>
          </w:p>
        </w:tc>
        <w:tc>
          <w:tcPr>
            <w:tcW w:w="4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160" w:type="dxa"/>
            <w:vAlign w:val="bottom"/>
            <w:tcBorders>
              <w:top w:val="single" w:sz="8" w:color="0000EE"/>
              <w:bottom w:val="single" w:sz="8" w:color="342C82"/>
            </w:tcBorders>
          </w:tcPr>
          <w:p>
            <w:pPr>
              <w:spacing w:after="0"/>
              <w:rPr>
                <w:sz w:val="4"/>
                <w:szCs w:val="4"/>
                <w:color w:val="auto"/>
              </w:rPr>
            </w:pPr>
          </w:p>
        </w:tc>
        <w:tc>
          <w:tcPr>
            <w:tcW w:w="2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80" w:type="dxa"/>
            <w:vAlign w:val="bottom"/>
            <w:tcBorders>
              <w:top w:val="single" w:sz="8" w:color="0000EE"/>
              <w:bottom w:val="single" w:sz="8" w:color="342C82"/>
            </w:tcBorders>
          </w:tcPr>
          <w:p>
            <w:pPr>
              <w:spacing w:after="0"/>
              <w:rPr>
                <w:sz w:val="4"/>
                <w:szCs w:val="4"/>
                <w:color w:val="auto"/>
              </w:rPr>
            </w:pPr>
          </w:p>
        </w:tc>
        <w:tc>
          <w:tcPr>
            <w:tcW w:w="160" w:type="dxa"/>
            <w:vAlign w:val="bottom"/>
            <w:tcBorders>
              <w:top w:val="single" w:sz="8" w:color="0000EE"/>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280" w:type="dxa"/>
            <w:vAlign w:val="bottom"/>
            <w:tcBorders>
              <w:top w:val="single" w:sz="8" w:color="0000EE"/>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40" w:type="dxa"/>
            <w:vAlign w:val="bottom"/>
            <w:tcBorders>
              <w:top w:val="single" w:sz="8" w:color="0000EE"/>
              <w:bottom w:val="single" w:sz="8" w:color="342C82"/>
            </w:tcBorders>
          </w:tcPr>
          <w:p>
            <w:pPr>
              <w:spacing w:after="0"/>
              <w:rPr>
                <w:sz w:val="4"/>
                <w:szCs w:val="4"/>
                <w:color w:val="auto"/>
              </w:rPr>
            </w:pPr>
          </w:p>
        </w:tc>
        <w:tc>
          <w:tcPr>
            <w:tcW w:w="40" w:type="dxa"/>
            <w:vAlign w:val="bottom"/>
            <w:tcBorders>
              <w:top w:val="single" w:sz="8" w:color="0000EE"/>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2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18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380" w:type="dxa"/>
            <w:vAlign w:val="bottom"/>
            <w:tcBorders>
              <w:bottom w:val="single" w:sz="8" w:color="342C82"/>
            </w:tcBorders>
          </w:tcPr>
          <w:p>
            <w:pPr>
              <w:spacing w:after="0"/>
              <w:rPr>
                <w:sz w:val="4"/>
                <w:szCs w:val="4"/>
                <w:color w:val="auto"/>
              </w:rPr>
            </w:pPr>
          </w:p>
        </w:tc>
        <w:tc>
          <w:tcPr>
            <w:tcW w:w="340" w:type="dxa"/>
            <w:vAlign w:val="bottom"/>
            <w:tcBorders>
              <w:bottom w:val="single" w:sz="8" w:color="342C82"/>
            </w:tcBorders>
          </w:tcPr>
          <w:p>
            <w:pPr>
              <w:spacing w:after="0"/>
              <w:rPr>
                <w:sz w:val="4"/>
                <w:szCs w:val="4"/>
                <w:color w:val="auto"/>
              </w:rPr>
            </w:pPr>
          </w:p>
        </w:tc>
        <w:tc>
          <w:tcPr>
            <w:tcW w:w="108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560" w:type="dxa"/>
            <w:vAlign w:val="bottom"/>
            <w:tcBorders>
              <w:bottom w:val="single" w:sz="8" w:color="342C82"/>
            </w:tcBorders>
          </w:tcPr>
          <w:p>
            <w:pPr>
              <w:spacing w:after="0"/>
              <w:rPr>
                <w:sz w:val="4"/>
                <w:szCs w:val="4"/>
                <w:color w:val="auto"/>
              </w:rPr>
            </w:pPr>
          </w:p>
        </w:tc>
        <w:tc>
          <w:tcPr>
            <w:tcW w:w="180" w:type="dxa"/>
            <w:vAlign w:val="bottom"/>
            <w:tcBorders>
              <w:bottom w:val="single" w:sz="8" w:color="342C82"/>
            </w:tcBorders>
          </w:tcPr>
          <w:p>
            <w:pPr>
              <w:spacing w:after="0"/>
              <w:rPr>
                <w:sz w:val="4"/>
                <w:szCs w:val="4"/>
                <w:color w:val="auto"/>
              </w:rPr>
            </w:pPr>
          </w:p>
        </w:tc>
        <w:tc>
          <w:tcPr>
            <w:tcW w:w="1880" w:type="dxa"/>
            <w:vAlign w:val="bottom"/>
            <w:tcBorders>
              <w:bottom w:val="single" w:sz="8" w:color="342C82"/>
            </w:tcBorders>
          </w:tcPr>
          <w:p>
            <w:pPr>
              <w:spacing w:after="0"/>
              <w:rPr>
                <w:sz w:val="4"/>
                <w:szCs w:val="4"/>
                <w:color w:val="auto"/>
              </w:rPr>
            </w:pPr>
          </w:p>
        </w:tc>
        <w:tc>
          <w:tcPr>
            <w:tcW w:w="80" w:type="dxa"/>
            <w:vAlign w:val="bottom"/>
            <w:tcBorders>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80" w:type="dxa"/>
            <w:vAlign w:val="bottom"/>
            <w:tcBorders>
              <w:top w:val="single" w:sz="8" w:color="0000EE"/>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r>
      <w:tr>
        <w:trPr>
          <w:trHeight w:val="183"/>
        </w:trPr>
        <w:tc>
          <w:tcPr>
            <w:tcW w:w="40" w:type="dxa"/>
            <w:vAlign w:val="bottom"/>
          </w:tcPr>
          <w:p>
            <w:pPr>
              <w:spacing w:after="0"/>
              <w:rPr>
                <w:sz w:val="15"/>
                <w:szCs w:val="15"/>
                <w:color w:val="auto"/>
              </w:rPr>
            </w:pPr>
          </w:p>
        </w:tc>
        <w:tc>
          <w:tcPr>
            <w:tcW w:w="6200" w:type="dxa"/>
            <w:vAlign w:val="bottom"/>
            <w:gridSpan w:val="35"/>
          </w:tcPr>
          <w:p>
            <w:pPr>
              <w:ind w:left="240"/>
              <w:spacing w:after="0" w:line="183" w:lineRule="exact"/>
              <w:rPr>
                <w:sz w:val="20"/>
                <w:szCs w:val="20"/>
                <w:color w:val="auto"/>
              </w:rPr>
            </w:pPr>
            <w:r>
              <w:rPr>
                <w:rFonts w:ascii="Arial" w:cs="Arial" w:eastAsia="Arial" w:hAnsi="Arial"/>
                <w:sz w:val="16"/>
                <w:szCs w:val="16"/>
                <w:color w:val="0000EE"/>
              </w:rPr>
              <w:t>Report of the audit committee</w:t>
            </w:r>
          </w:p>
        </w:tc>
        <w:tc>
          <w:tcPr>
            <w:tcW w:w="2180" w:type="dxa"/>
            <w:vAlign w:val="bottom"/>
            <w:gridSpan w:val="7"/>
          </w:tcPr>
          <w:p>
            <w:pPr>
              <w:jc w:val="right"/>
              <w:ind w:right="40"/>
              <w:spacing w:after="0" w:line="183" w:lineRule="exact"/>
              <w:rPr>
                <w:sz w:val="20"/>
                <w:szCs w:val="20"/>
                <w:color w:val="auto"/>
              </w:rPr>
            </w:pPr>
            <w:r>
              <w:rPr>
                <w:rFonts w:ascii="Arial" w:cs="Arial" w:eastAsia="Arial" w:hAnsi="Arial"/>
                <w:sz w:val="16"/>
                <w:szCs w:val="16"/>
                <w:color w:val="0000EE"/>
              </w:rPr>
              <w:t>30</w:t>
            </w:r>
          </w:p>
        </w:tc>
      </w:tr>
      <w:tr>
        <w:trPr>
          <w:trHeight w:val="48"/>
        </w:trPr>
        <w:tc>
          <w:tcPr>
            <w:tcW w:w="40" w:type="dxa"/>
            <w:vAlign w:val="bottom"/>
            <w:tcBorders>
              <w:bottom w:val="single" w:sz="8" w:color="342C82"/>
            </w:tcBorders>
          </w:tcPr>
          <w:p>
            <w:pPr>
              <w:spacing w:after="0"/>
              <w:rPr>
                <w:sz w:val="4"/>
                <w:szCs w:val="4"/>
                <w:color w:val="auto"/>
              </w:rPr>
            </w:pPr>
          </w:p>
        </w:tc>
        <w:tc>
          <w:tcPr>
            <w:tcW w:w="240" w:type="dxa"/>
            <w:vAlign w:val="bottom"/>
            <w:tcBorders>
              <w:bottom w:val="single" w:sz="8" w:color="342C82"/>
            </w:tcBorders>
          </w:tcPr>
          <w:p>
            <w:pPr>
              <w:spacing w:after="0"/>
              <w:rPr>
                <w:sz w:val="4"/>
                <w:szCs w:val="4"/>
                <w:color w:val="auto"/>
              </w:rPr>
            </w:pPr>
          </w:p>
        </w:tc>
        <w:tc>
          <w:tcPr>
            <w:tcW w:w="980" w:type="dxa"/>
            <w:vAlign w:val="bottom"/>
            <w:tcBorders>
              <w:top w:val="single" w:sz="8" w:color="0000EE"/>
              <w:bottom w:val="single" w:sz="8" w:color="342C82"/>
            </w:tcBorders>
          </w:tcPr>
          <w:p>
            <w:pPr>
              <w:spacing w:after="0"/>
              <w:rPr>
                <w:sz w:val="4"/>
                <w:szCs w:val="4"/>
                <w:color w:val="auto"/>
              </w:rPr>
            </w:pPr>
          </w:p>
        </w:tc>
        <w:tc>
          <w:tcPr>
            <w:tcW w:w="100" w:type="dxa"/>
            <w:vAlign w:val="bottom"/>
            <w:tcBorders>
              <w:top w:val="single" w:sz="8" w:color="0000EE"/>
              <w:bottom w:val="single" w:sz="8" w:color="342C82"/>
            </w:tcBorders>
          </w:tcPr>
          <w:p>
            <w:pPr>
              <w:spacing w:after="0"/>
              <w:rPr>
                <w:sz w:val="4"/>
                <w:szCs w:val="4"/>
                <w:color w:val="auto"/>
              </w:rPr>
            </w:pPr>
          </w:p>
        </w:tc>
        <w:tc>
          <w:tcPr>
            <w:tcW w:w="10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320" w:type="dxa"/>
            <w:vAlign w:val="bottom"/>
            <w:tcBorders>
              <w:top w:val="single" w:sz="8" w:color="0000EE"/>
              <w:bottom w:val="single" w:sz="8" w:color="342C82"/>
            </w:tcBorders>
          </w:tcPr>
          <w:p>
            <w:pPr>
              <w:spacing w:after="0"/>
              <w:rPr>
                <w:sz w:val="4"/>
                <w:szCs w:val="4"/>
                <w:color w:val="auto"/>
              </w:rPr>
            </w:pPr>
          </w:p>
        </w:tc>
        <w:tc>
          <w:tcPr>
            <w:tcW w:w="4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160" w:type="dxa"/>
            <w:vAlign w:val="bottom"/>
            <w:tcBorders>
              <w:top w:val="single" w:sz="8" w:color="0000EE"/>
              <w:bottom w:val="single" w:sz="8" w:color="342C82"/>
            </w:tcBorders>
          </w:tcPr>
          <w:p>
            <w:pPr>
              <w:spacing w:after="0"/>
              <w:rPr>
                <w:sz w:val="4"/>
                <w:szCs w:val="4"/>
                <w:color w:val="auto"/>
              </w:rPr>
            </w:pPr>
          </w:p>
        </w:tc>
        <w:tc>
          <w:tcPr>
            <w:tcW w:w="2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80" w:type="dxa"/>
            <w:vAlign w:val="bottom"/>
            <w:tcBorders>
              <w:top w:val="single" w:sz="8" w:color="0000EE"/>
              <w:bottom w:val="single" w:sz="8" w:color="342C82"/>
            </w:tcBorders>
          </w:tcPr>
          <w:p>
            <w:pPr>
              <w:spacing w:after="0"/>
              <w:rPr>
                <w:sz w:val="4"/>
                <w:szCs w:val="4"/>
                <w:color w:val="auto"/>
              </w:rPr>
            </w:pPr>
          </w:p>
        </w:tc>
        <w:tc>
          <w:tcPr>
            <w:tcW w:w="16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28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2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18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380" w:type="dxa"/>
            <w:vAlign w:val="bottom"/>
            <w:tcBorders>
              <w:bottom w:val="single" w:sz="8" w:color="342C82"/>
            </w:tcBorders>
          </w:tcPr>
          <w:p>
            <w:pPr>
              <w:spacing w:after="0"/>
              <w:rPr>
                <w:sz w:val="4"/>
                <w:szCs w:val="4"/>
                <w:color w:val="auto"/>
              </w:rPr>
            </w:pPr>
          </w:p>
        </w:tc>
        <w:tc>
          <w:tcPr>
            <w:tcW w:w="340" w:type="dxa"/>
            <w:vAlign w:val="bottom"/>
            <w:tcBorders>
              <w:bottom w:val="single" w:sz="8" w:color="342C82"/>
            </w:tcBorders>
          </w:tcPr>
          <w:p>
            <w:pPr>
              <w:spacing w:after="0"/>
              <w:rPr>
                <w:sz w:val="4"/>
                <w:szCs w:val="4"/>
                <w:color w:val="auto"/>
              </w:rPr>
            </w:pPr>
          </w:p>
        </w:tc>
        <w:tc>
          <w:tcPr>
            <w:tcW w:w="108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560" w:type="dxa"/>
            <w:vAlign w:val="bottom"/>
            <w:tcBorders>
              <w:bottom w:val="single" w:sz="8" w:color="342C82"/>
            </w:tcBorders>
          </w:tcPr>
          <w:p>
            <w:pPr>
              <w:spacing w:after="0"/>
              <w:rPr>
                <w:sz w:val="4"/>
                <w:szCs w:val="4"/>
                <w:color w:val="auto"/>
              </w:rPr>
            </w:pPr>
          </w:p>
        </w:tc>
        <w:tc>
          <w:tcPr>
            <w:tcW w:w="180" w:type="dxa"/>
            <w:vAlign w:val="bottom"/>
            <w:tcBorders>
              <w:bottom w:val="single" w:sz="8" w:color="342C82"/>
            </w:tcBorders>
          </w:tcPr>
          <w:p>
            <w:pPr>
              <w:spacing w:after="0"/>
              <w:rPr>
                <w:sz w:val="4"/>
                <w:szCs w:val="4"/>
                <w:color w:val="auto"/>
              </w:rPr>
            </w:pPr>
          </w:p>
        </w:tc>
        <w:tc>
          <w:tcPr>
            <w:tcW w:w="1880" w:type="dxa"/>
            <w:vAlign w:val="bottom"/>
            <w:tcBorders>
              <w:bottom w:val="single" w:sz="8" w:color="342C82"/>
            </w:tcBorders>
          </w:tcPr>
          <w:p>
            <w:pPr>
              <w:spacing w:after="0"/>
              <w:rPr>
                <w:sz w:val="4"/>
                <w:szCs w:val="4"/>
                <w:color w:val="auto"/>
              </w:rPr>
            </w:pPr>
          </w:p>
        </w:tc>
        <w:tc>
          <w:tcPr>
            <w:tcW w:w="80" w:type="dxa"/>
            <w:vAlign w:val="bottom"/>
            <w:tcBorders>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80" w:type="dxa"/>
            <w:vAlign w:val="bottom"/>
            <w:tcBorders>
              <w:top w:val="single" w:sz="8" w:color="0000EE"/>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r>
      <w:tr>
        <w:trPr>
          <w:trHeight w:val="183"/>
        </w:trPr>
        <w:tc>
          <w:tcPr>
            <w:tcW w:w="40" w:type="dxa"/>
            <w:vAlign w:val="bottom"/>
          </w:tcPr>
          <w:p>
            <w:pPr>
              <w:spacing w:after="0"/>
              <w:rPr>
                <w:sz w:val="15"/>
                <w:szCs w:val="15"/>
                <w:color w:val="auto"/>
              </w:rPr>
            </w:pPr>
          </w:p>
        </w:tc>
        <w:tc>
          <w:tcPr>
            <w:tcW w:w="6200" w:type="dxa"/>
            <w:vAlign w:val="bottom"/>
            <w:gridSpan w:val="35"/>
          </w:tcPr>
          <w:p>
            <w:pPr>
              <w:spacing w:after="0" w:line="183" w:lineRule="exact"/>
              <w:rPr>
                <w:sz w:val="20"/>
                <w:szCs w:val="20"/>
                <w:color w:val="auto"/>
              </w:rPr>
            </w:pPr>
            <w:r>
              <w:rPr>
                <w:rFonts w:ascii="Arial" w:cs="Arial" w:eastAsia="Arial" w:hAnsi="Arial"/>
                <w:sz w:val="16"/>
                <w:szCs w:val="16"/>
                <w:color w:val="0000EE"/>
              </w:rPr>
              <w:t>Proposal 3: Advisory vote to approve named executive officer compensation</w:t>
            </w:r>
          </w:p>
        </w:tc>
        <w:tc>
          <w:tcPr>
            <w:tcW w:w="2180" w:type="dxa"/>
            <w:vAlign w:val="bottom"/>
            <w:gridSpan w:val="7"/>
          </w:tcPr>
          <w:p>
            <w:pPr>
              <w:jc w:val="right"/>
              <w:ind w:right="40"/>
              <w:spacing w:after="0" w:line="183" w:lineRule="exact"/>
              <w:rPr>
                <w:sz w:val="20"/>
                <w:szCs w:val="20"/>
                <w:color w:val="auto"/>
              </w:rPr>
            </w:pPr>
            <w:r>
              <w:rPr>
                <w:rFonts w:ascii="Arial" w:cs="Arial" w:eastAsia="Arial" w:hAnsi="Arial"/>
                <w:sz w:val="16"/>
                <w:szCs w:val="16"/>
                <w:color w:val="0000EE"/>
              </w:rPr>
              <w:t>31</w:t>
            </w:r>
          </w:p>
        </w:tc>
      </w:tr>
      <w:tr>
        <w:trPr>
          <w:trHeight w:val="48"/>
        </w:trPr>
        <w:tc>
          <w:tcPr>
            <w:tcW w:w="40" w:type="dxa"/>
            <w:vAlign w:val="bottom"/>
            <w:tcBorders>
              <w:bottom w:val="single" w:sz="8" w:color="342C82"/>
            </w:tcBorders>
          </w:tcPr>
          <w:p>
            <w:pPr>
              <w:spacing w:after="0"/>
              <w:rPr>
                <w:sz w:val="4"/>
                <w:szCs w:val="4"/>
                <w:color w:val="auto"/>
              </w:rPr>
            </w:pPr>
          </w:p>
        </w:tc>
        <w:tc>
          <w:tcPr>
            <w:tcW w:w="240" w:type="dxa"/>
            <w:vAlign w:val="bottom"/>
            <w:tcBorders>
              <w:top w:val="single" w:sz="8" w:color="0000EE"/>
              <w:bottom w:val="single" w:sz="8" w:color="342C82"/>
            </w:tcBorders>
          </w:tcPr>
          <w:p>
            <w:pPr>
              <w:spacing w:after="0"/>
              <w:rPr>
                <w:sz w:val="4"/>
                <w:szCs w:val="4"/>
                <w:color w:val="auto"/>
              </w:rPr>
            </w:pPr>
          </w:p>
        </w:tc>
        <w:tc>
          <w:tcPr>
            <w:tcW w:w="980" w:type="dxa"/>
            <w:vAlign w:val="bottom"/>
            <w:tcBorders>
              <w:top w:val="single" w:sz="8" w:color="0000EE"/>
              <w:bottom w:val="single" w:sz="8" w:color="342C82"/>
            </w:tcBorders>
          </w:tcPr>
          <w:p>
            <w:pPr>
              <w:spacing w:after="0"/>
              <w:rPr>
                <w:sz w:val="4"/>
                <w:szCs w:val="4"/>
                <w:color w:val="auto"/>
              </w:rPr>
            </w:pPr>
          </w:p>
        </w:tc>
        <w:tc>
          <w:tcPr>
            <w:tcW w:w="100" w:type="dxa"/>
            <w:vAlign w:val="bottom"/>
            <w:tcBorders>
              <w:top w:val="single" w:sz="8" w:color="0000EE"/>
              <w:bottom w:val="single" w:sz="8" w:color="342C82"/>
            </w:tcBorders>
          </w:tcPr>
          <w:p>
            <w:pPr>
              <w:spacing w:after="0"/>
              <w:rPr>
                <w:sz w:val="4"/>
                <w:szCs w:val="4"/>
                <w:color w:val="auto"/>
              </w:rPr>
            </w:pPr>
          </w:p>
        </w:tc>
        <w:tc>
          <w:tcPr>
            <w:tcW w:w="10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320" w:type="dxa"/>
            <w:vAlign w:val="bottom"/>
            <w:tcBorders>
              <w:top w:val="single" w:sz="8" w:color="0000EE"/>
              <w:bottom w:val="single" w:sz="8" w:color="342C82"/>
            </w:tcBorders>
          </w:tcPr>
          <w:p>
            <w:pPr>
              <w:spacing w:after="0"/>
              <w:rPr>
                <w:sz w:val="4"/>
                <w:szCs w:val="4"/>
                <w:color w:val="auto"/>
              </w:rPr>
            </w:pPr>
          </w:p>
        </w:tc>
        <w:tc>
          <w:tcPr>
            <w:tcW w:w="4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160" w:type="dxa"/>
            <w:vAlign w:val="bottom"/>
            <w:tcBorders>
              <w:top w:val="single" w:sz="8" w:color="0000EE"/>
              <w:bottom w:val="single" w:sz="8" w:color="342C82"/>
            </w:tcBorders>
          </w:tcPr>
          <w:p>
            <w:pPr>
              <w:spacing w:after="0"/>
              <w:rPr>
                <w:sz w:val="4"/>
                <w:szCs w:val="4"/>
                <w:color w:val="auto"/>
              </w:rPr>
            </w:pPr>
          </w:p>
        </w:tc>
        <w:tc>
          <w:tcPr>
            <w:tcW w:w="2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80" w:type="dxa"/>
            <w:vAlign w:val="bottom"/>
            <w:tcBorders>
              <w:top w:val="single" w:sz="8" w:color="0000EE"/>
              <w:bottom w:val="single" w:sz="8" w:color="342C82"/>
            </w:tcBorders>
          </w:tcPr>
          <w:p>
            <w:pPr>
              <w:spacing w:after="0"/>
              <w:rPr>
                <w:sz w:val="4"/>
                <w:szCs w:val="4"/>
                <w:color w:val="auto"/>
              </w:rPr>
            </w:pPr>
          </w:p>
        </w:tc>
        <w:tc>
          <w:tcPr>
            <w:tcW w:w="160" w:type="dxa"/>
            <w:vAlign w:val="bottom"/>
            <w:tcBorders>
              <w:top w:val="single" w:sz="8" w:color="0000EE"/>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280" w:type="dxa"/>
            <w:vAlign w:val="bottom"/>
            <w:tcBorders>
              <w:top w:val="single" w:sz="8" w:color="0000EE"/>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40" w:type="dxa"/>
            <w:vAlign w:val="bottom"/>
            <w:tcBorders>
              <w:top w:val="single" w:sz="8" w:color="0000EE"/>
              <w:bottom w:val="single" w:sz="8" w:color="342C82"/>
            </w:tcBorders>
          </w:tcPr>
          <w:p>
            <w:pPr>
              <w:spacing w:after="0"/>
              <w:rPr>
                <w:sz w:val="4"/>
                <w:szCs w:val="4"/>
                <w:color w:val="auto"/>
              </w:rPr>
            </w:pPr>
          </w:p>
        </w:tc>
        <w:tc>
          <w:tcPr>
            <w:tcW w:w="40" w:type="dxa"/>
            <w:vAlign w:val="bottom"/>
            <w:tcBorders>
              <w:top w:val="single" w:sz="8" w:color="0000EE"/>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2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18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380" w:type="dxa"/>
            <w:vAlign w:val="bottom"/>
            <w:tcBorders>
              <w:top w:val="single" w:sz="8" w:color="0000EE"/>
              <w:bottom w:val="single" w:sz="8" w:color="342C82"/>
            </w:tcBorders>
          </w:tcPr>
          <w:p>
            <w:pPr>
              <w:spacing w:after="0"/>
              <w:rPr>
                <w:sz w:val="4"/>
                <w:szCs w:val="4"/>
                <w:color w:val="auto"/>
              </w:rPr>
            </w:pPr>
          </w:p>
        </w:tc>
        <w:tc>
          <w:tcPr>
            <w:tcW w:w="340" w:type="dxa"/>
            <w:vAlign w:val="bottom"/>
            <w:tcBorders>
              <w:top w:val="single" w:sz="8" w:color="0000EE"/>
              <w:bottom w:val="single" w:sz="8" w:color="342C82"/>
            </w:tcBorders>
          </w:tcPr>
          <w:p>
            <w:pPr>
              <w:spacing w:after="0"/>
              <w:rPr>
                <w:sz w:val="4"/>
                <w:szCs w:val="4"/>
                <w:color w:val="auto"/>
              </w:rPr>
            </w:pPr>
          </w:p>
        </w:tc>
        <w:tc>
          <w:tcPr>
            <w:tcW w:w="1080" w:type="dxa"/>
            <w:vAlign w:val="bottom"/>
            <w:tcBorders>
              <w:top w:val="single" w:sz="8" w:color="0000EE"/>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560" w:type="dxa"/>
            <w:vAlign w:val="bottom"/>
            <w:tcBorders>
              <w:bottom w:val="single" w:sz="8" w:color="342C82"/>
            </w:tcBorders>
          </w:tcPr>
          <w:p>
            <w:pPr>
              <w:spacing w:after="0"/>
              <w:rPr>
                <w:sz w:val="4"/>
                <w:szCs w:val="4"/>
                <w:color w:val="auto"/>
              </w:rPr>
            </w:pPr>
          </w:p>
        </w:tc>
        <w:tc>
          <w:tcPr>
            <w:tcW w:w="180" w:type="dxa"/>
            <w:vAlign w:val="bottom"/>
            <w:tcBorders>
              <w:bottom w:val="single" w:sz="8" w:color="342C82"/>
            </w:tcBorders>
          </w:tcPr>
          <w:p>
            <w:pPr>
              <w:spacing w:after="0"/>
              <w:rPr>
                <w:sz w:val="4"/>
                <w:szCs w:val="4"/>
                <w:color w:val="auto"/>
              </w:rPr>
            </w:pPr>
          </w:p>
        </w:tc>
        <w:tc>
          <w:tcPr>
            <w:tcW w:w="1880" w:type="dxa"/>
            <w:vAlign w:val="bottom"/>
            <w:tcBorders>
              <w:bottom w:val="single" w:sz="8" w:color="342C82"/>
            </w:tcBorders>
          </w:tcPr>
          <w:p>
            <w:pPr>
              <w:spacing w:after="0"/>
              <w:rPr>
                <w:sz w:val="4"/>
                <w:szCs w:val="4"/>
                <w:color w:val="auto"/>
              </w:rPr>
            </w:pPr>
          </w:p>
        </w:tc>
        <w:tc>
          <w:tcPr>
            <w:tcW w:w="80" w:type="dxa"/>
            <w:vAlign w:val="bottom"/>
            <w:tcBorders>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80" w:type="dxa"/>
            <w:vAlign w:val="bottom"/>
            <w:tcBorders>
              <w:top w:val="single" w:sz="8" w:color="0000EE"/>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r>
      <w:tr>
        <w:trPr>
          <w:trHeight w:val="183"/>
        </w:trPr>
        <w:tc>
          <w:tcPr>
            <w:tcW w:w="40" w:type="dxa"/>
            <w:vAlign w:val="bottom"/>
          </w:tcPr>
          <w:p>
            <w:pPr>
              <w:spacing w:after="0"/>
              <w:rPr>
                <w:sz w:val="15"/>
                <w:szCs w:val="15"/>
                <w:color w:val="auto"/>
              </w:rPr>
            </w:pPr>
          </w:p>
        </w:tc>
        <w:tc>
          <w:tcPr>
            <w:tcW w:w="6200" w:type="dxa"/>
            <w:vAlign w:val="bottom"/>
            <w:gridSpan w:val="35"/>
          </w:tcPr>
          <w:p>
            <w:pPr>
              <w:ind w:left="240"/>
              <w:spacing w:after="0" w:line="183" w:lineRule="exact"/>
              <w:rPr>
                <w:sz w:val="20"/>
                <w:szCs w:val="20"/>
                <w:color w:val="auto"/>
              </w:rPr>
            </w:pPr>
            <w:r>
              <w:rPr>
                <w:rFonts w:ascii="Arial" w:cs="Arial" w:eastAsia="Arial" w:hAnsi="Arial"/>
                <w:sz w:val="16"/>
                <w:szCs w:val="16"/>
                <w:color w:val="0000EE"/>
              </w:rPr>
              <w:t>Compensation Discussion and Analysis</w:t>
            </w:r>
          </w:p>
        </w:tc>
        <w:tc>
          <w:tcPr>
            <w:tcW w:w="2180" w:type="dxa"/>
            <w:vAlign w:val="bottom"/>
            <w:gridSpan w:val="7"/>
          </w:tcPr>
          <w:p>
            <w:pPr>
              <w:jc w:val="right"/>
              <w:ind w:right="40"/>
              <w:spacing w:after="0" w:line="183" w:lineRule="exact"/>
              <w:rPr>
                <w:sz w:val="20"/>
                <w:szCs w:val="20"/>
                <w:color w:val="auto"/>
              </w:rPr>
            </w:pPr>
            <w:r>
              <w:rPr>
                <w:rFonts w:ascii="Arial" w:cs="Arial" w:eastAsia="Arial" w:hAnsi="Arial"/>
                <w:sz w:val="16"/>
                <w:szCs w:val="16"/>
                <w:color w:val="0000EE"/>
              </w:rPr>
              <w:t>34</w:t>
            </w:r>
          </w:p>
        </w:tc>
      </w:tr>
      <w:tr>
        <w:trPr>
          <w:trHeight w:val="48"/>
        </w:trPr>
        <w:tc>
          <w:tcPr>
            <w:tcW w:w="40" w:type="dxa"/>
            <w:vAlign w:val="bottom"/>
            <w:tcBorders>
              <w:bottom w:val="single" w:sz="8" w:color="342C82"/>
            </w:tcBorders>
          </w:tcPr>
          <w:p>
            <w:pPr>
              <w:spacing w:after="0"/>
              <w:rPr>
                <w:sz w:val="4"/>
                <w:szCs w:val="4"/>
                <w:color w:val="auto"/>
              </w:rPr>
            </w:pPr>
          </w:p>
        </w:tc>
        <w:tc>
          <w:tcPr>
            <w:tcW w:w="240" w:type="dxa"/>
            <w:vAlign w:val="bottom"/>
            <w:tcBorders>
              <w:bottom w:val="single" w:sz="8" w:color="342C82"/>
            </w:tcBorders>
          </w:tcPr>
          <w:p>
            <w:pPr>
              <w:spacing w:after="0"/>
              <w:rPr>
                <w:sz w:val="4"/>
                <w:szCs w:val="4"/>
                <w:color w:val="auto"/>
              </w:rPr>
            </w:pPr>
          </w:p>
        </w:tc>
        <w:tc>
          <w:tcPr>
            <w:tcW w:w="980" w:type="dxa"/>
            <w:vAlign w:val="bottom"/>
            <w:tcBorders>
              <w:top w:val="single" w:sz="8" w:color="0000EE"/>
              <w:bottom w:val="single" w:sz="8" w:color="342C82"/>
            </w:tcBorders>
          </w:tcPr>
          <w:p>
            <w:pPr>
              <w:spacing w:after="0"/>
              <w:rPr>
                <w:sz w:val="4"/>
                <w:szCs w:val="4"/>
                <w:color w:val="auto"/>
              </w:rPr>
            </w:pPr>
          </w:p>
        </w:tc>
        <w:tc>
          <w:tcPr>
            <w:tcW w:w="100" w:type="dxa"/>
            <w:vAlign w:val="bottom"/>
            <w:tcBorders>
              <w:top w:val="single" w:sz="8" w:color="0000EE"/>
              <w:bottom w:val="single" w:sz="8" w:color="342C82"/>
            </w:tcBorders>
          </w:tcPr>
          <w:p>
            <w:pPr>
              <w:spacing w:after="0"/>
              <w:rPr>
                <w:sz w:val="4"/>
                <w:szCs w:val="4"/>
                <w:color w:val="auto"/>
              </w:rPr>
            </w:pPr>
          </w:p>
        </w:tc>
        <w:tc>
          <w:tcPr>
            <w:tcW w:w="10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320" w:type="dxa"/>
            <w:vAlign w:val="bottom"/>
            <w:tcBorders>
              <w:top w:val="single" w:sz="8" w:color="0000EE"/>
              <w:bottom w:val="single" w:sz="8" w:color="342C82"/>
            </w:tcBorders>
          </w:tcPr>
          <w:p>
            <w:pPr>
              <w:spacing w:after="0"/>
              <w:rPr>
                <w:sz w:val="4"/>
                <w:szCs w:val="4"/>
                <w:color w:val="auto"/>
              </w:rPr>
            </w:pPr>
          </w:p>
        </w:tc>
        <w:tc>
          <w:tcPr>
            <w:tcW w:w="4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160" w:type="dxa"/>
            <w:vAlign w:val="bottom"/>
            <w:tcBorders>
              <w:top w:val="single" w:sz="8" w:color="0000EE"/>
              <w:bottom w:val="single" w:sz="8" w:color="342C82"/>
            </w:tcBorders>
          </w:tcPr>
          <w:p>
            <w:pPr>
              <w:spacing w:after="0"/>
              <w:rPr>
                <w:sz w:val="4"/>
                <w:szCs w:val="4"/>
                <w:color w:val="auto"/>
              </w:rPr>
            </w:pPr>
          </w:p>
        </w:tc>
        <w:tc>
          <w:tcPr>
            <w:tcW w:w="2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80" w:type="dxa"/>
            <w:vAlign w:val="bottom"/>
            <w:tcBorders>
              <w:top w:val="single" w:sz="8" w:color="0000EE"/>
              <w:bottom w:val="single" w:sz="8" w:color="342C82"/>
            </w:tcBorders>
          </w:tcPr>
          <w:p>
            <w:pPr>
              <w:spacing w:after="0"/>
              <w:rPr>
                <w:sz w:val="4"/>
                <w:szCs w:val="4"/>
                <w:color w:val="auto"/>
              </w:rPr>
            </w:pPr>
          </w:p>
        </w:tc>
        <w:tc>
          <w:tcPr>
            <w:tcW w:w="160" w:type="dxa"/>
            <w:vAlign w:val="bottom"/>
            <w:tcBorders>
              <w:top w:val="single" w:sz="8" w:color="0000EE"/>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280" w:type="dxa"/>
            <w:vAlign w:val="bottom"/>
            <w:tcBorders>
              <w:top w:val="single" w:sz="8" w:color="0000EE"/>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40" w:type="dxa"/>
            <w:vAlign w:val="bottom"/>
            <w:tcBorders>
              <w:top w:val="single" w:sz="8" w:color="0000EE"/>
              <w:bottom w:val="single" w:sz="8" w:color="342C82"/>
            </w:tcBorders>
          </w:tcPr>
          <w:p>
            <w:pPr>
              <w:spacing w:after="0"/>
              <w:rPr>
                <w:sz w:val="4"/>
                <w:szCs w:val="4"/>
                <w:color w:val="auto"/>
              </w:rPr>
            </w:pPr>
          </w:p>
        </w:tc>
        <w:tc>
          <w:tcPr>
            <w:tcW w:w="40" w:type="dxa"/>
            <w:vAlign w:val="bottom"/>
            <w:tcBorders>
              <w:top w:val="single" w:sz="8" w:color="0000EE"/>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2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18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380" w:type="dxa"/>
            <w:vAlign w:val="bottom"/>
            <w:tcBorders>
              <w:bottom w:val="single" w:sz="8" w:color="342C82"/>
            </w:tcBorders>
          </w:tcPr>
          <w:p>
            <w:pPr>
              <w:spacing w:after="0"/>
              <w:rPr>
                <w:sz w:val="4"/>
                <w:szCs w:val="4"/>
                <w:color w:val="auto"/>
              </w:rPr>
            </w:pPr>
          </w:p>
        </w:tc>
        <w:tc>
          <w:tcPr>
            <w:tcW w:w="340" w:type="dxa"/>
            <w:vAlign w:val="bottom"/>
            <w:tcBorders>
              <w:bottom w:val="single" w:sz="8" w:color="342C82"/>
            </w:tcBorders>
          </w:tcPr>
          <w:p>
            <w:pPr>
              <w:spacing w:after="0"/>
              <w:rPr>
                <w:sz w:val="4"/>
                <w:szCs w:val="4"/>
                <w:color w:val="auto"/>
              </w:rPr>
            </w:pPr>
          </w:p>
        </w:tc>
        <w:tc>
          <w:tcPr>
            <w:tcW w:w="108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560" w:type="dxa"/>
            <w:vAlign w:val="bottom"/>
            <w:tcBorders>
              <w:bottom w:val="single" w:sz="8" w:color="342C82"/>
            </w:tcBorders>
          </w:tcPr>
          <w:p>
            <w:pPr>
              <w:spacing w:after="0"/>
              <w:rPr>
                <w:sz w:val="4"/>
                <w:szCs w:val="4"/>
                <w:color w:val="auto"/>
              </w:rPr>
            </w:pPr>
          </w:p>
        </w:tc>
        <w:tc>
          <w:tcPr>
            <w:tcW w:w="180" w:type="dxa"/>
            <w:vAlign w:val="bottom"/>
            <w:tcBorders>
              <w:bottom w:val="single" w:sz="8" w:color="342C82"/>
            </w:tcBorders>
          </w:tcPr>
          <w:p>
            <w:pPr>
              <w:spacing w:after="0"/>
              <w:rPr>
                <w:sz w:val="4"/>
                <w:szCs w:val="4"/>
                <w:color w:val="auto"/>
              </w:rPr>
            </w:pPr>
          </w:p>
        </w:tc>
        <w:tc>
          <w:tcPr>
            <w:tcW w:w="1880" w:type="dxa"/>
            <w:vAlign w:val="bottom"/>
            <w:tcBorders>
              <w:bottom w:val="single" w:sz="8" w:color="342C82"/>
            </w:tcBorders>
          </w:tcPr>
          <w:p>
            <w:pPr>
              <w:spacing w:after="0"/>
              <w:rPr>
                <w:sz w:val="4"/>
                <w:szCs w:val="4"/>
                <w:color w:val="auto"/>
              </w:rPr>
            </w:pPr>
          </w:p>
        </w:tc>
        <w:tc>
          <w:tcPr>
            <w:tcW w:w="80" w:type="dxa"/>
            <w:vAlign w:val="bottom"/>
            <w:tcBorders>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80" w:type="dxa"/>
            <w:vAlign w:val="bottom"/>
            <w:tcBorders>
              <w:top w:val="single" w:sz="8" w:color="0000EE"/>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r>
      <w:tr>
        <w:trPr>
          <w:trHeight w:val="182"/>
        </w:trPr>
        <w:tc>
          <w:tcPr>
            <w:tcW w:w="40" w:type="dxa"/>
            <w:vAlign w:val="bottom"/>
          </w:tcPr>
          <w:p>
            <w:pPr>
              <w:spacing w:after="0"/>
              <w:rPr>
                <w:sz w:val="15"/>
                <w:szCs w:val="15"/>
                <w:color w:val="auto"/>
              </w:rPr>
            </w:pPr>
          </w:p>
        </w:tc>
        <w:tc>
          <w:tcPr>
            <w:tcW w:w="6200" w:type="dxa"/>
            <w:vAlign w:val="bottom"/>
            <w:gridSpan w:val="35"/>
          </w:tcPr>
          <w:p>
            <w:pPr>
              <w:ind w:left="240"/>
              <w:spacing w:after="0" w:line="183" w:lineRule="exact"/>
              <w:rPr>
                <w:sz w:val="20"/>
                <w:szCs w:val="20"/>
                <w:color w:val="auto"/>
              </w:rPr>
            </w:pPr>
            <w:r>
              <w:rPr>
                <w:rFonts w:ascii="Arial" w:cs="Arial" w:eastAsia="Arial" w:hAnsi="Arial"/>
                <w:sz w:val="16"/>
                <w:szCs w:val="16"/>
                <w:color w:val="0000EE"/>
              </w:rPr>
              <w:t>Report of the Compensation and Management Development Committee</w:t>
            </w:r>
          </w:p>
        </w:tc>
        <w:tc>
          <w:tcPr>
            <w:tcW w:w="2180" w:type="dxa"/>
            <w:vAlign w:val="bottom"/>
            <w:gridSpan w:val="7"/>
          </w:tcPr>
          <w:p>
            <w:pPr>
              <w:jc w:val="right"/>
              <w:ind w:right="40"/>
              <w:spacing w:after="0" w:line="183" w:lineRule="exact"/>
              <w:rPr>
                <w:sz w:val="20"/>
                <w:szCs w:val="20"/>
                <w:color w:val="auto"/>
              </w:rPr>
            </w:pPr>
            <w:r>
              <w:rPr>
                <w:rFonts w:ascii="Arial" w:cs="Arial" w:eastAsia="Arial" w:hAnsi="Arial"/>
                <w:sz w:val="16"/>
                <w:szCs w:val="16"/>
                <w:color w:val="0000EE"/>
              </w:rPr>
              <w:t>49</w:t>
            </w:r>
          </w:p>
        </w:tc>
      </w:tr>
      <w:tr>
        <w:trPr>
          <w:trHeight w:val="48"/>
        </w:trPr>
        <w:tc>
          <w:tcPr>
            <w:tcW w:w="40" w:type="dxa"/>
            <w:vAlign w:val="bottom"/>
            <w:tcBorders>
              <w:bottom w:val="single" w:sz="8" w:color="342C82"/>
            </w:tcBorders>
          </w:tcPr>
          <w:p>
            <w:pPr>
              <w:spacing w:after="0"/>
              <w:rPr>
                <w:sz w:val="4"/>
                <w:szCs w:val="4"/>
                <w:color w:val="auto"/>
              </w:rPr>
            </w:pPr>
          </w:p>
        </w:tc>
        <w:tc>
          <w:tcPr>
            <w:tcW w:w="240" w:type="dxa"/>
            <w:vAlign w:val="bottom"/>
            <w:tcBorders>
              <w:bottom w:val="single" w:sz="8" w:color="342C82"/>
            </w:tcBorders>
          </w:tcPr>
          <w:p>
            <w:pPr>
              <w:spacing w:after="0"/>
              <w:rPr>
                <w:sz w:val="4"/>
                <w:szCs w:val="4"/>
                <w:color w:val="auto"/>
              </w:rPr>
            </w:pPr>
          </w:p>
        </w:tc>
        <w:tc>
          <w:tcPr>
            <w:tcW w:w="980" w:type="dxa"/>
            <w:vAlign w:val="bottom"/>
            <w:tcBorders>
              <w:top w:val="single" w:sz="8" w:color="0000EE"/>
              <w:bottom w:val="single" w:sz="8" w:color="342C82"/>
            </w:tcBorders>
          </w:tcPr>
          <w:p>
            <w:pPr>
              <w:spacing w:after="0"/>
              <w:rPr>
                <w:sz w:val="4"/>
                <w:szCs w:val="4"/>
                <w:color w:val="auto"/>
              </w:rPr>
            </w:pPr>
          </w:p>
        </w:tc>
        <w:tc>
          <w:tcPr>
            <w:tcW w:w="100" w:type="dxa"/>
            <w:vAlign w:val="bottom"/>
            <w:tcBorders>
              <w:top w:val="single" w:sz="8" w:color="0000EE"/>
              <w:bottom w:val="single" w:sz="8" w:color="342C82"/>
            </w:tcBorders>
          </w:tcPr>
          <w:p>
            <w:pPr>
              <w:spacing w:after="0"/>
              <w:rPr>
                <w:sz w:val="4"/>
                <w:szCs w:val="4"/>
                <w:color w:val="auto"/>
              </w:rPr>
            </w:pPr>
          </w:p>
        </w:tc>
        <w:tc>
          <w:tcPr>
            <w:tcW w:w="10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320" w:type="dxa"/>
            <w:vAlign w:val="bottom"/>
            <w:tcBorders>
              <w:top w:val="single" w:sz="8" w:color="0000EE"/>
              <w:bottom w:val="single" w:sz="8" w:color="342C82"/>
            </w:tcBorders>
          </w:tcPr>
          <w:p>
            <w:pPr>
              <w:spacing w:after="0"/>
              <w:rPr>
                <w:sz w:val="4"/>
                <w:szCs w:val="4"/>
                <w:color w:val="auto"/>
              </w:rPr>
            </w:pPr>
          </w:p>
        </w:tc>
        <w:tc>
          <w:tcPr>
            <w:tcW w:w="4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160" w:type="dxa"/>
            <w:vAlign w:val="bottom"/>
            <w:tcBorders>
              <w:top w:val="single" w:sz="8" w:color="0000EE"/>
              <w:bottom w:val="single" w:sz="8" w:color="342C82"/>
            </w:tcBorders>
          </w:tcPr>
          <w:p>
            <w:pPr>
              <w:spacing w:after="0"/>
              <w:rPr>
                <w:sz w:val="4"/>
                <w:szCs w:val="4"/>
                <w:color w:val="auto"/>
              </w:rPr>
            </w:pPr>
          </w:p>
        </w:tc>
        <w:tc>
          <w:tcPr>
            <w:tcW w:w="2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80" w:type="dxa"/>
            <w:vAlign w:val="bottom"/>
            <w:tcBorders>
              <w:top w:val="single" w:sz="8" w:color="0000EE"/>
              <w:bottom w:val="single" w:sz="8" w:color="342C82"/>
            </w:tcBorders>
          </w:tcPr>
          <w:p>
            <w:pPr>
              <w:spacing w:after="0"/>
              <w:rPr>
                <w:sz w:val="4"/>
                <w:szCs w:val="4"/>
                <w:color w:val="auto"/>
              </w:rPr>
            </w:pPr>
          </w:p>
        </w:tc>
        <w:tc>
          <w:tcPr>
            <w:tcW w:w="160" w:type="dxa"/>
            <w:vAlign w:val="bottom"/>
            <w:tcBorders>
              <w:top w:val="single" w:sz="8" w:color="0000EE"/>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280" w:type="dxa"/>
            <w:vAlign w:val="bottom"/>
            <w:tcBorders>
              <w:top w:val="single" w:sz="8" w:color="0000EE"/>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40" w:type="dxa"/>
            <w:vAlign w:val="bottom"/>
            <w:tcBorders>
              <w:top w:val="single" w:sz="8" w:color="0000EE"/>
              <w:bottom w:val="single" w:sz="8" w:color="342C82"/>
            </w:tcBorders>
          </w:tcPr>
          <w:p>
            <w:pPr>
              <w:spacing w:after="0"/>
              <w:rPr>
                <w:sz w:val="4"/>
                <w:szCs w:val="4"/>
                <w:color w:val="auto"/>
              </w:rPr>
            </w:pPr>
          </w:p>
        </w:tc>
        <w:tc>
          <w:tcPr>
            <w:tcW w:w="40" w:type="dxa"/>
            <w:vAlign w:val="bottom"/>
            <w:tcBorders>
              <w:top w:val="single" w:sz="8" w:color="0000EE"/>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2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18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380" w:type="dxa"/>
            <w:vAlign w:val="bottom"/>
            <w:tcBorders>
              <w:top w:val="single" w:sz="8" w:color="0000EE"/>
              <w:bottom w:val="single" w:sz="8" w:color="342C82"/>
            </w:tcBorders>
          </w:tcPr>
          <w:p>
            <w:pPr>
              <w:spacing w:after="0"/>
              <w:rPr>
                <w:sz w:val="4"/>
                <w:szCs w:val="4"/>
                <w:color w:val="auto"/>
              </w:rPr>
            </w:pPr>
          </w:p>
        </w:tc>
        <w:tc>
          <w:tcPr>
            <w:tcW w:w="340" w:type="dxa"/>
            <w:vAlign w:val="bottom"/>
            <w:tcBorders>
              <w:top w:val="single" w:sz="8" w:color="0000EE"/>
              <w:bottom w:val="single" w:sz="8" w:color="342C82"/>
            </w:tcBorders>
          </w:tcPr>
          <w:p>
            <w:pPr>
              <w:spacing w:after="0"/>
              <w:rPr>
                <w:sz w:val="4"/>
                <w:szCs w:val="4"/>
                <w:color w:val="auto"/>
              </w:rPr>
            </w:pPr>
          </w:p>
        </w:tc>
        <w:tc>
          <w:tcPr>
            <w:tcW w:w="1080" w:type="dxa"/>
            <w:vAlign w:val="bottom"/>
            <w:tcBorders>
              <w:top w:val="single" w:sz="8" w:color="0000EE"/>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560" w:type="dxa"/>
            <w:vAlign w:val="bottom"/>
            <w:tcBorders>
              <w:bottom w:val="single" w:sz="8" w:color="342C82"/>
            </w:tcBorders>
          </w:tcPr>
          <w:p>
            <w:pPr>
              <w:spacing w:after="0"/>
              <w:rPr>
                <w:sz w:val="4"/>
                <w:szCs w:val="4"/>
                <w:color w:val="auto"/>
              </w:rPr>
            </w:pPr>
          </w:p>
        </w:tc>
        <w:tc>
          <w:tcPr>
            <w:tcW w:w="180" w:type="dxa"/>
            <w:vAlign w:val="bottom"/>
            <w:tcBorders>
              <w:bottom w:val="single" w:sz="8" w:color="342C82"/>
            </w:tcBorders>
          </w:tcPr>
          <w:p>
            <w:pPr>
              <w:spacing w:after="0"/>
              <w:rPr>
                <w:sz w:val="4"/>
                <w:szCs w:val="4"/>
                <w:color w:val="auto"/>
              </w:rPr>
            </w:pPr>
          </w:p>
        </w:tc>
        <w:tc>
          <w:tcPr>
            <w:tcW w:w="1880" w:type="dxa"/>
            <w:vAlign w:val="bottom"/>
            <w:tcBorders>
              <w:bottom w:val="single" w:sz="8" w:color="342C82"/>
            </w:tcBorders>
          </w:tcPr>
          <w:p>
            <w:pPr>
              <w:spacing w:after="0"/>
              <w:rPr>
                <w:sz w:val="4"/>
                <w:szCs w:val="4"/>
                <w:color w:val="auto"/>
              </w:rPr>
            </w:pPr>
          </w:p>
        </w:tc>
        <w:tc>
          <w:tcPr>
            <w:tcW w:w="80" w:type="dxa"/>
            <w:vAlign w:val="bottom"/>
            <w:tcBorders>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80" w:type="dxa"/>
            <w:vAlign w:val="bottom"/>
            <w:tcBorders>
              <w:top w:val="single" w:sz="8" w:color="0000EE"/>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r>
      <w:tr>
        <w:trPr>
          <w:trHeight w:val="183"/>
        </w:trPr>
        <w:tc>
          <w:tcPr>
            <w:tcW w:w="40" w:type="dxa"/>
            <w:vAlign w:val="bottom"/>
          </w:tcPr>
          <w:p>
            <w:pPr>
              <w:spacing w:after="0"/>
              <w:rPr>
                <w:sz w:val="15"/>
                <w:szCs w:val="15"/>
                <w:color w:val="auto"/>
              </w:rPr>
            </w:pPr>
          </w:p>
        </w:tc>
        <w:tc>
          <w:tcPr>
            <w:tcW w:w="6200" w:type="dxa"/>
            <w:vAlign w:val="bottom"/>
            <w:gridSpan w:val="35"/>
          </w:tcPr>
          <w:p>
            <w:pPr>
              <w:ind w:left="240"/>
              <w:spacing w:after="0" w:line="183" w:lineRule="exact"/>
              <w:rPr>
                <w:sz w:val="20"/>
                <w:szCs w:val="20"/>
                <w:color w:val="auto"/>
              </w:rPr>
            </w:pPr>
            <w:r>
              <w:rPr>
                <w:rFonts w:ascii="Arial" w:cs="Arial" w:eastAsia="Arial" w:hAnsi="Arial"/>
                <w:sz w:val="16"/>
                <w:szCs w:val="16"/>
                <w:color w:val="0000EE"/>
              </w:rPr>
              <w:t>Compensation of Named Executive Officers</w:t>
            </w:r>
          </w:p>
        </w:tc>
        <w:tc>
          <w:tcPr>
            <w:tcW w:w="2180" w:type="dxa"/>
            <w:vAlign w:val="bottom"/>
            <w:gridSpan w:val="7"/>
          </w:tcPr>
          <w:p>
            <w:pPr>
              <w:jc w:val="right"/>
              <w:ind w:right="40"/>
              <w:spacing w:after="0" w:line="183" w:lineRule="exact"/>
              <w:rPr>
                <w:sz w:val="20"/>
                <w:szCs w:val="20"/>
                <w:color w:val="auto"/>
              </w:rPr>
            </w:pPr>
            <w:r>
              <w:rPr>
                <w:rFonts w:ascii="Arial" w:cs="Arial" w:eastAsia="Arial" w:hAnsi="Arial"/>
                <w:sz w:val="16"/>
                <w:szCs w:val="16"/>
                <w:color w:val="0000EE"/>
              </w:rPr>
              <w:t>50</w:t>
            </w:r>
          </w:p>
        </w:tc>
      </w:tr>
      <w:tr>
        <w:trPr>
          <w:trHeight w:val="48"/>
        </w:trPr>
        <w:tc>
          <w:tcPr>
            <w:tcW w:w="40" w:type="dxa"/>
            <w:vAlign w:val="bottom"/>
            <w:tcBorders>
              <w:bottom w:val="single" w:sz="8" w:color="342C82"/>
            </w:tcBorders>
          </w:tcPr>
          <w:p>
            <w:pPr>
              <w:spacing w:after="0"/>
              <w:rPr>
                <w:sz w:val="4"/>
                <w:szCs w:val="4"/>
                <w:color w:val="auto"/>
              </w:rPr>
            </w:pPr>
          </w:p>
        </w:tc>
        <w:tc>
          <w:tcPr>
            <w:tcW w:w="240" w:type="dxa"/>
            <w:vAlign w:val="bottom"/>
            <w:tcBorders>
              <w:bottom w:val="single" w:sz="8" w:color="342C82"/>
            </w:tcBorders>
          </w:tcPr>
          <w:p>
            <w:pPr>
              <w:spacing w:after="0"/>
              <w:rPr>
                <w:sz w:val="4"/>
                <w:szCs w:val="4"/>
                <w:color w:val="auto"/>
              </w:rPr>
            </w:pPr>
          </w:p>
        </w:tc>
        <w:tc>
          <w:tcPr>
            <w:tcW w:w="980" w:type="dxa"/>
            <w:vAlign w:val="bottom"/>
            <w:tcBorders>
              <w:top w:val="single" w:sz="8" w:color="0000EE"/>
              <w:bottom w:val="single" w:sz="8" w:color="342C82"/>
            </w:tcBorders>
          </w:tcPr>
          <w:p>
            <w:pPr>
              <w:spacing w:after="0"/>
              <w:rPr>
                <w:sz w:val="4"/>
                <w:szCs w:val="4"/>
                <w:color w:val="auto"/>
              </w:rPr>
            </w:pPr>
          </w:p>
        </w:tc>
        <w:tc>
          <w:tcPr>
            <w:tcW w:w="100" w:type="dxa"/>
            <w:vAlign w:val="bottom"/>
            <w:tcBorders>
              <w:top w:val="single" w:sz="8" w:color="0000EE"/>
              <w:bottom w:val="single" w:sz="8" w:color="342C82"/>
            </w:tcBorders>
          </w:tcPr>
          <w:p>
            <w:pPr>
              <w:spacing w:after="0"/>
              <w:rPr>
                <w:sz w:val="4"/>
                <w:szCs w:val="4"/>
                <w:color w:val="auto"/>
              </w:rPr>
            </w:pPr>
          </w:p>
        </w:tc>
        <w:tc>
          <w:tcPr>
            <w:tcW w:w="10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320" w:type="dxa"/>
            <w:vAlign w:val="bottom"/>
            <w:tcBorders>
              <w:top w:val="single" w:sz="8" w:color="0000EE"/>
              <w:bottom w:val="single" w:sz="8" w:color="342C82"/>
            </w:tcBorders>
          </w:tcPr>
          <w:p>
            <w:pPr>
              <w:spacing w:after="0"/>
              <w:rPr>
                <w:sz w:val="4"/>
                <w:szCs w:val="4"/>
                <w:color w:val="auto"/>
              </w:rPr>
            </w:pPr>
          </w:p>
        </w:tc>
        <w:tc>
          <w:tcPr>
            <w:tcW w:w="4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160" w:type="dxa"/>
            <w:vAlign w:val="bottom"/>
            <w:tcBorders>
              <w:top w:val="single" w:sz="8" w:color="0000EE"/>
              <w:bottom w:val="single" w:sz="8" w:color="342C82"/>
            </w:tcBorders>
          </w:tcPr>
          <w:p>
            <w:pPr>
              <w:spacing w:after="0"/>
              <w:rPr>
                <w:sz w:val="4"/>
                <w:szCs w:val="4"/>
                <w:color w:val="auto"/>
              </w:rPr>
            </w:pPr>
          </w:p>
        </w:tc>
        <w:tc>
          <w:tcPr>
            <w:tcW w:w="2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80" w:type="dxa"/>
            <w:vAlign w:val="bottom"/>
            <w:tcBorders>
              <w:top w:val="single" w:sz="8" w:color="0000EE"/>
              <w:bottom w:val="single" w:sz="8" w:color="342C82"/>
            </w:tcBorders>
          </w:tcPr>
          <w:p>
            <w:pPr>
              <w:spacing w:after="0"/>
              <w:rPr>
                <w:sz w:val="4"/>
                <w:szCs w:val="4"/>
                <w:color w:val="auto"/>
              </w:rPr>
            </w:pPr>
          </w:p>
        </w:tc>
        <w:tc>
          <w:tcPr>
            <w:tcW w:w="160" w:type="dxa"/>
            <w:vAlign w:val="bottom"/>
            <w:tcBorders>
              <w:top w:val="single" w:sz="8" w:color="0000EE"/>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280" w:type="dxa"/>
            <w:vAlign w:val="bottom"/>
            <w:tcBorders>
              <w:top w:val="single" w:sz="8" w:color="0000EE"/>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40" w:type="dxa"/>
            <w:vAlign w:val="bottom"/>
            <w:tcBorders>
              <w:top w:val="single" w:sz="8" w:color="0000EE"/>
              <w:bottom w:val="single" w:sz="8" w:color="342C82"/>
            </w:tcBorders>
          </w:tcPr>
          <w:p>
            <w:pPr>
              <w:spacing w:after="0"/>
              <w:rPr>
                <w:sz w:val="4"/>
                <w:szCs w:val="4"/>
                <w:color w:val="auto"/>
              </w:rPr>
            </w:pPr>
          </w:p>
        </w:tc>
        <w:tc>
          <w:tcPr>
            <w:tcW w:w="40" w:type="dxa"/>
            <w:vAlign w:val="bottom"/>
            <w:tcBorders>
              <w:top w:val="single" w:sz="8" w:color="0000EE"/>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220" w:type="dxa"/>
            <w:vAlign w:val="bottom"/>
            <w:tcBorders>
              <w:top w:val="single" w:sz="8" w:color="0000EE"/>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18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380" w:type="dxa"/>
            <w:vAlign w:val="bottom"/>
            <w:tcBorders>
              <w:bottom w:val="single" w:sz="8" w:color="342C82"/>
            </w:tcBorders>
          </w:tcPr>
          <w:p>
            <w:pPr>
              <w:spacing w:after="0"/>
              <w:rPr>
                <w:sz w:val="4"/>
                <w:szCs w:val="4"/>
                <w:color w:val="auto"/>
              </w:rPr>
            </w:pPr>
          </w:p>
        </w:tc>
        <w:tc>
          <w:tcPr>
            <w:tcW w:w="340" w:type="dxa"/>
            <w:vAlign w:val="bottom"/>
            <w:tcBorders>
              <w:bottom w:val="single" w:sz="8" w:color="342C82"/>
            </w:tcBorders>
          </w:tcPr>
          <w:p>
            <w:pPr>
              <w:spacing w:after="0"/>
              <w:rPr>
                <w:sz w:val="4"/>
                <w:szCs w:val="4"/>
                <w:color w:val="auto"/>
              </w:rPr>
            </w:pPr>
          </w:p>
        </w:tc>
        <w:tc>
          <w:tcPr>
            <w:tcW w:w="108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560" w:type="dxa"/>
            <w:vAlign w:val="bottom"/>
            <w:tcBorders>
              <w:bottom w:val="single" w:sz="8" w:color="342C82"/>
            </w:tcBorders>
          </w:tcPr>
          <w:p>
            <w:pPr>
              <w:spacing w:after="0"/>
              <w:rPr>
                <w:sz w:val="4"/>
                <w:szCs w:val="4"/>
                <w:color w:val="auto"/>
              </w:rPr>
            </w:pPr>
          </w:p>
        </w:tc>
        <w:tc>
          <w:tcPr>
            <w:tcW w:w="180" w:type="dxa"/>
            <w:vAlign w:val="bottom"/>
            <w:tcBorders>
              <w:bottom w:val="single" w:sz="8" w:color="342C82"/>
            </w:tcBorders>
          </w:tcPr>
          <w:p>
            <w:pPr>
              <w:spacing w:after="0"/>
              <w:rPr>
                <w:sz w:val="4"/>
                <w:szCs w:val="4"/>
                <w:color w:val="auto"/>
              </w:rPr>
            </w:pPr>
          </w:p>
        </w:tc>
        <w:tc>
          <w:tcPr>
            <w:tcW w:w="1880" w:type="dxa"/>
            <w:vAlign w:val="bottom"/>
            <w:tcBorders>
              <w:bottom w:val="single" w:sz="8" w:color="342C82"/>
            </w:tcBorders>
          </w:tcPr>
          <w:p>
            <w:pPr>
              <w:spacing w:after="0"/>
              <w:rPr>
                <w:sz w:val="4"/>
                <w:szCs w:val="4"/>
                <w:color w:val="auto"/>
              </w:rPr>
            </w:pPr>
          </w:p>
        </w:tc>
        <w:tc>
          <w:tcPr>
            <w:tcW w:w="80" w:type="dxa"/>
            <w:vAlign w:val="bottom"/>
            <w:tcBorders>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80" w:type="dxa"/>
            <w:vAlign w:val="bottom"/>
            <w:tcBorders>
              <w:top w:val="single" w:sz="8" w:color="0000EE"/>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r>
      <w:tr>
        <w:trPr>
          <w:trHeight w:val="183"/>
        </w:trPr>
        <w:tc>
          <w:tcPr>
            <w:tcW w:w="40" w:type="dxa"/>
            <w:vAlign w:val="bottom"/>
          </w:tcPr>
          <w:p>
            <w:pPr>
              <w:spacing w:after="0"/>
              <w:rPr>
                <w:sz w:val="15"/>
                <w:szCs w:val="15"/>
                <w:color w:val="auto"/>
              </w:rPr>
            </w:pPr>
          </w:p>
        </w:tc>
        <w:tc>
          <w:tcPr>
            <w:tcW w:w="6200" w:type="dxa"/>
            <w:vAlign w:val="bottom"/>
            <w:gridSpan w:val="35"/>
          </w:tcPr>
          <w:p>
            <w:pPr>
              <w:ind w:left="240"/>
              <w:spacing w:after="0" w:line="183" w:lineRule="exact"/>
              <w:rPr>
                <w:sz w:val="20"/>
                <w:szCs w:val="20"/>
                <w:color w:val="auto"/>
              </w:rPr>
            </w:pPr>
            <w:r>
              <w:rPr>
                <w:rFonts w:ascii="Arial" w:cs="Arial" w:eastAsia="Arial" w:hAnsi="Arial"/>
                <w:sz w:val="16"/>
                <w:szCs w:val="16"/>
                <w:color w:val="0000EE"/>
              </w:rPr>
              <w:t>CEO Pay Ratio</w:t>
            </w:r>
          </w:p>
        </w:tc>
        <w:tc>
          <w:tcPr>
            <w:tcW w:w="2180" w:type="dxa"/>
            <w:vAlign w:val="bottom"/>
            <w:gridSpan w:val="7"/>
          </w:tcPr>
          <w:p>
            <w:pPr>
              <w:jc w:val="right"/>
              <w:ind w:right="40"/>
              <w:spacing w:after="0" w:line="183" w:lineRule="exact"/>
              <w:rPr>
                <w:sz w:val="20"/>
                <w:szCs w:val="20"/>
                <w:color w:val="auto"/>
              </w:rPr>
            </w:pPr>
            <w:r>
              <w:rPr>
                <w:rFonts w:ascii="Arial" w:cs="Arial" w:eastAsia="Arial" w:hAnsi="Arial"/>
                <w:sz w:val="16"/>
                <w:szCs w:val="16"/>
                <w:color w:val="0000EE"/>
              </w:rPr>
              <w:t>59</w:t>
            </w:r>
          </w:p>
        </w:tc>
      </w:tr>
      <w:tr>
        <w:trPr>
          <w:trHeight w:val="48"/>
        </w:trPr>
        <w:tc>
          <w:tcPr>
            <w:tcW w:w="40" w:type="dxa"/>
            <w:vAlign w:val="bottom"/>
            <w:tcBorders>
              <w:bottom w:val="single" w:sz="8" w:color="342C82"/>
            </w:tcBorders>
          </w:tcPr>
          <w:p>
            <w:pPr>
              <w:spacing w:after="0"/>
              <w:rPr>
                <w:sz w:val="4"/>
                <w:szCs w:val="4"/>
                <w:color w:val="auto"/>
              </w:rPr>
            </w:pPr>
          </w:p>
        </w:tc>
        <w:tc>
          <w:tcPr>
            <w:tcW w:w="240" w:type="dxa"/>
            <w:vAlign w:val="bottom"/>
            <w:tcBorders>
              <w:bottom w:val="single" w:sz="8" w:color="342C82"/>
            </w:tcBorders>
          </w:tcPr>
          <w:p>
            <w:pPr>
              <w:spacing w:after="0"/>
              <w:rPr>
                <w:sz w:val="4"/>
                <w:szCs w:val="4"/>
                <w:color w:val="auto"/>
              </w:rPr>
            </w:pPr>
          </w:p>
        </w:tc>
        <w:tc>
          <w:tcPr>
            <w:tcW w:w="980" w:type="dxa"/>
            <w:vAlign w:val="bottom"/>
            <w:tcBorders>
              <w:top w:val="single" w:sz="8" w:color="0000EE"/>
              <w:bottom w:val="single" w:sz="8" w:color="342C82"/>
            </w:tcBorders>
          </w:tcPr>
          <w:p>
            <w:pPr>
              <w:spacing w:after="0"/>
              <w:rPr>
                <w:sz w:val="4"/>
                <w:szCs w:val="4"/>
                <w:color w:val="auto"/>
              </w:rPr>
            </w:pPr>
          </w:p>
        </w:tc>
        <w:tc>
          <w:tcPr>
            <w:tcW w:w="100" w:type="dxa"/>
            <w:vAlign w:val="bottom"/>
            <w:tcBorders>
              <w:top w:val="single" w:sz="8" w:color="0000EE"/>
              <w:bottom w:val="single" w:sz="8" w:color="342C82"/>
            </w:tcBorders>
          </w:tcPr>
          <w:p>
            <w:pPr>
              <w:spacing w:after="0"/>
              <w:rPr>
                <w:sz w:val="4"/>
                <w:szCs w:val="4"/>
                <w:color w:val="auto"/>
              </w:rPr>
            </w:pPr>
          </w:p>
        </w:tc>
        <w:tc>
          <w:tcPr>
            <w:tcW w:w="10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320" w:type="dxa"/>
            <w:vAlign w:val="bottom"/>
            <w:tcBorders>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160" w:type="dxa"/>
            <w:vAlign w:val="bottom"/>
            <w:tcBorders>
              <w:bottom w:val="single" w:sz="8" w:color="342C82"/>
            </w:tcBorders>
          </w:tcPr>
          <w:p>
            <w:pPr>
              <w:spacing w:after="0"/>
              <w:rPr>
                <w:sz w:val="4"/>
                <w:szCs w:val="4"/>
                <w:color w:val="auto"/>
              </w:rPr>
            </w:pPr>
          </w:p>
        </w:tc>
        <w:tc>
          <w:tcPr>
            <w:tcW w:w="2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80" w:type="dxa"/>
            <w:vAlign w:val="bottom"/>
            <w:tcBorders>
              <w:bottom w:val="single" w:sz="8" w:color="342C82"/>
            </w:tcBorders>
          </w:tcPr>
          <w:p>
            <w:pPr>
              <w:spacing w:after="0"/>
              <w:rPr>
                <w:sz w:val="4"/>
                <w:szCs w:val="4"/>
                <w:color w:val="auto"/>
              </w:rPr>
            </w:pPr>
          </w:p>
        </w:tc>
        <w:tc>
          <w:tcPr>
            <w:tcW w:w="16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28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2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18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380" w:type="dxa"/>
            <w:vAlign w:val="bottom"/>
            <w:tcBorders>
              <w:bottom w:val="single" w:sz="8" w:color="342C82"/>
            </w:tcBorders>
          </w:tcPr>
          <w:p>
            <w:pPr>
              <w:spacing w:after="0"/>
              <w:rPr>
                <w:sz w:val="4"/>
                <w:szCs w:val="4"/>
                <w:color w:val="auto"/>
              </w:rPr>
            </w:pPr>
          </w:p>
        </w:tc>
        <w:tc>
          <w:tcPr>
            <w:tcW w:w="340" w:type="dxa"/>
            <w:vAlign w:val="bottom"/>
            <w:tcBorders>
              <w:bottom w:val="single" w:sz="8" w:color="342C82"/>
            </w:tcBorders>
          </w:tcPr>
          <w:p>
            <w:pPr>
              <w:spacing w:after="0"/>
              <w:rPr>
                <w:sz w:val="4"/>
                <w:szCs w:val="4"/>
                <w:color w:val="auto"/>
              </w:rPr>
            </w:pPr>
          </w:p>
        </w:tc>
        <w:tc>
          <w:tcPr>
            <w:tcW w:w="108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560" w:type="dxa"/>
            <w:vAlign w:val="bottom"/>
            <w:tcBorders>
              <w:bottom w:val="single" w:sz="8" w:color="342C82"/>
            </w:tcBorders>
          </w:tcPr>
          <w:p>
            <w:pPr>
              <w:spacing w:after="0"/>
              <w:rPr>
                <w:sz w:val="4"/>
                <w:szCs w:val="4"/>
                <w:color w:val="auto"/>
              </w:rPr>
            </w:pPr>
          </w:p>
        </w:tc>
        <w:tc>
          <w:tcPr>
            <w:tcW w:w="180" w:type="dxa"/>
            <w:vAlign w:val="bottom"/>
            <w:tcBorders>
              <w:bottom w:val="single" w:sz="8" w:color="342C82"/>
            </w:tcBorders>
          </w:tcPr>
          <w:p>
            <w:pPr>
              <w:spacing w:after="0"/>
              <w:rPr>
                <w:sz w:val="4"/>
                <w:szCs w:val="4"/>
                <w:color w:val="auto"/>
              </w:rPr>
            </w:pPr>
          </w:p>
        </w:tc>
        <w:tc>
          <w:tcPr>
            <w:tcW w:w="1880" w:type="dxa"/>
            <w:vAlign w:val="bottom"/>
            <w:tcBorders>
              <w:bottom w:val="single" w:sz="8" w:color="342C82"/>
            </w:tcBorders>
          </w:tcPr>
          <w:p>
            <w:pPr>
              <w:spacing w:after="0"/>
              <w:rPr>
                <w:sz w:val="4"/>
                <w:szCs w:val="4"/>
                <w:color w:val="auto"/>
              </w:rPr>
            </w:pPr>
          </w:p>
        </w:tc>
        <w:tc>
          <w:tcPr>
            <w:tcW w:w="80" w:type="dxa"/>
            <w:vAlign w:val="bottom"/>
            <w:tcBorders>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80" w:type="dxa"/>
            <w:vAlign w:val="bottom"/>
            <w:tcBorders>
              <w:top w:val="single" w:sz="8" w:color="0000EE"/>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r>
      <w:tr>
        <w:trPr>
          <w:trHeight w:val="183"/>
        </w:trPr>
        <w:tc>
          <w:tcPr>
            <w:tcW w:w="40" w:type="dxa"/>
            <w:vAlign w:val="bottom"/>
          </w:tcPr>
          <w:p>
            <w:pPr>
              <w:spacing w:after="0"/>
              <w:rPr>
                <w:sz w:val="15"/>
                <w:szCs w:val="15"/>
                <w:color w:val="auto"/>
              </w:rPr>
            </w:pPr>
          </w:p>
        </w:tc>
        <w:tc>
          <w:tcPr>
            <w:tcW w:w="6200" w:type="dxa"/>
            <w:vAlign w:val="bottom"/>
            <w:gridSpan w:val="35"/>
          </w:tcPr>
          <w:p>
            <w:pPr>
              <w:ind w:left="240"/>
              <w:spacing w:after="0" w:line="183" w:lineRule="exact"/>
              <w:rPr>
                <w:sz w:val="20"/>
                <w:szCs w:val="20"/>
                <w:color w:val="auto"/>
              </w:rPr>
            </w:pPr>
            <w:r>
              <w:rPr>
                <w:rFonts w:ascii="Arial" w:cs="Arial" w:eastAsia="Arial" w:hAnsi="Arial"/>
                <w:sz w:val="16"/>
                <w:szCs w:val="16"/>
                <w:color w:val="0000EE"/>
              </w:rPr>
              <w:t>Pay Versus Performance</w:t>
            </w:r>
          </w:p>
        </w:tc>
        <w:tc>
          <w:tcPr>
            <w:tcW w:w="2180" w:type="dxa"/>
            <w:vAlign w:val="bottom"/>
            <w:gridSpan w:val="7"/>
          </w:tcPr>
          <w:p>
            <w:pPr>
              <w:jc w:val="right"/>
              <w:ind w:right="40"/>
              <w:spacing w:after="0" w:line="183" w:lineRule="exact"/>
              <w:rPr>
                <w:sz w:val="20"/>
                <w:szCs w:val="20"/>
                <w:color w:val="auto"/>
              </w:rPr>
            </w:pPr>
            <w:r>
              <w:rPr>
                <w:rFonts w:ascii="Arial" w:cs="Arial" w:eastAsia="Arial" w:hAnsi="Arial"/>
                <w:sz w:val="16"/>
                <w:szCs w:val="16"/>
                <w:color w:val="0000EE"/>
              </w:rPr>
              <w:t>60</w:t>
            </w:r>
          </w:p>
        </w:tc>
      </w:tr>
      <w:tr>
        <w:trPr>
          <w:trHeight w:val="48"/>
        </w:trPr>
        <w:tc>
          <w:tcPr>
            <w:tcW w:w="40" w:type="dxa"/>
            <w:vAlign w:val="bottom"/>
            <w:tcBorders>
              <w:bottom w:val="single" w:sz="8" w:color="342C82"/>
            </w:tcBorders>
          </w:tcPr>
          <w:p>
            <w:pPr>
              <w:spacing w:after="0"/>
              <w:rPr>
                <w:sz w:val="4"/>
                <w:szCs w:val="4"/>
                <w:color w:val="auto"/>
              </w:rPr>
            </w:pPr>
          </w:p>
        </w:tc>
        <w:tc>
          <w:tcPr>
            <w:tcW w:w="240" w:type="dxa"/>
            <w:vAlign w:val="bottom"/>
            <w:tcBorders>
              <w:bottom w:val="single" w:sz="8" w:color="342C82"/>
            </w:tcBorders>
          </w:tcPr>
          <w:p>
            <w:pPr>
              <w:spacing w:after="0"/>
              <w:rPr>
                <w:sz w:val="4"/>
                <w:szCs w:val="4"/>
                <w:color w:val="auto"/>
              </w:rPr>
            </w:pPr>
          </w:p>
        </w:tc>
        <w:tc>
          <w:tcPr>
            <w:tcW w:w="980" w:type="dxa"/>
            <w:vAlign w:val="bottom"/>
            <w:tcBorders>
              <w:top w:val="single" w:sz="8" w:color="0000EE"/>
              <w:bottom w:val="single" w:sz="8" w:color="342C82"/>
            </w:tcBorders>
          </w:tcPr>
          <w:p>
            <w:pPr>
              <w:spacing w:after="0"/>
              <w:rPr>
                <w:sz w:val="4"/>
                <w:szCs w:val="4"/>
                <w:color w:val="auto"/>
              </w:rPr>
            </w:pPr>
          </w:p>
        </w:tc>
        <w:tc>
          <w:tcPr>
            <w:tcW w:w="100" w:type="dxa"/>
            <w:vAlign w:val="bottom"/>
            <w:tcBorders>
              <w:top w:val="single" w:sz="8" w:color="0000EE"/>
              <w:bottom w:val="single" w:sz="8" w:color="342C82"/>
            </w:tcBorders>
          </w:tcPr>
          <w:p>
            <w:pPr>
              <w:spacing w:after="0"/>
              <w:rPr>
                <w:sz w:val="4"/>
                <w:szCs w:val="4"/>
                <w:color w:val="auto"/>
              </w:rPr>
            </w:pPr>
          </w:p>
        </w:tc>
        <w:tc>
          <w:tcPr>
            <w:tcW w:w="10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320" w:type="dxa"/>
            <w:vAlign w:val="bottom"/>
            <w:tcBorders>
              <w:top w:val="single" w:sz="8" w:color="0000EE"/>
              <w:bottom w:val="single" w:sz="8" w:color="342C82"/>
            </w:tcBorders>
          </w:tcPr>
          <w:p>
            <w:pPr>
              <w:spacing w:after="0"/>
              <w:rPr>
                <w:sz w:val="4"/>
                <w:szCs w:val="4"/>
                <w:color w:val="auto"/>
              </w:rPr>
            </w:pPr>
          </w:p>
        </w:tc>
        <w:tc>
          <w:tcPr>
            <w:tcW w:w="4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160" w:type="dxa"/>
            <w:vAlign w:val="bottom"/>
            <w:tcBorders>
              <w:top w:val="single" w:sz="8" w:color="0000EE"/>
              <w:bottom w:val="single" w:sz="8" w:color="342C82"/>
            </w:tcBorders>
          </w:tcPr>
          <w:p>
            <w:pPr>
              <w:spacing w:after="0"/>
              <w:rPr>
                <w:sz w:val="4"/>
                <w:szCs w:val="4"/>
                <w:color w:val="auto"/>
              </w:rPr>
            </w:pPr>
          </w:p>
        </w:tc>
        <w:tc>
          <w:tcPr>
            <w:tcW w:w="2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80" w:type="dxa"/>
            <w:vAlign w:val="bottom"/>
            <w:tcBorders>
              <w:bottom w:val="single" w:sz="8" w:color="342C82"/>
            </w:tcBorders>
          </w:tcPr>
          <w:p>
            <w:pPr>
              <w:spacing w:after="0"/>
              <w:rPr>
                <w:sz w:val="4"/>
                <w:szCs w:val="4"/>
                <w:color w:val="auto"/>
              </w:rPr>
            </w:pPr>
          </w:p>
        </w:tc>
        <w:tc>
          <w:tcPr>
            <w:tcW w:w="16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28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2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18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380" w:type="dxa"/>
            <w:vAlign w:val="bottom"/>
            <w:tcBorders>
              <w:bottom w:val="single" w:sz="8" w:color="342C82"/>
            </w:tcBorders>
          </w:tcPr>
          <w:p>
            <w:pPr>
              <w:spacing w:after="0"/>
              <w:rPr>
                <w:sz w:val="4"/>
                <w:szCs w:val="4"/>
                <w:color w:val="auto"/>
              </w:rPr>
            </w:pPr>
          </w:p>
        </w:tc>
        <w:tc>
          <w:tcPr>
            <w:tcW w:w="340" w:type="dxa"/>
            <w:vAlign w:val="bottom"/>
            <w:tcBorders>
              <w:bottom w:val="single" w:sz="8" w:color="342C82"/>
            </w:tcBorders>
          </w:tcPr>
          <w:p>
            <w:pPr>
              <w:spacing w:after="0"/>
              <w:rPr>
                <w:sz w:val="4"/>
                <w:szCs w:val="4"/>
                <w:color w:val="auto"/>
              </w:rPr>
            </w:pPr>
          </w:p>
        </w:tc>
        <w:tc>
          <w:tcPr>
            <w:tcW w:w="108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560" w:type="dxa"/>
            <w:vAlign w:val="bottom"/>
            <w:tcBorders>
              <w:bottom w:val="single" w:sz="8" w:color="342C82"/>
            </w:tcBorders>
          </w:tcPr>
          <w:p>
            <w:pPr>
              <w:spacing w:after="0"/>
              <w:rPr>
                <w:sz w:val="4"/>
                <w:szCs w:val="4"/>
                <w:color w:val="auto"/>
              </w:rPr>
            </w:pPr>
          </w:p>
        </w:tc>
        <w:tc>
          <w:tcPr>
            <w:tcW w:w="180" w:type="dxa"/>
            <w:vAlign w:val="bottom"/>
            <w:tcBorders>
              <w:bottom w:val="single" w:sz="8" w:color="342C82"/>
            </w:tcBorders>
          </w:tcPr>
          <w:p>
            <w:pPr>
              <w:spacing w:after="0"/>
              <w:rPr>
                <w:sz w:val="4"/>
                <w:szCs w:val="4"/>
                <w:color w:val="auto"/>
              </w:rPr>
            </w:pPr>
          </w:p>
        </w:tc>
        <w:tc>
          <w:tcPr>
            <w:tcW w:w="1880" w:type="dxa"/>
            <w:vAlign w:val="bottom"/>
            <w:tcBorders>
              <w:bottom w:val="single" w:sz="8" w:color="342C82"/>
            </w:tcBorders>
          </w:tcPr>
          <w:p>
            <w:pPr>
              <w:spacing w:after="0"/>
              <w:rPr>
                <w:sz w:val="4"/>
                <w:szCs w:val="4"/>
                <w:color w:val="auto"/>
              </w:rPr>
            </w:pPr>
          </w:p>
        </w:tc>
        <w:tc>
          <w:tcPr>
            <w:tcW w:w="80" w:type="dxa"/>
            <w:vAlign w:val="bottom"/>
            <w:tcBorders>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80" w:type="dxa"/>
            <w:vAlign w:val="bottom"/>
            <w:tcBorders>
              <w:top w:val="single" w:sz="8" w:color="0000EE"/>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r>
      <w:tr>
        <w:trPr>
          <w:trHeight w:val="183"/>
        </w:trPr>
        <w:tc>
          <w:tcPr>
            <w:tcW w:w="40" w:type="dxa"/>
            <w:vAlign w:val="bottom"/>
          </w:tcPr>
          <w:p>
            <w:pPr>
              <w:spacing w:after="0"/>
              <w:rPr>
                <w:sz w:val="15"/>
                <w:szCs w:val="15"/>
                <w:color w:val="auto"/>
              </w:rPr>
            </w:pPr>
          </w:p>
        </w:tc>
        <w:tc>
          <w:tcPr>
            <w:tcW w:w="6200" w:type="dxa"/>
            <w:vAlign w:val="bottom"/>
            <w:gridSpan w:val="35"/>
          </w:tcPr>
          <w:p>
            <w:pPr>
              <w:ind w:left="240"/>
              <w:spacing w:after="0" w:line="183" w:lineRule="exact"/>
              <w:rPr>
                <w:sz w:val="20"/>
                <w:szCs w:val="20"/>
                <w:color w:val="auto"/>
              </w:rPr>
            </w:pPr>
            <w:r>
              <w:rPr>
                <w:rFonts w:ascii="Arial" w:cs="Arial" w:eastAsia="Arial" w:hAnsi="Arial"/>
                <w:sz w:val="16"/>
                <w:szCs w:val="16"/>
                <w:color w:val="0000EE"/>
              </w:rPr>
              <w:t>Ownership of Embecta common stock</w:t>
            </w:r>
          </w:p>
        </w:tc>
        <w:tc>
          <w:tcPr>
            <w:tcW w:w="2180" w:type="dxa"/>
            <w:vAlign w:val="bottom"/>
            <w:gridSpan w:val="7"/>
          </w:tcPr>
          <w:p>
            <w:pPr>
              <w:jc w:val="right"/>
              <w:ind w:right="40"/>
              <w:spacing w:after="0" w:line="183" w:lineRule="exact"/>
              <w:rPr>
                <w:sz w:val="20"/>
                <w:szCs w:val="20"/>
                <w:color w:val="auto"/>
              </w:rPr>
            </w:pPr>
            <w:r>
              <w:rPr>
                <w:rFonts w:ascii="Arial" w:cs="Arial" w:eastAsia="Arial" w:hAnsi="Arial"/>
                <w:sz w:val="16"/>
                <w:szCs w:val="16"/>
                <w:color w:val="0000EE"/>
              </w:rPr>
              <w:t>65</w:t>
            </w:r>
          </w:p>
        </w:tc>
      </w:tr>
      <w:tr>
        <w:trPr>
          <w:trHeight w:val="48"/>
        </w:trPr>
        <w:tc>
          <w:tcPr>
            <w:tcW w:w="40" w:type="dxa"/>
            <w:vAlign w:val="bottom"/>
            <w:tcBorders>
              <w:bottom w:val="single" w:sz="8" w:color="342C82"/>
            </w:tcBorders>
          </w:tcPr>
          <w:p>
            <w:pPr>
              <w:spacing w:after="0"/>
              <w:rPr>
                <w:sz w:val="4"/>
                <w:szCs w:val="4"/>
                <w:color w:val="auto"/>
              </w:rPr>
            </w:pPr>
          </w:p>
        </w:tc>
        <w:tc>
          <w:tcPr>
            <w:tcW w:w="240" w:type="dxa"/>
            <w:vAlign w:val="bottom"/>
            <w:tcBorders>
              <w:bottom w:val="single" w:sz="8" w:color="342C82"/>
            </w:tcBorders>
          </w:tcPr>
          <w:p>
            <w:pPr>
              <w:spacing w:after="0"/>
              <w:rPr>
                <w:sz w:val="4"/>
                <w:szCs w:val="4"/>
                <w:color w:val="auto"/>
              </w:rPr>
            </w:pPr>
          </w:p>
        </w:tc>
        <w:tc>
          <w:tcPr>
            <w:tcW w:w="980" w:type="dxa"/>
            <w:vAlign w:val="bottom"/>
            <w:tcBorders>
              <w:top w:val="single" w:sz="8" w:color="0000EE"/>
              <w:bottom w:val="single" w:sz="8" w:color="342C82"/>
            </w:tcBorders>
          </w:tcPr>
          <w:p>
            <w:pPr>
              <w:spacing w:after="0"/>
              <w:rPr>
                <w:sz w:val="4"/>
                <w:szCs w:val="4"/>
                <w:color w:val="auto"/>
              </w:rPr>
            </w:pPr>
          </w:p>
        </w:tc>
        <w:tc>
          <w:tcPr>
            <w:tcW w:w="100" w:type="dxa"/>
            <w:vAlign w:val="bottom"/>
            <w:tcBorders>
              <w:top w:val="single" w:sz="8" w:color="0000EE"/>
              <w:bottom w:val="single" w:sz="8" w:color="342C82"/>
            </w:tcBorders>
          </w:tcPr>
          <w:p>
            <w:pPr>
              <w:spacing w:after="0"/>
              <w:rPr>
                <w:sz w:val="4"/>
                <w:szCs w:val="4"/>
                <w:color w:val="auto"/>
              </w:rPr>
            </w:pPr>
          </w:p>
        </w:tc>
        <w:tc>
          <w:tcPr>
            <w:tcW w:w="10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320" w:type="dxa"/>
            <w:vAlign w:val="bottom"/>
            <w:tcBorders>
              <w:top w:val="single" w:sz="8" w:color="0000EE"/>
              <w:bottom w:val="single" w:sz="8" w:color="342C82"/>
            </w:tcBorders>
          </w:tcPr>
          <w:p>
            <w:pPr>
              <w:spacing w:after="0"/>
              <w:rPr>
                <w:sz w:val="4"/>
                <w:szCs w:val="4"/>
                <w:color w:val="auto"/>
              </w:rPr>
            </w:pPr>
          </w:p>
        </w:tc>
        <w:tc>
          <w:tcPr>
            <w:tcW w:w="4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160" w:type="dxa"/>
            <w:vAlign w:val="bottom"/>
            <w:tcBorders>
              <w:top w:val="single" w:sz="8" w:color="0000EE"/>
              <w:bottom w:val="single" w:sz="8" w:color="342C82"/>
            </w:tcBorders>
          </w:tcPr>
          <w:p>
            <w:pPr>
              <w:spacing w:after="0"/>
              <w:rPr>
                <w:sz w:val="4"/>
                <w:szCs w:val="4"/>
                <w:color w:val="auto"/>
              </w:rPr>
            </w:pPr>
          </w:p>
        </w:tc>
        <w:tc>
          <w:tcPr>
            <w:tcW w:w="2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80" w:type="dxa"/>
            <w:vAlign w:val="bottom"/>
            <w:tcBorders>
              <w:top w:val="single" w:sz="8" w:color="0000EE"/>
              <w:bottom w:val="single" w:sz="8" w:color="342C82"/>
            </w:tcBorders>
          </w:tcPr>
          <w:p>
            <w:pPr>
              <w:spacing w:after="0"/>
              <w:rPr>
                <w:sz w:val="4"/>
                <w:szCs w:val="4"/>
                <w:color w:val="auto"/>
              </w:rPr>
            </w:pPr>
          </w:p>
        </w:tc>
        <w:tc>
          <w:tcPr>
            <w:tcW w:w="160" w:type="dxa"/>
            <w:vAlign w:val="bottom"/>
            <w:tcBorders>
              <w:top w:val="single" w:sz="8" w:color="0000EE"/>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280" w:type="dxa"/>
            <w:vAlign w:val="bottom"/>
            <w:tcBorders>
              <w:top w:val="single" w:sz="8" w:color="0000EE"/>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40" w:type="dxa"/>
            <w:vAlign w:val="bottom"/>
            <w:tcBorders>
              <w:top w:val="single" w:sz="8" w:color="0000EE"/>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2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18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380" w:type="dxa"/>
            <w:vAlign w:val="bottom"/>
            <w:tcBorders>
              <w:bottom w:val="single" w:sz="8" w:color="342C82"/>
            </w:tcBorders>
          </w:tcPr>
          <w:p>
            <w:pPr>
              <w:spacing w:after="0"/>
              <w:rPr>
                <w:sz w:val="4"/>
                <w:szCs w:val="4"/>
                <w:color w:val="auto"/>
              </w:rPr>
            </w:pPr>
          </w:p>
        </w:tc>
        <w:tc>
          <w:tcPr>
            <w:tcW w:w="340" w:type="dxa"/>
            <w:vAlign w:val="bottom"/>
            <w:tcBorders>
              <w:bottom w:val="single" w:sz="8" w:color="342C82"/>
            </w:tcBorders>
          </w:tcPr>
          <w:p>
            <w:pPr>
              <w:spacing w:after="0"/>
              <w:rPr>
                <w:sz w:val="4"/>
                <w:szCs w:val="4"/>
                <w:color w:val="auto"/>
              </w:rPr>
            </w:pPr>
          </w:p>
        </w:tc>
        <w:tc>
          <w:tcPr>
            <w:tcW w:w="108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560" w:type="dxa"/>
            <w:vAlign w:val="bottom"/>
            <w:tcBorders>
              <w:bottom w:val="single" w:sz="8" w:color="342C82"/>
            </w:tcBorders>
          </w:tcPr>
          <w:p>
            <w:pPr>
              <w:spacing w:after="0"/>
              <w:rPr>
                <w:sz w:val="4"/>
                <w:szCs w:val="4"/>
                <w:color w:val="auto"/>
              </w:rPr>
            </w:pPr>
          </w:p>
        </w:tc>
        <w:tc>
          <w:tcPr>
            <w:tcW w:w="180" w:type="dxa"/>
            <w:vAlign w:val="bottom"/>
            <w:tcBorders>
              <w:bottom w:val="single" w:sz="8" w:color="342C82"/>
            </w:tcBorders>
          </w:tcPr>
          <w:p>
            <w:pPr>
              <w:spacing w:after="0"/>
              <w:rPr>
                <w:sz w:val="4"/>
                <w:szCs w:val="4"/>
                <w:color w:val="auto"/>
              </w:rPr>
            </w:pPr>
          </w:p>
        </w:tc>
        <w:tc>
          <w:tcPr>
            <w:tcW w:w="1880" w:type="dxa"/>
            <w:vAlign w:val="bottom"/>
            <w:tcBorders>
              <w:bottom w:val="single" w:sz="8" w:color="342C82"/>
            </w:tcBorders>
          </w:tcPr>
          <w:p>
            <w:pPr>
              <w:spacing w:after="0"/>
              <w:rPr>
                <w:sz w:val="4"/>
                <w:szCs w:val="4"/>
                <w:color w:val="auto"/>
              </w:rPr>
            </w:pPr>
          </w:p>
        </w:tc>
        <w:tc>
          <w:tcPr>
            <w:tcW w:w="80" w:type="dxa"/>
            <w:vAlign w:val="bottom"/>
            <w:tcBorders>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80" w:type="dxa"/>
            <w:vAlign w:val="bottom"/>
            <w:tcBorders>
              <w:top w:val="single" w:sz="8" w:color="0000EE"/>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r>
      <w:tr>
        <w:trPr>
          <w:trHeight w:val="183"/>
        </w:trPr>
        <w:tc>
          <w:tcPr>
            <w:tcW w:w="40" w:type="dxa"/>
            <w:vAlign w:val="bottom"/>
          </w:tcPr>
          <w:p>
            <w:pPr>
              <w:spacing w:after="0"/>
              <w:rPr>
                <w:sz w:val="15"/>
                <w:szCs w:val="15"/>
                <w:color w:val="auto"/>
              </w:rPr>
            </w:pPr>
          </w:p>
        </w:tc>
        <w:tc>
          <w:tcPr>
            <w:tcW w:w="6200" w:type="dxa"/>
            <w:vAlign w:val="bottom"/>
            <w:gridSpan w:val="35"/>
          </w:tcPr>
          <w:p>
            <w:pPr>
              <w:spacing w:after="0" w:line="183" w:lineRule="exact"/>
              <w:rPr>
                <w:sz w:val="20"/>
                <w:szCs w:val="20"/>
                <w:color w:val="auto"/>
              </w:rPr>
            </w:pPr>
            <w:r>
              <w:rPr>
                <w:rFonts w:ascii="Arial" w:cs="Arial" w:eastAsia="Arial" w:hAnsi="Arial"/>
                <w:sz w:val="16"/>
                <w:szCs w:val="16"/>
                <w:color w:val="0000EE"/>
              </w:rPr>
              <w:t>General information</w:t>
            </w:r>
          </w:p>
        </w:tc>
        <w:tc>
          <w:tcPr>
            <w:tcW w:w="2180" w:type="dxa"/>
            <w:vAlign w:val="bottom"/>
            <w:gridSpan w:val="7"/>
          </w:tcPr>
          <w:p>
            <w:pPr>
              <w:jc w:val="right"/>
              <w:ind w:right="40"/>
              <w:spacing w:after="0" w:line="183" w:lineRule="exact"/>
              <w:rPr>
                <w:sz w:val="20"/>
                <w:szCs w:val="20"/>
                <w:color w:val="auto"/>
              </w:rPr>
            </w:pPr>
            <w:r>
              <w:rPr>
                <w:rFonts w:ascii="Arial" w:cs="Arial" w:eastAsia="Arial" w:hAnsi="Arial"/>
                <w:sz w:val="16"/>
                <w:szCs w:val="16"/>
                <w:color w:val="0000EE"/>
              </w:rPr>
              <w:t>68</w:t>
            </w:r>
          </w:p>
        </w:tc>
      </w:tr>
      <w:tr>
        <w:trPr>
          <w:trHeight w:val="48"/>
        </w:trPr>
        <w:tc>
          <w:tcPr>
            <w:tcW w:w="40" w:type="dxa"/>
            <w:vAlign w:val="bottom"/>
            <w:tcBorders>
              <w:bottom w:val="single" w:sz="8" w:color="342C82"/>
            </w:tcBorders>
          </w:tcPr>
          <w:p>
            <w:pPr>
              <w:spacing w:after="0"/>
              <w:rPr>
                <w:sz w:val="4"/>
                <w:szCs w:val="4"/>
                <w:color w:val="auto"/>
              </w:rPr>
            </w:pPr>
          </w:p>
        </w:tc>
        <w:tc>
          <w:tcPr>
            <w:tcW w:w="240" w:type="dxa"/>
            <w:vAlign w:val="bottom"/>
            <w:tcBorders>
              <w:top w:val="single" w:sz="8" w:color="0000EE"/>
              <w:bottom w:val="single" w:sz="8" w:color="342C82"/>
            </w:tcBorders>
          </w:tcPr>
          <w:p>
            <w:pPr>
              <w:spacing w:after="0"/>
              <w:rPr>
                <w:sz w:val="4"/>
                <w:szCs w:val="4"/>
                <w:color w:val="auto"/>
              </w:rPr>
            </w:pPr>
          </w:p>
        </w:tc>
        <w:tc>
          <w:tcPr>
            <w:tcW w:w="980" w:type="dxa"/>
            <w:vAlign w:val="bottom"/>
            <w:tcBorders>
              <w:top w:val="single" w:sz="8" w:color="0000EE"/>
              <w:bottom w:val="single" w:sz="8" w:color="342C82"/>
            </w:tcBorders>
          </w:tcPr>
          <w:p>
            <w:pPr>
              <w:spacing w:after="0"/>
              <w:rPr>
                <w:sz w:val="4"/>
                <w:szCs w:val="4"/>
                <w:color w:val="auto"/>
              </w:rPr>
            </w:pPr>
          </w:p>
        </w:tc>
        <w:tc>
          <w:tcPr>
            <w:tcW w:w="100" w:type="dxa"/>
            <w:vAlign w:val="bottom"/>
            <w:tcBorders>
              <w:top w:val="single" w:sz="8" w:color="0000EE"/>
              <w:bottom w:val="single" w:sz="8" w:color="342C82"/>
            </w:tcBorders>
          </w:tcPr>
          <w:p>
            <w:pPr>
              <w:spacing w:after="0"/>
              <w:rPr>
                <w:sz w:val="4"/>
                <w:szCs w:val="4"/>
                <w:color w:val="auto"/>
              </w:rPr>
            </w:pPr>
          </w:p>
        </w:tc>
        <w:tc>
          <w:tcPr>
            <w:tcW w:w="100" w:type="dxa"/>
            <w:vAlign w:val="bottom"/>
            <w:tcBorders>
              <w:top w:val="single" w:sz="8" w:color="0000EE"/>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320" w:type="dxa"/>
            <w:vAlign w:val="bottom"/>
            <w:tcBorders>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160" w:type="dxa"/>
            <w:vAlign w:val="bottom"/>
            <w:tcBorders>
              <w:bottom w:val="single" w:sz="8" w:color="342C82"/>
            </w:tcBorders>
          </w:tcPr>
          <w:p>
            <w:pPr>
              <w:spacing w:after="0"/>
              <w:rPr>
                <w:sz w:val="4"/>
                <w:szCs w:val="4"/>
                <w:color w:val="auto"/>
              </w:rPr>
            </w:pPr>
          </w:p>
        </w:tc>
        <w:tc>
          <w:tcPr>
            <w:tcW w:w="2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80" w:type="dxa"/>
            <w:vAlign w:val="bottom"/>
            <w:tcBorders>
              <w:bottom w:val="single" w:sz="8" w:color="342C82"/>
            </w:tcBorders>
          </w:tcPr>
          <w:p>
            <w:pPr>
              <w:spacing w:after="0"/>
              <w:rPr>
                <w:sz w:val="4"/>
                <w:szCs w:val="4"/>
                <w:color w:val="auto"/>
              </w:rPr>
            </w:pPr>
          </w:p>
        </w:tc>
        <w:tc>
          <w:tcPr>
            <w:tcW w:w="16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28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2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18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380" w:type="dxa"/>
            <w:vAlign w:val="bottom"/>
            <w:tcBorders>
              <w:bottom w:val="single" w:sz="8" w:color="342C82"/>
            </w:tcBorders>
          </w:tcPr>
          <w:p>
            <w:pPr>
              <w:spacing w:after="0"/>
              <w:rPr>
                <w:sz w:val="4"/>
                <w:szCs w:val="4"/>
                <w:color w:val="auto"/>
              </w:rPr>
            </w:pPr>
          </w:p>
        </w:tc>
        <w:tc>
          <w:tcPr>
            <w:tcW w:w="340" w:type="dxa"/>
            <w:vAlign w:val="bottom"/>
            <w:tcBorders>
              <w:bottom w:val="single" w:sz="8" w:color="342C82"/>
            </w:tcBorders>
          </w:tcPr>
          <w:p>
            <w:pPr>
              <w:spacing w:after="0"/>
              <w:rPr>
                <w:sz w:val="4"/>
                <w:szCs w:val="4"/>
                <w:color w:val="auto"/>
              </w:rPr>
            </w:pPr>
          </w:p>
        </w:tc>
        <w:tc>
          <w:tcPr>
            <w:tcW w:w="108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560" w:type="dxa"/>
            <w:vAlign w:val="bottom"/>
            <w:tcBorders>
              <w:bottom w:val="single" w:sz="8" w:color="342C82"/>
            </w:tcBorders>
          </w:tcPr>
          <w:p>
            <w:pPr>
              <w:spacing w:after="0"/>
              <w:rPr>
                <w:sz w:val="4"/>
                <w:szCs w:val="4"/>
                <w:color w:val="auto"/>
              </w:rPr>
            </w:pPr>
          </w:p>
        </w:tc>
        <w:tc>
          <w:tcPr>
            <w:tcW w:w="180" w:type="dxa"/>
            <w:vAlign w:val="bottom"/>
            <w:tcBorders>
              <w:bottom w:val="single" w:sz="8" w:color="342C82"/>
            </w:tcBorders>
          </w:tcPr>
          <w:p>
            <w:pPr>
              <w:spacing w:after="0"/>
              <w:rPr>
                <w:sz w:val="4"/>
                <w:szCs w:val="4"/>
                <w:color w:val="auto"/>
              </w:rPr>
            </w:pPr>
          </w:p>
        </w:tc>
        <w:tc>
          <w:tcPr>
            <w:tcW w:w="1880" w:type="dxa"/>
            <w:vAlign w:val="bottom"/>
            <w:tcBorders>
              <w:bottom w:val="single" w:sz="8" w:color="342C82"/>
            </w:tcBorders>
          </w:tcPr>
          <w:p>
            <w:pPr>
              <w:spacing w:after="0"/>
              <w:rPr>
                <w:sz w:val="4"/>
                <w:szCs w:val="4"/>
                <w:color w:val="auto"/>
              </w:rPr>
            </w:pPr>
          </w:p>
        </w:tc>
        <w:tc>
          <w:tcPr>
            <w:tcW w:w="80" w:type="dxa"/>
            <w:vAlign w:val="bottom"/>
            <w:tcBorders>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80" w:type="dxa"/>
            <w:vAlign w:val="bottom"/>
            <w:tcBorders>
              <w:top w:val="single" w:sz="8" w:color="0000EE"/>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r>
      <w:tr>
        <w:trPr>
          <w:trHeight w:val="183"/>
        </w:trPr>
        <w:tc>
          <w:tcPr>
            <w:tcW w:w="40" w:type="dxa"/>
            <w:vAlign w:val="bottom"/>
          </w:tcPr>
          <w:p>
            <w:pPr>
              <w:spacing w:after="0"/>
              <w:rPr>
                <w:sz w:val="15"/>
                <w:szCs w:val="15"/>
                <w:color w:val="auto"/>
              </w:rPr>
            </w:pPr>
          </w:p>
        </w:tc>
        <w:tc>
          <w:tcPr>
            <w:tcW w:w="6200" w:type="dxa"/>
            <w:vAlign w:val="bottom"/>
            <w:gridSpan w:val="35"/>
          </w:tcPr>
          <w:p>
            <w:pPr>
              <w:ind w:left="240"/>
              <w:spacing w:after="0" w:line="183" w:lineRule="exact"/>
              <w:rPr>
                <w:sz w:val="20"/>
                <w:szCs w:val="20"/>
                <w:color w:val="auto"/>
              </w:rPr>
            </w:pPr>
            <w:r>
              <w:rPr>
                <w:rFonts w:ascii="Arial" w:cs="Arial" w:eastAsia="Arial" w:hAnsi="Arial"/>
                <w:sz w:val="16"/>
                <w:szCs w:val="16"/>
                <w:color w:val="0000EE"/>
              </w:rPr>
              <w:t>Proxy solicitation</w:t>
            </w:r>
          </w:p>
        </w:tc>
        <w:tc>
          <w:tcPr>
            <w:tcW w:w="2180" w:type="dxa"/>
            <w:vAlign w:val="bottom"/>
            <w:gridSpan w:val="7"/>
          </w:tcPr>
          <w:p>
            <w:pPr>
              <w:jc w:val="right"/>
              <w:ind w:right="40"/>
              <w:spacing w:after="0" w:line="183" w:lineRule="exact"/>
              <w:rPr>
                <w:sz w:val="20"/>
                <w:szCs w:val="20"/>
                <w:color w:val="auto"/>
              </w:rPr>
            </w:pPr>
            <w:r>
              <w:rPr>
                <w:rFonts w:ascii="Arial" w:cs="Arial" w:eastAsia="Arial" w:hAnsi="Arial"/>
                <w:sz w:val="16"/>
                <w:szCs w:val="16"/>
                <w:color w:val="0000EE"/>
              </w:rPr>
              <w:t>68</w:t>
            </w:r>
          </w:p>
        </w:tc>
      </w:tr>
      <w:tr>
        <w:trPr>
          <w:trHeight w:val="48"/>
        </w:trPr>
        <w:tc>
          <w:tcPr>
            <w:tcW w:w="40" w:type="dxa"/>
            <w:vAlign w:val="bottom"/>
            <w:tcBorders>
              <w:bottom w:val="single" w:sz="8" w:color="342C82"/>
            </w:tcBorders>
          </w:tcPr>
          <w:p>
            <w:pPr>
              <w:spacing w:after="0"/>
              <w:rPr>
                <w:sz w:val="4"/>
                <w:szCs w:val="4"/>
                <w:color w:val="auto"/>
              </w:rPr>
            </w:pPr>
          </w:p>
        </w:tc>
        <w:tc>
          <w:tcPr>
            <w:tcW w:w="240" w:type="dxa"/>
            <w:vAlign w:val="bottom"/>
            <w:tcBorders>
              <w:bottom w:val="single" w:sz="8" w:color="342C82"/>
            </w:tcBorders>
          </w:tcPr>
          <w:p>
            <w:pPr>
              <w:spacing w:after="0"/>
              <w:rPr>
                <w:sz w:val="4"/>
                <w:szCs w:val="4"/>
                <w:color w:val="auto"/>
              </w:rPr>
            </w:pPr>
          </w:p>
        </w:tc>
        <w:tc>
          <w:tcPr>
            <w:tcW w:w="980" w:type="dxa"/>
            <w:vAlign w:val="bottom"/>
            <w:tcBorders>
              <w:top w:val="single" w:sz="8" w:color="0000EE"/>
              <w:bottom w:val="single" w:sz="8" w:color="342C82"/>
            </w:tcBorders>
          </w:tcPr>
          <w:p>
            <w:pPr>
              <w:spacing w:after="0"/>
              <w:rPr>
                <w:sz w:val="4"/>
                <w:szCs w:val="4"/>
                <w:color w:val="auto"/>
              </w:rPr>
            </w:pPr>
          </w:p>
        </w:tc>
        <w:tc>
          <w:tcPr>
            <w:tcW w:w="100" w:type="dxa"/>
            <w:vAlign w:val="bottom"/>
            <w:tcBorders>
              <w:top w:val="single" w:sz="8" w:color="0000EE"/>
              <w:bottom w:val="single" w:sz="8" w:color="342C82"/>
            </w:tcBorders>
          </w:tcPr>
          <w:p>
            <w:pPr>
              <w:spacing w:after="0"/>
              <w:rPr>
                <w:sz w:val="4"/>
                <w:szCs w:val="4"/>
                <w:color w:val="auto"/>
              </w:rPr>
            </w:pPr>
          </w:p>
        </w:tc>
        <w:tc>
          <w:tcPr>
            <w:tcW w:w="10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320" w:type="dxa"/>
            <w:vAlign w:val="bottom"/>
            <w:tcBorders>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160" w:type="dxa"/>
            <w:vAlign w:val="bottom"/>
            <w:tcBorders>
              <w:bottom w:val="single" w:sz="8" w:color="342C82"/>
            </w:tcBorders>
          </w:tcPr>
          <w:p>
            <w:pPr>
              <w:spacing w:after="0"/>
              <w:rPr>
                <w:sz w:val="4"/>
                <w:szCs w:val="4"/>
                <w:color w:val="auto"/>
              </w:rPr>
            </w:pPr>
          </w:p>
        </w:tc>
        <w:tc>
          <w:tcPr>
            <w:tcW w:w="2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80" w:type="dxa"/>
            <w:vAlign w:val="bottom"/>
            <w:tcBorders>
              <w:bottom w:val="single" w:sz="8" w:color="342C82"/>
            </w:tcBorders>
          </w:tcPr>
          <w:p>
            <w:pPr>
              <w:spacing w:after="0"/>
              <w:rPr>
                <w:sz w:val="4"/>
                <w:szCs w:val="4"/>
                <w:color w:val="auto"/>
              </w:rPr>
            </w:pPr>
          </w:p>
        </w:tc>
        <w:tc>
          <w:tcPr>
            <w:tcW w:w="16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28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2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18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380" w:type="dxa"/>
            <w:vAlign w:val="bottom"/>
            <w:tcBorders>
              <w:bottom w:val="single" w:sz="8" w:color="342C82"/>
            </w:tcBorders>
          </w:tcPr>
          <w:p>
            <w:pPr>
              <w:spacing w:after="0"/>
              <w:rPr>
                <w:sz w:val="4"/>
                <w:szCs w:val="4"/>
                <w:color w:val="auto"/>
              </w:rPr>
            </w:pPr>
          </w:p>
        </w:tc>
        <w:tc>
          <w:tcPr>
            <w:tcW w:w="340" w:type="dxa"/>
            <w:vAlign w:val="bottom"/>
            <w:tcBorders>
              <w:bottom w:val="single" w:sz="8" w:color="342C82"/>
            </w:tcBorders>
          </w:tcPr>
          <w:p>
            <w:pPr>
              <w:spacing w:after="0"/>
              <w:rPr>
                <w:sz w:val="4"/>
                <w:szCs w:val="4"/>
                <w:color w:val="auto"/>
              </w:rPr>
            </w:pPr>
          </w:p>
        </w:tc>
        <w:tc>
          <w:tcPr>
            <w:tcW w:w="108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560" w:type="dxa"/>
            <w:vAlign w:val="bottom"/>
            <w:tcBorders>
              <w:bottom w:val="single" w:sz="8" w:color="342C82"/>
            </w:tcBorders>
          </w:tcPr>
          <w:p>
            <w:pPr>
              <w:spacing w:after="0"/>
              <w:rPr>
                <w:sz w:val="4"/>
                <w:szCs w:val="4"/>
                <w:color w:val="auto"/>
              </w:rPr>
            </w:pPr>
          </w:p>
        </w:tc>
        <w:tc>
          <w:tcPr>
            <w:tcW w:w="180" w:type="dxa"/>
            <w:vAlign w:val="bottom"/>
            <w:tcBorders>
              <w:bottom w:val="single" w:sz="8" w:color="342C82"/>
            </w:tcBorders>
          </w:tcPr>
          <w:p>
            <w:pPr>
              <w:spacing w:after="0"/>
              <w:rPr>
                <w:sz w:val="4"/>
                <w:szCs w:val="4"/>
                <w:color w:val="auto"/>
              </w:rPr>
            </w:pPr>
          </w:p>
        </w:tc>
        <w:tc>
          <w:tcPr>
            <w:tcW w:w="1880" w:type="dxa"/>
            <w:vAlign w:val="bottom"/>
            <w:tcBorders>
              <w:bottom w:val="single" w:sz="8" w:color="342C82"/>
            </w:tcBorders>
          </w:tcPr>
          <w:p>
            <w:pPr>
              <w:spacing w:after="0"/>
              <w:rPr>
                <w:sz w:val="4"/>
                <w:szCs w:val="4"/>
                <w:color w:val="auto"/>
              </w:rPr>
            </w:pPr>
          </w:p>
        </w:tc>
        <w:tc>
          <w:tcPr>
            <w:tcW w:w="80" w:type="dxa"/>
            <w:vAlign w:val="bottom"/>
            <w:tcBorders>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80" w:type="dxa"/>
            <w:vAlign w:val="bottom"/>
            <w:tcBorders>
              <w:top w:val="single" w:sz="8" w:color="0000EE"/>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r>
      <w:tr>
        <w:trPr>
          <w:trHeight w:val="183"/>
        </w:trPr>
        <w:tc>
          <w:tcPr>
            <w:tcW w:w="40" w:type="dxa"/>
            <w:vAlign w:val="bottom"/>
          </w:tcPr>
          <w:p>
            <w:pPr>
              <w:spacing w:after="0"/>
              <w:rPr>
                <w:sz w:val="15"/>
                <w:szCs w:val="15"/>
                <w:color w:val="auto"/>
              </w:rPr>
            </w:pPr>
          </w:p>
        </w:tc>
        <w:tc>
          <w:tcPr>
            <w:tcW w:w="6200" w:type="dxa"/>
            <w:vAlign w:val="bottom"/>
            <w:gridSpan w:val="35"/>
          </w:tcPr>
          <w:p>
            <w:pPr>
              <w:ind w:left="240"/>
              <w:spacing w:after="0" w:line="183" w:lineRule="exact"/>
              <w:rPr>
                <w:sz w:val="20"/>
                <w:szCs w:val="20"/>
                <w:color w:val="auto"/>
              </w:rPr>
            </w:pPr>
            <w:r>
              <w:rPr>
                <w:rFonts w:ascii="Arial" w:cs="Arial" w:eastAsia="Arial" w:hAnsi="Arial"/>
                <w:sz w:val="16"/>
                <w:szCs w:val="16"/>
                <w:color w:val="0000EE"/>
              </w:rPr>
              <w:t>Stockholders entitled to vote</w:t>
            </w:r>
          </w:p>
        </w:tc>
        <w:tc>
          <w:tcPr>
            <w:tcW w:w="2180" w:type="dxa"/>
            <w:vAlign w:val="bottom"/>
            <w:gridSpan w:val="7"/>
          </w:tcPr>
          <w:p>
            <w:pPr>
              <w:jc w:val="right"/>
              <w:ind w:right="40"/>
              <w:spacing w:after="0" w:line="183" w:lineRule="exact"/>
              <w:rPr>
                <w:sz w:val="20"/>
                <w:szCs w:val="20"/>
                <w:color w:val="auto"/>
              </w:rPr>
            </w:pPr>
            <w:r>
              <w:rPr>
                <w:rFonts w:ascii="Arial" w:cs="Arial" w:eastAsia="Arial" w:hAnsi="Arial"/>
                <w:sz w:val="16"/>
                <w:szCs w:val="16"/>
                <w:color w:val="0000EE"/>
              </w:rPr>
              <w:t>68</w:t>
            </w:r>
          </w:p>
        </w:tc>
      </w:tr>
      <w:tr>
        <w:trPr>
          <w:trHeight w:val="48"/>
        </w:trPr>
        <w:tc>
          <w:tcPr>
            <w:tcW w:w="40" w:type="dxa"/>
            <w:vAlign w:val="bottom"/>
            <w:tcBorders>
              <w:bottom w:val="single" w:sz="8" w:color="342C82"/>
            </w:tcBorders>
          </w:tcPr>
          <w:p>
            <w:pPr>
              <w:spacing w:after="0"/>
              <w:rPr>
                <w:sz w:val="4"/>
                <w:szCs w:val="4"/>
                <w:color w:val="auto"/>
              </w:rPr>
            </w:pPr>
          </w:p>
        </w:tc>
        <w:tc>
          <w:tcPr>
            <w:tcW w:w="240" w:type="dxa"/>
            <w:vAlign w:val="bottom"/>
            <w:tcBorders>
              <w:bottom w:val="single" w:sz="8" w:color="342C82"/>
            </w:tcBorders>
          </w:tcPr>
          <w:p>
            <w:pPr>
              <w:spacing w:after="0"/>
              <w:rPr>
                <w:sz w:val="4"/>
                <w:szCs w:val="4"/>
                <w:color w:val="auto"/>
              </w:rPr>
            </w:pPr>
          </w:p>
        </w:tc>
        <w:tc>
          <w:tcPr>
            <w:tcW w:w="980" w:type="dxa"/>
            <w:vAlign w:val="bottom"/>
            <w:tcBorders>
              <w:top w:val="single" w:sz="8" w:color="0000EE"/>
              <w:bottom w:val="single" w:sz="8" w:color="342C82"/>
            </w:tcBorders>
          </w:tcPr>
          <w:p>
            <w:pPr>
              <w:spacing w:after="0"/>
              <w:rPr>
                <w:sz w:val="4"/>
                <w:szCs w:val="4"/>
                <w:color w:val="auto"/>
              </w:rPr>
            </w:pPr>
          </w:p>
        </w:tc>
        <w:tc>
          <w:tcPr>
            <w:tcW w:w="100" w:type="dxa"/>
            <w:vAlign w:val="bottom"/>
            <w:tcBorders>
              <w:top w:val="single" w:sz="8" w:color="0000EE"/>
              <w:bottom w:val="single" w:sz="8" w:color="342C82"/>
            </w:tcBorders>
          </w:tcPr>
          <w:p>
            <w:pPr>
              <w:spacing w:after="0"/>
              <w:rPr>
                <w:sz w:val="4"/>
                <w:szCs w:val="4"/>
                <w:color w:val="auto"/>
              </w:rPr>
            </w:pPr>
          </w:p>
        </w:tc>
        <w:tc>
          <w:tcPr>
            <w:tcW w:w="10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320" w:type="dxa"/>
            <w:vAlign w:val="bottom"/>
            <w:tcBorders>
              <w:top w:val="single" w:sz="8" w:color="0000EE"/>
              <w:bottom w:val="single" w:sz="8" w:color="342C82"/>
            </w:tcBorders>
          </w:tcPr>
          <w:p>
            <w:pPr>
              <w:spacing w:after="0"/>
              <w:rPr>
                <w:sz w:val="4"/>
                <w:szCs w:val="4"/>
                <w:color w:val="auto"/>
              </w:rPr>
            </w:pPr>
          </w:p>
        </w:tc>
        <w:tc>
          <w:tcPr>
            <w:tcW w:w="4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160" w:type="dxa"/>
            <w:vAlign w:val="bottom"/>
            <w:tcBorders>
              <w:top w:val="single" w:sz="8" w:color="0000EE"/>
              <w:bottom w:val="single" w:sz="8" w:color="342C82"/>
            </w:tcBorders>
          </w:tcPr>
          <w:p>
            <w:pPr>
              <w:spacing w:after="0"/>
              <w:rPr>
                <w:sz w:val="4"/>
                <w:szCs w:val="4"/>
                <w:color w:val="auto"/>
              </w:rPr>
            </w:pPr>
          </w:p>
        </w:tc>
        <w:tc>
          <w:tcPr>
            <w:tcW w:w="2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80" w:type="dxa"/>
            <w:vAlign w:val="bottom"/>
            <w:tcBorders>
              <w:bottom w:val="single" w:sz="8" w:color="342C82"/>
            </w:tcBorders>
          </w:tcPr>
          <w:p>
            <w:pPr>
              <w:spacing w:after="0"/>
              <w:rPr>
                <w:sz w:val="4"/>
                <w:szCs w:val="4"/>
                <w:color w:val="auto"/>
              </w:rPr>
            </w:pPr>
          </w:p>
        </w:tc>
        <w:tc>
          <w:tcPr>
            <w:tcW w:w="16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28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2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18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380" w:type="dxa"/>
            <w:vAlign w:val="bottom"/>
            <w:tcBorders>
              <w:bottom w:val="single" w:sz="8" w:color="342C82"/>
            </w:tcBorders>
          </w:tcPr>
          <w:p>
            <w:pPr>
              <w:spacing w:after="0"/>
              <w:rPr>
                <w:sz w:val="4"/>
                <w:szCs w:val="4"/>
                <w:color w:val="auto"/>
              </w:rPr>
            </w:pPr>
          </w:p>
        </w:tc>
        <w:tc>
          <w:tcPr>
            <w:tcW w:w="340" w:type="dxa"/>
            <w:vAlign w:val="bottom"/>
            <w:tcBorders>
              <w:bottom w:val="single" w:sz="8" w:color="342C82"/>
            </w:tcBorders>
          </w:tcPr>
          <w:p>
            <w:pPr>
              <w:spacing w:after="0"/>
              <w:rPr>
                <w:sz w:val="4"/>
                <w:szCs w:val="4"/>
                <w:color w:val="auto"/>
              </w:rPr>
            </w:pPr>
          </w:p>
        </w:tc>
        <w:tc>
          <w:tcPr>
            <w:tcW w:w="108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560" w:type="dxa"/>
            <w:vAlign w:val="bottom"/>
            <w:tcBorders>
              <w:bottom w:val="single" w:sz="8" w:color="342C82"/>
            </w:tcBorders>
          </w:tcPr>
          <w:p>
            <w:pPr>
              <w:spacing w:after="0"/>
              <w:rPr>
                <w:sz w:val="4"/>
                <w:szCs w:val="4"/>
                <w:color w:val="auto"/>
              </w:rPr>
            </w:pPr>
          </w:p>
        </w:tc>
        <w:tc>
          <w:tcPr>
            <w:tcW w:w="180" w:type="dxa"/>
            <w:vAlign w:val="bottom"/>
            <w:tcBorders>
              <w:bottom w:val="single" w:sz="8" w:color="342C82"/>
            </w:tcBorders>
          </w:tcPr>
          <w:p>
            <w:pPr>
              <w:spacing w:after="0"/>
              <w:rPr>
                <w:sz w:val="4"/>
                <w:szCs w:val="4"/>
                <w:color w:val="auto"/>
              </w:rPr>
            </w:pPr>
          </w:p>
        </w:tc>
        <w:tc>
          <w:tcPr>
            <w:tcW w:w="1880" w:type="dxa"/>
            <w:vAlign w:val="bottom"/>
            <w:tcBorders>
              <w:bottom w:val="single" w:sz="8" w:color="342C82"/>
            </w:tcBorders>
          </w:tcPr>
          <w:p>
            <w:pPr>
              <w:spacing w:after="0"/>
              <w:rPr>
                <w:sz w:val="4"/>
                <w:szCs w:val="4"/>
                <w:color w:val="auto"/>
              </w:rPr>
            </w:pPr>
          </w:p>
        </w:tc>
        <w:tc>
          <w:tcPr>
            <w:tcW w:w="80" w:type="dxa"/>
            <w:vAlign w:val="bottom"/>
            <w:tcBorders>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80" w:type="dxa"/>
            <w:vAlign w:val="bottom"/>
            <w:tcBorders>
              <w:top w:val="single" w:sz="8" w:color="0000EE"/>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r>
      <w:tr>
        <w:trPr>
          <w:trHeight w:val="183"/>
        </w:trPr>
        <w:tc>
          <w:tcPr>
            <w:tcW w:w="40" w:type="dxa"/>
            <w:vAlign w:val="bottom"/>
          </w:tcPr>
          <w:p>
            <w:pPr>
              <w:spacing w:after="0"/>
              <w:rPr>
                <w:sz w:val="15"/>
                <w:szCs w:val="15"/>
                <w:color w:val="auto"/>
              </w:rPr>
            </w:pPr>
          </w:p>
        </w:tc>
        <w:tc>
          <w:tcPr>
            <w:tcW w:w="6200" w:type="dxa"/>
            <w:vAlign w:val="bottom"/>
            <w:gridSpan w:val="35"/>
          </w:tcPr>
          <w:p>
            <w:pPr>
              <w:ind w:left="240"/>
              <w:spacing w:after="0" w:line="183" w:lineRule="exact"/>
              <w:rPr>
                <w:sz w:val="20"/>
                <w:szCs w:val="20"/>
                <w:color w:val="auto"/>
              </w:rPr>
            </w:pPr>
            <w:r>
              <w:rPr>
                <w:rFonts w:ascii="Arial" w:cs="Arial" w:eastAsia="Arial" w:hAnsi="Arial"/>
                <w:sz w:val="16"/>
                <w:szCs w:val="16"/>
                <w:color w:val="0000EE"/>
              </w:rPr>
              <w:t>Attendance at the 2025 Annual Meeting</w:t>
            </w:r>
          </w:p>
        </w:tc>
        <w:tc>
          <w:tcPr>
            <w:tcW w:w="2180" w:type="dxa"/>
            <w:vAlign w:val="bottom"/>
            <w:gridSpan w:val="7"/>
          </w:tcPr>
          <w:p>
            <w:pPr>
              <w:jc w:val="right"/>
              <w:ind w:right="40"/>
              <w:spacing w:after="0" w:line="183" w:lineRule="exact"/>
              <w:rPr>
                <w:sz w:val="20"/>
                <w:szCs w:val="20"/>
                <w:color w:val="auto"/>
              </w:rPr>
            </w:pPr>
            <w:r>
              <w:rPr>
                <w:rFonts w:ascii="Arial" w:cs="Arial" w:eastAsia="Arial" w:hAnsi="Arial"/>
                <w:sz w:val="16"/>
                <w:szCs w:val="16"/>
                <w:color w:val="0000EE"/>
              </w:rPr>
              <w:t>68</w:t>
            </w:r>
          </w:p>
        </w:tc>
      </w:tr>
      <w:tr>
        <w:trPr>
          <w:trHeight w:val="48"/>
        </w:trPr>
        <w:tc>
          <w:tcPr>
            <w:tcW w:w="40" w:type="dxa"/>
            <w:vAlign w:val="bottom"/>
            <w:tcBorders>
              <w:bottom w:val="single" w:sz="8" w:color="342C82"/>
            </w:tcBorders>
          </w:tcPr>
          <w:p>
            <w:pPr>
              <w:spacing w:after="0"/>
              <w:rPr>
                <w:sz w:val="4"/>
                <w:szCs w:val="4"/>
                <w:color w:val="auto"/>
              </w:rPr>
            </w:pPr>
          </w:p>
        </w:tc>
        <w:tc>
          <w:tcPr>
            <w:tcW w:w="240" w:type="dxa"/>
            <w:vAlign w:val="bottom"/>
            <w:tcBorders>
              <w:bottom w:val="single" w:sz="8" w:color="342C82"/>
            </w:tcBorders>
          </w:tcPr>
          <w:p>
            <w:pPr>
              <w:spacing w:after="0"/>
              <w:rPr>
                <w:sz w:val="4"/>
                <w:szCs w:val="4"/>
                <w:color w:val="auto"/>
              </w:rPr>
            </w:pPr>
          </w:p>
        </w:tc>
        <w:tc>
          <w:tcPr>
            <w:tcW w:w="980" w:type="dxa"/>
            <w:vAlign w:val="bottom"/>
            <w:tcBorders>
              <w:top w:val="single" w:sz="8" w:color="0000EE"/>
              <w:bottom w:val="single" w:sz="8" w:color="342C82"/>
            </w:tcBorders>
          </w:tcPr>
          <w:p>
            <w:pPr>
              <w:spacing w:after="0"/>
              <w:rPr>
                <w:sz w:val="4"/>
                <w:szCs w:val="4"/>
                <w:color w:val="auto"/>
              </w:rPr>
            </w:pPr>
          </w:p>
        </w:tc>
        <w:tc>
          <w:tcPr>
            <w:tcW w:w="100" w:type="dxa"/>
            <w:vAlign w:val="bottom"/>
            <w:tcBorders>
              <w:top w:val="single" w:sz="8" w:color="0000EE"/>
              <w:bottom w:val="single" w:sz="8" w:color="342C82"/>
            </w:tcBorders>
          </w:tcPr>
          <w:p>
            <w:pPr>
              <w:spacing w:after="0"/>
              <w:rPr>
                <w:sz w:val="4"/>
                <w:szCs w:val="4"/>
                <w:color w:val="auto"/>
              </w:rPr>
            </w:pPr>
          </w:p>
        </w:tc>
        <w:tc>
          <w:tcPr>
            <w:tcW w:w="10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320" w:type="dxa"/>
            <w:vAlign w:val="bottom"/>
            <w:tcBorders>
              <w:top w:val="single" w:sz="8" w:color="0000EE"/>
              <w:bottom w:val="single" w:sz="8" w:color="342C82"/>
            </w:tcBorders>
          </w:tcPr>
          <w:p>
            <w:pPr>
              <w:spacing w:after="0"/>
              <w:rPr>
                <w:sz w:val="4"/>
                <w:szCs w:val="4"/>
                <w:color w:val="auto"/>
              </w:rPr>
            </w:pPr>
          </w:p>
        </w:tc>
        <w:tc>
          <w:tcPr>
            <w:tcW w:w="4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160" w:type="dxa"/>
            <w:vAlign w:val="bottom"/>
            <w:tcBorders>
              <w:top w:val="single" w:sz="8" w:color="0000EE"/>
              <w:bottom w:val="single" w:sz="8" w:color="342C82"/>
            </w:tcBorders>
          </w:tcPr>
          <w:p>
            <w:pPr>
              <w:spacing w:after="0"/>
              <w:rPr>
                <w:sz w:val="4"/>
                <w:szCs w:val="4"/>
                <w:color w:val="auto"/>
              </w:rPr>
            </w:pPr>
          </w:p>
        </w:tc>
        <w:tc>
          <w:tcPr>
            <w:tcW w:w="2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80" w:type="dxa"/>
            <w:vAlign w:val="bottom"/>
            <w:tcBorders>
              <w:top w:val="single" w:sz="8" w:color="0000EE"/>
              <w:bottom w:val="single" w:sz="8" w:color="342C82"/>
            </w:tcBorders>
          </w:tcPr>
          <w:p>
            <w:pPr>
              <w:spacing w:after="0"/>
              <w:rPr>
                <w:sz w:val="4"/>
                <w:szCs w:val="4"/>
                <w:color w:val="auto"/>
              </w:rPr>
            </w:pPr>
          </w:p>
        </w:tc>
        <w:tc>
          <w:tcPr>
            <w:tcW w:w="160" w:type="dxa"/>
            <w:vAlign w:val="bottom"/>
            <w:tcBorders>
              <w:top w:val="single" w:sz="8" w:color="0000EE"/>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280" w:type="dxa"/>
            <w:vAlign w:val="bottom"/>
            <w:tcBorders>
              <w:top w:val="single" w:sz="8" w:color="0000EE"/>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40" w:type="dxa"/>
            <w:vAlign w:val="bottom"/>
            <w:tcBorders>
              <w:top w:val="single" w:sz="8" w:color="0000EE"/>
              <w:bottom w:val="single" w:sz="8" w:color="342C82"/>
            </w:tcBorders>
          </w:tcPr>
          <w:p>
            <w:pPr>
              <w:spacing w:after="0"/>
              <w:rPr>
                <w:sz w:val="4"/>
                <w:szCs w:val="4"/>
                <w:color w:val="auto"/>
              </w:rPr>
            </w:pPr>
          </w:p>
        </w:tc>
        <w:tc>
          <w:tcPr>
            <w:tcW w:w="40" w:type="dxa"/>
            <w:vAlign w:val="bottom"/>
            <w:tcBorders>
              <w:top w:val="single" w:sz="8" w:color="0000EE"/>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2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18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380" w:type="dxa"/>
            <w:vAlign w:val="bottom"/>
            <w:tcBorders>
              <w:bottom w:val="single" w:sz="8" w:color="342C82"/>
            </w:tcBorders>
          </w:tcPr>
          <w:p>
            <w:pPr>
              <w:spacing w:after="0"/>
              <w:rPr>
                <w:sz w:val="4"/>
                <w:szCs w:val="4"/>
                <w:color w:val="auto"/>
              </w:rPr>
            </w:pPr>
          </w:p>
        </w:tc>
        <w:tc>
          <w:tcPr>
            <w:tcW w:w="340" w:type="dxa"/>
            <w:vAlign w:val="bottom"/>
            <w:tcBorders>
              <w:bottom w:val="single" w:sz="8" w:color="342C82"/>
            </w:tcBorders>
          </w:tcPr>
          <w:p>
            <w:pPr>
              <w:spacing w:after="0"/>
              <w:rPr>
                <w:sz w:val="4"/>
                <w:szCs w:val="4"/>
                <w:color w:val="auto"/>
              </w:rPr>
            </w:pPr>
          </w:p>
        </w:tc>
        <w:tc>
          <w:tcPr>
            <w:tcW w:w="108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560" w:type="dxa"/>
            <w:vAlign w:val="bottom"/>
            <w:tcBorders>
              <w:bottom w:val="single" w:sz="8" w:color="342C82"/>
            </w:tcBorders>
          </w:tcPr>
          <w:p>
            <w:pPr>
              <w:spacing w:after="0"/>
              <w:rPr>
                <w:sz w:val="4"/>
                <w:szCs w:val="4"/>
                <w:color w:val="auto"/>
              </w:rPr>
            </w:pPr>
          </w:p>
        </w:tc>
        <w:tc>
          <w:tcPr>
            <w:tcW w:w="180" w:type="dxa"/>
            <w:vAlign w:val="bottom"/>
            <w:tcBorders>
              <w:bottom w:val="single" w:sz="8" w:color="342C82"/>
            </w:tcBorders>
          </w:tcPr>
          <w:p>
            <w:pPr>
              <w:spacing w:after="0"/>
              <w:rPr>
                <w:sz w:val="4"/>
                <w:szCs w:val="4"/>
                <w:color w:val="auto"/>
              </w:rPr>
            </w:pPr>
          </w:p>
        </w:tc>
        <w:tc>
          <w:tcPr>
            <w:tcW w:w="1880" w:type="dxa"/>
            <w:vAlign w:val="bottom"/>
            <w:tcBorders>
              <w:bottom w:val="single" w:sz="8" w:color="342C82"/>
            </w:tcBorders>
          </w:tcPr>
          <w:p>
            <w:pPr>
              <w:spacing w:after="0"/>
              <w:rPr>
                <w:sz w:val="4"/>
                <w:szCs w:val="4"/>
                <w:color w:val="auto"/>
              </w:rPr>
            </w:pPr>
          </w:p>
        </w:tc>
        <w:tc>
          <w:tcPr>
            <w:tcW w:w="80" w:type="dxa"/>
            <w:vAlign w:val="bottom"/>
            <w:tcBorders>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80" w:type="dxa"/>
            <w:vAlign w:val="bottom"/>
            <w:tcBorders>
              <w:top w:val="single" w:sz="8" w:color="0000EE"/>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r>
      <w:tr>
        <w:trPr>
          <w:trHeight w:val="183"/>
        </w:trPr>
        <w:tc>
          <w:tcPr>
            <w:tcW w:w="40" w:type="dxa"/>
            <w:vAlign w:val="bottom"/>
          </w:tcPr>
          <w:p>
            <w:pPr>
              <w:spacing w:after="0"/>
              <w:rPr>
                <w:sz w:val="15"/>
                <w:szCs w:val="15"/>
                <w:color w:val="auto"/>
              </w:rPr>
            </w:pPr>
          </w:p>
        </w:tc>
        <w:tc>
          <w:tcPr>
            <w:tcW w:w="6200" w:type="dxa"/>
            <w:vAlign w:val="bottom"/>
            <w:gridSpan w:val="35"/>
          </w:tcPr>
          <w:p>
            <w:pPr>
              <w:ind w:left="240"/>
              <w:spacing w:after="0" w:line="183" w:lineRule="exact"/>
              <w:rPr>
                <w:sz w:val="20"/>
                <w:szCs w:val="20"/>
                <w:color w:val="auto"/>
              </w:rPr>
            </w:pPr>
            <w:r>
              <w:rPr>
                <w:rFonts w:ascii="Arial" w:cs="Arial" w:eastAsia="Arial" w:hAnsi="Arial"/>
                <w:sz w:val="16"/>
                <w:szCs w:val="16"/>
                <w:color w:val="0000EE"/>
              </w:rPr>
              <w:t>How to vote at the meeting or by proxy</w:t>
            </w:r>
          </w:p>
        </w:tc>
        <w:tc>
          <w:tcPr>
            <w:tcW w:w="2180" w:type="dxa"/>
            <w:vAlign w:val="bottom"/>
            <w:gridSpan w:val="7"/>
          </w:tcPr>
          <w:p>
            <w:pPr>
              <w:jc w:val="right"/>
              <w:ind w:right="40"/>
              <w:spacing w:after="0" w:line="183" w:lineRule="exact"/>
              <w:rPr>
                <w:sz w:val="20"/>
                <w:szCs w:val="20"/>
                <w:color w:val="auto"/>
              </w:rPr>
            </w:pPr>
            <w:r>
              <w:rPr>
                <w:rFonts w:ascii="Arial" w:cs="Arial" w:eastAsia="Arial" w:hAnsi="Arial"/>
                <w:sz w:val="16"/>
                <w:szCs w:val="16"/>
                <w:color w:val="0000EE"/>
              </w:rPr>
              <w:t>68</w:t>
            </w:r>
          </w:p>
        </w:tc>
      </w:tr>
      <w:tr>
        <w:trPr>
          <w:trHeight w:val="48"/>
        </w:trPr>
        <w:tc>
          <w:tcPr>
            <w:tcW w:w="40" w:type="dxa"/>
            <w:vAlign w:val="bottom"/>
            <w:tcBorders>
              <w:bottom w:val="single" w:sz="8" w:color="342C82"/>
            </w:tcBorders>
          </w:tcPr>
          <w:p>
            <w:pPr>
              <w:spacing w:after="0"/>
              <w:rPr>
                <w:sz w:val="4"/>
                <w:szCs w:val="4"/>
                <w:color w:val="auto"/>
              </w:rPr>
            </w:pPr>
          </w:p>
        </w:tc>
        <w:tc>
          <w:tcPr>
            <w:tcW w:w="240" w:type="dxa"/>
            <w:vAlign w:val="bottom"/>
            <w:tcBorders>
              <w:bottom w:val="single" w:sz="8" w:color="342C82"/>
            </w:tcBorders>
          </w:tcPr>
          <w:p>
            <w:pPr>
              <w:spacing w:after="0"/>
              <w:rPr>
                <w:sz w:val="4"/>
                <w:szCs w:val="4"/>
                <w:color w:val="auto"/>
              </w:rPr>
            </w:pPr>
          </w:p>
        </w:tc>
        <w:tc>
          <w:tcPr>
            <w:tcW w:w="980" w:type="dxa"/>
            <w:vAlign w:val="bottom"/>
            <w:tcBorders>
              <w:top w:val="single" w:sz="8" w:color="0000EE"/>
              <w:bottom w:val="single" w:sz="8" w:color="342C82"/>
            </w:tcBorders>
          </w:tcPr>
          <w:p>
            <w:pPr>
              <w:spacing w:after="0"/>
              <w:rPr>
                <w:sz w:val="4"/>
                <w:szCs w:val="4"/>
                <w:color w:val="auto"/>
              </w:rPr>
            </w:pPr>
          </w:p>
        </w:tc>
        <w:tc>
          <w:tcPr>
            <w:tcW w:w="100" w:type="dxa"/>
            <w:vAlign w:val="bottom"/>
            <w:tcBorders>
              <w:top w:val="single" w:sz="8" w:color="0000EE"/>
              <w:bottom w:val="single" w:sz="8" w:color="342C82"/>
            </w:tcBorders>
          </w:tcPr>
          <w:p>
            <w:pPr>
              <w:spacing w:after="0"/>
              <w:rPr>
                <w:sz w:val="4"/>
                <w:szCs w:val="4"/>
                <w:color w:val="auto"/>
              </w:rPr>
            </w:pPr>
          </w:p>
        </w:tc>
        <w:tc>
          <w:tcPr>
            <w:tcW w:w="10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320" w:type="dxa"/>
            <w:vAlign w:val="bottom"/>
            <w:tcBorders>
              <w:top w:val="single" w:sz="8" w:color="0000EE"/>
              <w:bottom w:val="single" w:sz="8" w:color="342C82"/>
            </w:tcBorders>
          </w:tcPr>
          <w:p>
            <w:pPr>
              <w:spacing w:after="0"/>
              <w:rPr>
                <w:sz w:val="4"/>
                <w:szCs w:val="4"/>
                <w:color w:val="auto"/>
              </w:rPr>
            </w:pPr>
          </w:p>
        </w:tc>
        <w:tc>
          <w:tcPr>
            <w:tcW w:w="4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160" w:type="dxa"/>
            <w:vAlign w:val="bottom"/>
            <w:tcBorders>
              <w:top w:val="single" w:sz="8" w:color="0000EE"/>
              <w:bottom w:val="single" w:sz="8" w:color="342C82"/>
            </w:tcBorders>
          </w:tcPr>
          <w:p>
            <w:pPr>
              <w:spacing w:after="0"/>
              <w:rPr>
                <w:sz w:val="4"/>
                <w:szCs w:val="4"/>
                <w:color w:val="auto"/>
              </w:rPr>
            </w:pPr>
          </w:p>
        </w:tc>
        <w:tc>
          <w:tcPr>
            <w:tcW w:w="2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80" w:type="dxa"/>
            <w:vAlign w:val="bottom"/>
            <w:tcBorders>
              <w:top w:val="single" w:sz="8" w:color="0000EE"/>
              <w:bottom w:val="single" w:sz="8" w:color="342C82"/>
            </w:tcBorders>
          </w:tcPr>
          <w:p>
            <w:pPr>
              <w:spacing w:after="0"/>
              <w:rPr>
                <w:sz w:val="4"/>
                <w:szCs w:val="4"/>
                <w:color w:val="auto"/>
              </w:rPr>
            </w:pPr>
          </w:p>
        </w:tc>
        <w:tc>
          <w:tcPr>
            <w:tcW w:w="160" w:type="dxa"/>
            <w:vAlign w:val="bottom"/>
            <w:tcBorders>
              <w:top w:val="single" w:sz="8" w:color="0000EE"/>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280" w:type="dxa"/>
            <w:vAlign w:val="bottom"/>
            <w:tcBorders>
              <w:top w:val="single" w:sz="8" w:color="0000EE"/>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40" w:type="dxa"/>
            <w:vAlign w:val="bottom"/>
            <w:tcBorders>
              <w:top w:val="single" w:sz="8" w:color="0000EE"/>
              <w:bottom w:val="single" w:sz="8" w:color="342C82"/>
            </w:tcBorders>
          </w:tcPr>
          <w:p>
            <w:pPr>
              <w:spacing w:after="0"/>
              <w:rPr>
                <w:sz w:val="4"/>
                <w:szCs w:val="4"/>
                <w:color w:val="auto"/>
              </w:rPr>
            </w:pPr>
          </w:p>
        </w:tc>
        <w:tc>
          <w:tcPr>
            <w:tcW w:w="40" w:type="dxa"/>
            <w:vAlign w:val="bottom"/>
            <w:tcBorders>
              <w:top w:val="single" w:sz="8" w:color="0000EE"/>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2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18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380" w:type="dxa"/>
            <w:vAlign w:val="bottom"/>
            <w:tcBorders>
              <w:bottom w:val="single" w:sz="8" w:color="342C82"/>
            </w:tcBorders>
          </w:tcPr>
          <w:p>
            <w:pPr>
              <w:spacing w:after="0"/>
              <w:rPr>
                <w:sz w:val="4"/>
                <w:szCs w:val="4"/>
                <w:color w:val="auto"/>
              </w:rPr>
            </w:pPr>
          </w:p>
        </w:tc>
        <w:tc>
          <w:tcPr>
            <w:tcW w:w="340" w:type="dxa"/>
            <w:vAlign w:val="bottom"/>
            <w:tcBorders>
              <w:bottom w:val="single" w:sz="8" w:color="342C82"/>
            </w:tcBorders>
          </w:tcPr>
          <w:p>
            <w:pPr>
              <w:spacing w:after="0"/>
              <w:rPr>
                <w:sz w:val="4"/>
                <w:szCs w:val="4"/>
                <w:color w:val="auto"/>
              </w:rPr>
            </w:pPr>
          </w:p>
        </w:tc>
        <w:tc>
          <w:tcPr>
            <w:tcW w:w="108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560" w:type="dxa"/>
            <w:vAlign w:val="bottom"/>
            <w:tcBorders>
              <w:bottom w:val="single" w:sz="8" w:color="342C82"/>
            </w:tcBorders>
          </w:tcPr>
          <w:p>
            <w:pPr>
              <w:spacing w:after="0"/>
              <w:rPr>
                <w:sz w:val="4"/>
                <w:szCs w:val="4"/>
                <w:color w:val="auto"/>
              </w:rPr>
            </w:pPr>
          </w:p>
        </w:tc>
        <w:tc>
          <w:tcPr>
            <w:tcW w:w="180" w:type="dxa"/>
            <w:vAlign w:val="bottom"/>
            <w:tcBorders>
              <w:bottom w:val="single" w:sz="8" w:color="342C82"/>
            </w:tcBorders>
          </w:tcPr>
          <w:p>
            <w:pPr>
              <w:spacing w:after="0"/>
              <w:rPr>
                <w:sz w:val="4"/>
                <w:szCs w:val="4"/>
                <w:color w:val="auto"/>
              </w:rPr>
            </w:pPr>
          </w:p>
        </w:tc>
        <w:tc>
          <w:tcPr>
            <w:tcW w:w="1880" w:type="dxa"/>
            <w:vAlign w:val="bottom"/>
            <w:tcBorders>
              <w:bottom w:val="single" w:sz="8" w:color="342C82"/>
            </w:tcBorders>
          </w:tcPr>
          <w:p>
            <w:pPr>
              <w:spacing w:after="0"/>
              <w:rPr>
                <w:sz w:val="4"/>
                <w:szCs w:val="4"/>
                <w:color w:val="auto"/>
              </w:rPr>
            </w:pPr>
          </w:p>
        </w:tc>
        <w:tc>
          <w:tcPr>
            <w:tcW w:w="80" w:type="dxa"/>
            <w:vAlign w:val="bottom"/>
            <w:tcBorders>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80" w:type="dxa"/>
            <w:vAlign w:val="bottom"/>
            <w:tcBorders>
              <w:top w:val="single" w:sz="8" w:color="0000EE"/>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r>
      <w:tr>
        <w:trPr>
          <w:trHeight w:val="183"/>
        </w:trPr>
        <w:tc>
          <w:tcPr>
            <w:tcW w:w="40" w:type="dxa"/>
            <w:vAlign w:val="bottom"/>
          </w:tcPr>
          <w:p>
            <w:pPr>
              <w:spacing w:after="0"/>
              <w:rPr>
                <w:sz w:val="15"/>
                <w:szCs w:val="15"/>
                <w:color w:val="auto"/>
              </w:rPr>
            </w:pPr>
          </w:p>
        </w:tc>
        <w:tc>
          <w:tcPr>
            <w:tcW w:w="6200" w:type="dxa"/>
            <w:vAlign w:val="bottom"/>
            <w:gridSpan w:val="35"/>
          </w:tcPr>
          <w:p>
            <w:pPr>
              <w:ind w:left="240"/>
              <w:spacing w:after="0" w:line="183" w:lineRule="exact"/>
              <w:rPr>
                <w:sz w:val="20"/>
                <w:szCs w:val="20"/>
                <w:color w:val="auto"/>
              </w:rPr>
            </w:pPr>
            <w:r>
              <w:rPr>
                <w:rFonts w:ascii="Arial" w:cs="Arial" w:eastAsia="Arial" w:hAnsi="Arial"/>
                <w:sz w:val="16"/>
                <w:szCs w:val="16"/>
                <w:color w:val="0000EE"/>
              </w:rPr>
              <w:t>Broker non-votes</w:t>
            </w:r>
          </w:p>
        </w:tc>
        <w:tc>
          <w:tcPr>
            <w:tcW w:w="2180" w:type="dxa"/>
            <w:vAlign w:val="bottom"/>
            <w:gridSpan w:val="7"/>
          </w:tcPr>
          <w:p>
            <w:pPr>
              <w:jc w:val="right"/>
              <w:ind w:right="40"/>
              <w:spacing w:after="0" w:line="183" w:lineRule="exact"/>
              <w:rPr>
                <w:sz w:val="20"/>
                <w:szCs w:val="20"/>
                <w:color w:val="auto"/>
              </w:rPr>
            </w:pPr>
            <w:r>
              <w:rPr>
                <w:rFonts w:ascii="Arial" w:cs="Arial" w:eastAsia="Arial" w:hAnsi="Arial"/>
                <w:sz w:val="16"/>
                <w:szCs w:val="16"/>
                <w:color w:val="0000EE"/>
              </w:rPr>
              <w:t>69</w:t>
            </w:r>
          </w:p>
        </w:tc>
      </w:tr>
      <w:tr>
        <w:trPr>
          <w:trHeight w:val="48"/>
        </w:trPr>
        <w:tc>
          <w:tcPr>
            <w:tcW w:w="40" w:type="dxa"/>
            <w:vAlign w:val="bottom"/>
            <w:tcBorders>
              <w:bottom w:val="single" w:sz="8" w:color="342C82"/>
            </w:tcBorders>
          </w:tcPr>
          <w:p>
            <w:pPr>
              <w:spacing w:after="0"/>
              <w:rPr>
                <w:sz w:val="4"/>
                <w:szCs w:val="4"/>
                <w:color w:val="auto"/>
              </w:rPr>
            </w:pPr>
          </w:p>
        </w:tc>
        <w:tc>
          <w:tcPr>
            <w:tcW w:w="240" w:type="dxa"/>
            <w:vAlign w:val="bottom"/>
            <w:tcBorders>
              <w:bottom w:val="single" w:sz="8" w:color="342C82"/>
            </w:tcBorders>
          </w:tcPr>
          <w:p>
            <w:pPr>
              <w:spacing w:after="0"/>
              <w:rPr>
                <w:sz w:val="4"/>
                <w:szCs w:val="4"/>
                <w:color w:val="auto"/>
              </w:rPr>
            </w:pPr>
          </w:p>
        </w:tc>
        <w:tc>
          <w:tcPr>
            <w:tcW w:w="980" w:type="dxa"/>
            <w:vAlign w:val="bottom"/>
            <w:tcBorders>
              <w:top w:val="single" w:sz="8" w:color="0000EE"/>
              <w:bottom w:val="single" w:sz="8" w:color="342C82"/>
            </w:tcBorders>
          </w:tcPr>
          <w:p>
            <w:pPr>
              <w:spacing w:after="0"/>
              <w:rPr>
                <w:sz w:val="4"/>
                <w:szCs w:val="4"/>
                <w:color w:val="auto"/>
              </w:rPr>
            </w:pPr>
          </w:p>
        </w:tc>
        <w:tc>
          <w:tcPr>
            <w:tcW w:w="100" w:type="dxa"/>
            <w:vAlign w:val="bottom"/>
            <w:tcBorders>
              <w:top w:val="single" w:sz="8" w:color="0000EE"/>
              <w:bottom w:val="single" w:sz="8" w:color="342C82"/>
            </w:tcBorders>
          </w:tcPr>
          <w:p>
            <w:pPr>
              <w:spacing w:after="0"/>
              <w:rPr>
                <w:sz w:val="4"/>
                <w:szCs w:val="4"/>
                <w:color w:val="auto"/>
              </w:rPr>
            </w:pPr>
          </w:p>
        </w:tc>
        <w:tc>
          <w:tcPr>
            <w:tcW w:w="10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320" w:type="dxa"/>
            <w:vAlign w:val="bottom"/>
            <w:tcBorders>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160" w:type="dxa"/>
            <w:vAlign w:val="bottom"/>
            <w:tcBorders>
              <w:bottom w:val="single" w:sz="8" w:color="342C82"/>
            </w:tcBorders>
          </w:tcPr>
          <w:p>
            <w:pPr>
              <w:spacing w:after="0"/>
              <w:rPr>
                <w:sz w:val="4"/>
                <w:szCs w:val="4"/>
                <w:color w:val="auto"/>
              </w:rPr>
            </w:pPr>
          </w:p>
        </w:tc>
        <w:tc>
          <w:tcPr>
            <w:tcW w:w="2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80" w:type="dxa"/>
            <w:vAlign w:val="bottom"/>
            <w:tcBorders>
              <w:bottom w:val="single" w:sz="8" w:color="342C82"/>
            </w:tcBorders>
          </w:tcPr>
          <w:p>
            <w:pPr>
              <w:spacing w:after="0"/>
              <w:rPr>
                <w:sz w:val="4"/>
                <w:szCs w:val="4"/>
                <w:color w:val="auto"/>
              </w:rPr>
            </w:pPr>
          </w:p>
        </w:tc>
        <w:tc>
          <w:tcPr>
            <w:tcW w:w="16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28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2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18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380" w:type="dxa"/>
            <w:vAlign w:val="bottom"/>
            <w:tcBorders>
              <w:bottom w:val="single" w:sz="8" w:color="342C82"/>
            </w:tcBorders>
          </w:tcPr>
          <w:p>
            <w:pPr>
              <w:spacing w:after="0"/>
              <w:rPr>
                <w:sz w:val="4"/>
                <w:szCs w:val="4"/>
                <w:color w:val="auto"/>
              </w:rPr>
            </w:pPr>
          </w:p>
        </w:tc>
        <w:tc>
          <w:tcPr>
            <w:tcW w:w="340" w:type="dxa"/>
            <w:vAlign w:val="bottom"/>
            <w:tcBorders>
              <w:bottom w:val="single" w:sz="8" w:color="342C82"/>
            </w:tcBorders>
          </w:tcPr>
          <w:p>
            <w:pPr>
              <w:spacing w:after="0"/>
              <w:rPr>
                <w:sz w:val="4"/>
                <w:szCs w:val="4"/>
                <w:color w:val="auto"/>
              </w:rPr>
            </w:pPr>
          </w:p>
        </w:tc>
        <w:tc>
          <w:tcPr>
            <w:tcW w:w="108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560" w:type="dxa"/>
            <w:vAlign w:val="bottom"/>
            <w:tcBorders>
              <w:bottom w:val="single" w:sz="8" w:color="342C82"/>
            </w:tcBorders>
          </w:tcPr>
          <w:p>
            <w:pPr>
              <w:spacing w:after="0"/>
              <w:rPr>
                <w:sz w:val="4"/>
                <w:szCs w:val="4"/>
                <w:color w:val="auto"/>
              </w:rPr>
            </w:pPr>
          </w:p>
        </w:tc>
        <w:tc>
          <w:tcPr>
            <w:tcW w:w="180" w:type="dxa"/>
            <w:vAlign w:val="bottom"/>
            <w:tcBorders>
              <w:bottom w:val="single" w:sz="8" w:color="342C82"/>
            </w:tcBorders>
          </w:tcPr>
          <w:p>
            <w:pPr>
              <w:spacing w:after="0"/>
              <w:rPr>
                <w:sz w:val="4"/>
                <w:szCs w:val="4"/>
                <w:color w:val="auto"/>
              </w:rPr>
            </w:pPr>
          </w:p>
        </w:tc>
        <w:tc>
          <w:tcPr>
            <w:tcW w:w="1880" w:type="dxa"/>
            <w:vAlign w:val="bottom"/>
            <w:tcBorders>
              <w:bottom w:val="single" w:sz="8" w:color="342C82"/>
            </w:tcBorders>
          </w:tcPr>
          <w:p>
            <w:pPr>
              <w:spacing w:after="0"/>
              <w:rPr>
                <w:sz w:val="4"/>
                <w:szCs w:val="4"/>
                <w:color w:val="auto"/>
              </w:rPr>
            </w:pPr>
          </w:p>
        </w:tc>
        <w:tc>
          <w:tcPr>
            <w:tcW w:w="80" w:type="dxa"/>
            <w:vAlign w:val="bottom"/>
            <w:tcBorders>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80" w:type="dxa"/>
            <w:vAlign w:val="bottom"/>
            <w:tcBorders>
              <w:top w:val="single" w:sz="8" w:color="0000EE"/>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r>
      <w:tr>
        <w:trPr>
          <w:trHeight w:val="183"/>
        </w:trPr>
        <w:tc>
          <w:tcPr>
            <w:tcW w:w="40" w:type="dxa"/>
            <w:vAlign w:val="bottom"/>
          </w:tcPr>
          <w:p>
            <w:pPr>
              <w:spacing w:after="0"/>
              <w:rPr>
                <w:sz w:val="15"/>
                <w:szCs w:val="15"/>
                <w:color w:val="auto"/>
              </w:rPr>
            </w:pPr>
          </w:p>
        </w:tc>
        <w:tc>
          <w:tcPr>
            <w:tcW w:w="6200" w:type="dxa"/>
            <w:vAlign w:val="bottom"/>
            <w:gridSpan w:val="35"/>
          </w:tcPr>
          <w:p>
            <w:pPr>
              <w:ind w:left="240"/>
              <w:spacing w:after="0" w:line="183" w:lineRule="exact"/>
              <w:rPr>
                <w:sz w:val="20"/>
                <w:szCs w:val="20"/>
                <w:color w:val="auto"/>
              </w:rPr>
            </w:pPr>
            <w:r>
              <w:rPr>
                <w:rFonts w:ascii="Arial" w:cs="Arial" w:eastAsia="Arial" w:hAnsi="Arial"/>
                <w:sz w:val="16"/>
                <w:szCs w:val="16"/>
                <w:color w:val="0000EE"/>
              </w:rPr>
              <w:t>Quorum; required vote</w:t>
            </w:r>
          </w:p>
        </w:tc>
        <w:tc>
          <w:tcPr>
            <w:tcW w:w="2180" w:type="dxa"/>
            <w:vAlign w:val="bottom"/>
            <w:gridSpan w:val="7"/>
          </w:tcPr>
          <w:p>
            <w:pPr>
              <w:jc w:val="right"/>
              <w:ind w:right="40"/>
              <w:spacing w:after="0" w:line="183" w:lineRule="exact"/>
              <w:rPr>
                <w:sz w:val="20"/>
                <w:szCs w:val="20"/>
                <w:color w:val="auto"/>
              </w:rPr>
            </w:pPr>
            <w:r>
              <w:rPr>
                <w:rFonts w:ascii="Arial" w:cs="Arial" w:eastAsia="Arial" w:hAnsi="Arial"/>
                <w:sz w:val="16"/>
                <w:szCs w:val="16"/>
                <w:color w:val="0000EE"/>
              </w:rPr>
              <w:t>69</w:t>
            </w:r>
          </w:p>
        </w:tc>
      </w:tr>
      <w:tr>
        <w:trPr>
          <w:trHeight w:val="48"/>
        </w:trPr>
        <w:tc>
          <w:tcPr>
            <w:tcW w:w="40" w:type="dxa"/>
            <w:vAlign w:val="bottom"/>
            <w:tcBorders>
              <w:bottom w:val="single" w:sz="8" w:color="342C82"/>
            </w:tcBorders>
          </w:tcPr>
          <w:p>
            <w:pPr>
              <w:spacing w:after="0"/>
              <w:rPr>
                <w:sz w:val="4"/>
                <w:szCs w:val="4"/>
                <w:color w:val="auto"/>
              </w:rPr>
            </w:pPr>
          </w:p>
        </w:tc>
        <w:tc>
          <w:tcPr>
            <w:tcW w:w="240" w:type="dxa"/>
            <w:vAlign w:val="bottom"/>
            <w:tcBorders>
              <w:bottom w:val="single" w:sz="8" w:color="342C82"/>
            </w:tcBorders>
          </w:tcPr>
          <w:p>
            <w:pPr>
              <w:spacing w:after="0"/>
              <w:rPr>
                <w:sz w:val="4"/>
                <w:szCs w:val="4"/>
                <w:color w:val="auto"/>
              </w:rPr>
            </w:pPr>
          </w:p>
        </w:tc>
        <w:tc>
          <w:tcPr>
            <w:tcW w:w="980" w:type="dxa"/>
            <w:vAlign w:val="bottom"/>
            <w:tcBorders>
              <w:top w:val="single" w:sz="8" w:color="0000EE"/>
              <w:bottom w:val="single" w:sz="8" w:color="342C82"/>
            </w:tcBorders>
          </w:tcPr>
          <w:p>
            <w:pPr>
              <w:spacing w:after="0"/>
              <w:rPr>
                <w:sz w:val="4"/>
                <w:szCs w:val="4"/>
                <w:color w:val="auto"/>
              </w:rPr>
            </w:pPr>
          </w:p>
        </w:tc>
        <w:tc>
          <w:tcPr>
            <w:tcW w:w="100" w:type="dxa"/>
            <w:vAlign w:val="bottom"/>
            <w:tcBorders>
              <w:top w:val="single" w:sz="8" w:color="0000EE"/>
              <w:bottom w:val="single" w:sz="8" w:color="342C82"/>
            </w:tcBorders>
          </w:tcPr>
          <w:p>
            <w:pPr>
              <w:spacing w:after="0"/>
              <w:rPr>
                <w:sz w:val="4"/>
                <w:szCs w:val="4"/>
                <w:color w:val="auto"/>
              </w:rPr>
            </w:pPr>
          </w:p>
        </w:tc>
        <w:tc>
          <w:tcPr>
            <w:tcW w:w="10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320" w:type="dxa"/>
            <w:vAlign w:val="bottom"/>
            <w:tcBorders>
              <w:top w:val="single" w:sz="8" w:color="0000EE"/>
              <w:bottom w:val="single" w:sz="8" w:color="342C82"/>
            </w:tcBorders>
          </w:tcPr>
          <w:p>
            <w:pPr>
              <w:spacing w:after="0"/>
              <w:rPr>
                <w:sz w:val="4"/>
                <w:szCs w:val="4"/>
                <w:color w:val="auto"/>
              </w:rPr>
            </w:pPr>
          </w:p>
        </w:tc>
        <w:tc>
          <w:tcPr>
            <w:tcW w:w="4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160" w:type="dxa"/>
            <w:vAlign w:val="bottom"/>
            <w:tcBorders>
              <w:bottom w:val="single" w:sz="8" w:color="342C82"/>
            </w:tcBorders>
          </w:tcPr>
          <w:p>
            <w:pPr>
              <w:spacing w:after="0"/>
              <w:rPr>
                <w:sz w:val="4"/>
                <w:szCs w:val="4"/>
                <w:color w:val="auto"/>
              </w:rPr>
            </w:pPr>
          </w:p>
        </w:tc>
        <w:tc>
          <w:tcPr>
            <w:tcW w:w="2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80" w:type="dxa"/>
            <w:vAlign w:val="bottom"/>
            <w:tcBorders>
              <w:bottom w:val="single" w:sz="8" w:color="342C82"/>
            </w:tcBorders>
          </w:tcPr>
          <w:p>
            <w:pPr>
              <w:spacing w:after="0"/>
              <w:rPr>
                <w:sz w:val="4"/>
                <w:szCs w:val="4"/>
                <w:color w:val="auto"/>
              </w:rPr>
            </w:pPr>
          </w:p>
        </w:tc>
        <w:tc>
          <w:tcPr>
            <w:tcW w:w="16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28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2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18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380" w:type="dxa"/>
            <w:vAlign w:val="bottom"/>
            <w:tcBorders>
              <w:bottom w:val="single" w:sz="8" w:color="342C82"/>
            </w:tcBorders>
          </w:tcPr>
          <w:p>
            <w:pPr>
              <w:spacing w:after="0"/>
              <w:rPr>
                <w:sz w:val="4"/>
                <w:szCs w:val="4"/>
                <w:color w:val="auto"/>
              </w:rPr>
            </w:pPr>
          </w:p>
        </w:tc>
        <w:tc>
          <w:tcPr>
            <w:tcW w:w="340" w:type="dxa"/>
            <w:vAlign w:val="bottom"/>
            <w:tcBorders>
              <w:bottom w:val="single" w:sz="8" w:color="342C82"/>
            </w:tcBorders>
          </w:tcPr>
          <w:p>
            <w:pPr>
              <w:spacing w:after="0"/>
              <w:rPr>
                <w:sz w:val="4"/>
                <w:szCs w:val="4"/>
                <w:color w:val="auto"/>
              </w:rPr>
            </w:pPr>
          </w:p>
        </w:tc>
        <w:tc>
          <w:tcPr>
            <w:tcW w:w="108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560" w:type="dxa"/>
            <w:vAlign w:val="bottom"/>
            <w:tcBorders>
              <w:bottom w:val="single" w:sz="8" w:color="342C82"/>
            </w:tcBorders>
          </w:tcPr>
          <w:p>
            <w:pPr>
              <w:spacing w:after="0"/>
              <w:rPr>
                <w:sz w:val="4"/>
                <w:szCs w:val="4"/>
                <w:color w:val="auto"/>
              </w:rPr>
            </w:pPr>
          </w:p>
        </w:tc>
        <w:tc>
          <w:tcPr>
            <w:tcW w:w="180" w:type="dxa"/>
            <w:vAlign w:val="bottom"/>
            <w:tcBorders>
              <w:bottom w:val="single" w:sz="8" w:color="342C82"/>
            </w:tcBorders>
          </w:tcPr>
          <w:p>
            <w:pPr>
              <w:spacing w:after="0"/>
              <w:rPr>
                <w:sz w:val="4"/>
                <w:szCs w:val="4"/>
                <w:color w:val="auto"/>
              </w:rPr>
            </w:pPr>
          </w:p>
        </w:tc>
        <w:tc>
          <w:tcPr>
            <w:tcW w:w="1880" w:type="dxa"/>
            <w:vAlign w:val="bottom"/>
            <w:tcBorders>
              <w:bottom w:val="single" w:sz="8" w:color="342C82"/>
            </w:tcBorders>
          </w:tcPr>
          <w:p>
            <w:pPr>
              <w:spacing w:after="0"/>
              <w:rPr>
                <w:sz w:val="4"/>
                <w:szCs w:val="4"/>
                <w:color w:val="auto"/>
              </w:rPr>
            </w:pPr>
          </w:p>
        </w:tc>
        <w:tc>
          <w:tcPr>
            <w:tcW w:w="80" w:type="dxa"/>
            <w:vAlign w:val="bottom"/>
            <w:tcBorders>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80" w:type="dxa"/>
            <w:vAlign w:val="bottom"/>
            <w:tcBorders>
              <w:top w:val="single" w:sz="8" w:color="0000EE"/>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r>
      <w:tr>
        <w:trPr>
          <w:trHeight w:val="183"/>
        </w:trPr>
        <w:tc>
          <w:tcPr>
            <w:tcW w:w="40" w:type="dxa"/>
            <w:vAlign w:val="bottom"/>
          </w:tcPr>
          <w:p>
            <w:pPr>
              <w:spacing w:after="0"/>
              <w:rPr>
                <w:sz w:val="15"/>
                <w:szCs w:val="15"/>
                <w:color w:val="auto"/>
              </w:rPr>
            </w:pPr>
          </w:p>
        </w:tc>
        <w:tc>
          <w:tcPr>
            <w:tcW w:w="6200" w:type="dxa"/>
            <w:vAlign w:val="bottom"/>
            <w:gridSpan w:val="35"/>
          </w:tcPr>
          <w:p>
            <w:pPr>
              <w:ind w:left="240"/>
              <w:spacing w:after="0" w:line="183" w:lineRule="exact"/>
              <w:rPr>
                <w:sz w:val="20"/>
                <w:szCs w:val="20"/>
                <w:color w:val="auto"/>
              </w:rPr>
            </w:pPr>
            <w:r>
              <w:rPr>
                <w:rFonts w:ascii="Arial" w:cs="Arial" w:eastAsia="Arial" w:hAnsi="Arial"/>
                <w:sz w:val="16"/>
                <w:szCs w:val="16"/>
                <w:color w:val="0000EE"/>
              </w:rPr>
              <w:t>Revocation of proxies or change of instructions</w:t>
            </w:r>
          </w:p>
        </w:tc>
        <w:tc>
          <w:tcPr>
            <w:tcW w:w="2180" w:type="dxa"/>
            <w:vAlign w:val="bottom"/>
            <w:gridSpan w:val="7"/>
          </w:tcPr>
          <w:p>
            <w:pPr>
              <w:jc w:val="right"/>
              <w:ind w:right="40"/>
              <w:spacing w:after="0" w:line="183" w:lineRule="exact"/>
              <w:rPr>
                <w:sz w:val="20"/>
                <w:szCs w:val="20"/>
                <w:color w:val="auto"/>
              </w:rPr>
            </w:pPr>
            <w:r>
              <w:rPr>
                <w:rFonts w:ascii="Arial" w:cs="Arial" w:eastAsia="Arial" w:hAnsi="Arial"/>
                <w:sz w:val="16"/>
                <w:szCs w:val="16"/>
                <w:color w:val="0000EE"/>
              </w:rPr>
              <w:t>70</w:t>
            </w:r>
          </w:p>
        </w:tc>
      </w:tr>
      <w:tr>
        <w:trPr>
          <w:trHeight w:val="48"/>
        </w:trPr>
        <w:tc>
          <w:tcPr>
            <w:tcW w:w="40" w:type="dxa"/>
            <w:vAlign w:val="bottom"/>
            <w:tcBorders>
              <w:bottom w:val="single" w:sz="8" w:color="342C82"/>
            </w:tcBorders>
          </w:tcPr>
          <w:p>
            <w:pPr>
              <w:spacing w:after="0"/>
              <w:rPr>
                <w:sz w:val="4"/>
                <w:szCs w:val="4"/>
                <w:color w:val="auto"/>
              </w:rPr>
            </w:pPr>
          </w:p>
        </w:tc>
        <w:tc>
          <w:tcPr>
            <w:tcW w:w="240" w:type="dxa"/>
            <w:vAlign w:val="bottom"/>
            <w:tcBorders>
              <w:bottom w:val="single" w:sz="8" w:color="342C82"/>
            </w:tcBorders>
          </w:tcPr>
          <w:p>
            <w:pPr>
              <w:spacing w:after="0"/>
              <w:rPr>
                <w:sz w:val="4"/>
                <w:szCs w:val="4"/>
                <w:color w:val="auto"/>
              </w:rPr>
            </w:pPr>
          </w:p>
        </w:tc>
        <w:tc>
          <w:tcPr>
            <w:tcW w:w="980" w:type="dxa"/>
            <w:vAlign w:val="bottom"/>
            <w:tcBorders>
              <w:top w:val="single" w:sz="8" w:color="0000EE"/>
              <w:bottom w:val="single" w:sz="8" w:color="342C82"/>
            </w:tcBorders>
          </w:tcPr>
          <w:p>
            <w:pPr>
              <w:spacing w:after="0"/>
              <w:rPr>
                <w:sz w:val="4"/>
                <w:szCs w:val="4"/>
                <w:color w:val="auto"/>
              </w:rPr>
            </w:pPr>
          </w:p>
        </w:tc>
        <w:tc>
          <w:tcPr>
            <w:tcW w:w="100" w:type="dxa"/>
            <w:vAlign w:val="bottom"/>
            <w:tcBorders>
              <w:top w:val="single" w:sz="8" w:color="0000EE"/>
              <w:bottom w:val="single" w:sz="8" w:color="342C82"/>
            </w:tcBorders>
          </w:tcPr>
          <w:p>
            <w:pPr>
              <w:spacing w:after="0"/>
              <w:rPr>
                <w:sz w:val="4"/>
                <w:szCs w:val="4"/>
                <w:color w:val="auto"/>
              </w:rPr>
            </w:pPr>
          </w:p>
        </w:tc>
        <w:tc>
          <w:tcPr>
            <w:tcW w:w="10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320" w:type="dxa"/>
            <w:vAlign w:val="bottom"/>
            <w:tcBorders>
              <w:top w:val="single" w:sz="8" w:color="0000EE"/>
              <w:bottom w:val="single" w:sz="8" w:color="342C82"/>
            </w:tcBorders>
          </w:tcPr>
          <w:p>
            <w:pPr>
              <w:spacing w:after="0"/>
              <w:rPr>
                <w:sz w:val="4"/>
                <w:szCs w:val="4"/>
                <w:color w:val="auto"/>
              </w:rPr>
            </w:pPr>
          </w:p>
        </w:tc>
        <w:tc>
          <w:tcPr>
            <w:tcW w:w="4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160" w:type="dxa"/>
            <w:vAlign w:val="bottom"/>
            <w:tcBorders>
              <w:top w:val="single" w:sz="8" w:color="0000EE"/>
              <w:bottom w:val="single" w:sz="8" w:color="342C82"/>
            </w:tcBorders>
          </w:tcPr>
          <w:p>
            <w:pPr>
              <w:spacing w:after="0"/>
              <w:rPr>
                <w:sz w:val="4"/>
                <w:szCs w:val="4"/>
                <w:color w:val="auto"/>
              </w:rPr>
            </w:pPr>
          </w:p>
        </w:tc>
        <w:tc>
          <w:tcPr>
            <w:tcW w:w="2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80" w:type="dxa"/>
            <w:vAlign w:val="bottom"/>
            <w:tcBorders>
              <w:top w:val="single" w:sz="8" w:color="0000EE"/>
              <w:bottom w:val="single" w:sz="8" w:color="342C82"/>
            </w:tcBorders>
          </w:tcPr>
          <w:p>
            <w:pPr>
              <w:spacing w:after="0"/>
              <w:rPr>
                <w:sz w:val="4"/>
                <w:szCs w:val="4"/>
                <w:color w:val="auto"/>
              </w:rPr>
            </w:pPr>
          </w:p>
        </w:tc>
        <w:tc>
          <w:tcPr>
            <w:tcW w:w="160" w:type="dxa"/>
            <w:vAlign w:val="bottom"/>
            <w:tcBorders>
              <w:top w:val="single" w:sz="8" w:color="0000EE"/>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280" w:type="dxa"/>
            <w:vAlign w:val="bottom"/>
            <w:tcBorders>
              <w:top w:val="single" w:sz="8" w:color="0000EE"/>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40" w:type="dxa"/>
            <w:vAlign w:val="bottom"/>
            <w:tcBorders>
              <w:top w:val="single" w:sz="8" w:color="0000EE"/>
              <w:bottom w:val="single" w:sz="8" w:color="342C82"/>
            </w:tcBorders>
          </w:tcPr>
          <w:p>
            <w:pPr>
              <w:spacing w:after="0"/>
              <w:rPr>
                <w:sz w:val="4"/>
                <w:szCs w:val="4"/>
                <w:color w:val="auto"/>
              </w:rPr>
            </w:pPr>
          </w:p>
        </w:tc>
        <w:tc>
          <w:tcPr>
            <w:tcW w:w="40" w:type="dxa"/>
            <w:vAlign w:val="bottom"/>
            <w:tcBorders>
              <w:top w:val="single" w:sz="8" w:color="0000EE"/>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2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18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380" w:type="dxa"/>
            <w:vAlign w:val="bottom"/>
            <w:tcBorders>
              <w:bottom w:val="single" w:sz="8" w:color="342C82"/>
            </w:tcBorders>
          </w:tcPr>
          <w:p>
            <w:pPr>
              <w:spacing w:after="0"/>
              <w:rPr>
                <w:sz w:val="4"/>
                <w:szCs w:val="4"/>
                <w:color w:val="auto"/>
              </w:rPr>
            </w:pPr>
          </w:p>
        </w:tc>
        <w:tc>
          <w:tcPr>
            <w:tcW w:w="340" w:type="dxa"/>
            <w:vAlign w:val="bottom"/>
            <w:tcBorders>
              <w:bottom w:val="single" w:sz="8" w:color="342C82"/>
            </w:tcBorders>
          </w:tcPr>
          <w:p>
            <w:pPr>
              <w:spacing w:after="0"/>
              <w:rPr>
                <w:sz w:val="4"/>
                <w:szCs w:val="4"/>
                <w:color w:val="auto"/>
              </w:rPr>
            </w:pPr>
          </w:p>
        </w:tc>
        <w:tc>
          <w:tcPr>
            <w:tcW w:w="108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560" w:type="dxa"/>
            <w:vAlign w:val="bottom"/>
            <w:tcBorders>
              <w:bottom w:val="single" w:sz="8" w:color="342C82"/>
            </w:tcBorders>
          </w:tcPr>
          <w:p>
            <w:pPr>
              <w:spacing w:after="0"/>
              <w:rPr>
                <w:sz w:val="4"/>
                <w:szCs w:val="4"/>
                <w:color w:val="auto"/>
              </w:rPr>
            </w:pPr>
          </w:p>
        </w:tc>
        <w:tc>
          <w:tcPr>
            <w:tcW w:w="180" w:type="dxa"/>
            <w:vAlign w:val="bottom"/>
            <w:tcBorders>
              <w:bottom w:val="single" w:sz="8" w:color="342C82"/>
            </w:tcBorders>
          </w:tcPr>
          <w:p>
            <w:pPr>
              <w:spacing w:after="0"/>
              <w:rPr>
                <w:sz w:val="4"/>
                <w:szCs w:val="4"/>
                <w:color w:val="auto"/>
              </w:rPr>
            </w:pPr>
          </w:p>
        </w:tc>
        <w:tc>
          <w:tcPr>
            <w:tcW w:w="1880" w:type="dxa"/>
            <w:vAlign w:val="bottom"/>
            <w:tcBorders>
              <w:bottom w:val="single" w:sz="8" w:color="342C82"/>
            </w:tcBorders>
          </w:tcPr>
          <w:p>
            <w:pPr>
              <w:spacing w:after="0"/>
              <w:rPr>
                <w:sz w:val="4"/>
                <w:szCs w:val="4"/>
                <w:color w:val="auto"/>
              </w:rPr>
            </w:pPr>
          </w:p>
        </w:tc>
        <w:tc>
          <w:tcPr>
            <w:tcW w:w="80" w:type="dxa"/>
            <w:vAlign w:val="bottom"/>
            <w:tcBorders>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80" w:type="dxa"/>
            <w:vAlign w:val="bottom"/>
            <w:tcBorders>
              <w:top w:val="single" w:sz="8" w:color="0000EE"/>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r>
      <w:tr>
        <w:trPr>
          <w:trHeight w:val="183"/>
        </w:trPr>
        <w:tc>
          <w:tcPr>
            <w:tcW w:w="40" w:type="dxa"/>
            <w:vAlign w:val="bottom"/>
          </w:tcPr>
          <w:p>
            <w:pPr>
              <w:spacing w:after="0"/>
              <w:rPr>
                <w:sz w:val="15"/>
                <w:szCs w:val="15"/>
                <w:color w:val="auto"/>
              </w:rPr>
            </w:pPr>
          </w:p>
        </w:tc>
        <w:tc>
          <w:tcPr>
            <w:tcW w:w="6200" w:type="dxa"/>
            <w:vAlign w:val="bottom"/>
            <w:gridSpan w:val="35"/>
          </w:tcPr>
          <w:p>
            <w:pPr>
              <w:ind w:left="240"/>
              <w:spacing w:after="0" w:line="183" w:lineRule="exact"/>
              <w:rPr>
                <w:sz w:val="20"/>
                <w:szCs w:val="20"/>
                <w:color w:val="auto"/>
              </w:rPr>
            </w:pPr>
            <w:r>
              <w:rPr>
                <w:rFonts w:ascii="Arial" w:cs="Arial" w:eastAsia="Arial" w:hAnsi="Arial"/>
                <w:sz w:val="16"/>
                <w:szCs w:val="16"/>
                <w:color w:val="0000EE"/>
              </w:rPr>
              <w:t>Stockholder proposals or director nominations for 2026 annual stockholder meeting</w:t>
            </w:r>
          </w:p>
        </w:tc>
        <w:tc>
          <w:tcPr>
            <w:tcW w:w="2180" w:type="dxa"/>
            <w:vAlign w:val="bottom"/>
            <w:gridSpan w:val="7"/>
          </w:tcPr>
          <w:p>
            <w:pPr>
              <w:jc w:val="right"/>
              <w:ind w:right="40"/>
              <w:spacing w:after="0" w:line="183" w:lineRule="exact"/>
              <w:rPr>
                <w:sz w:val="20"/>
                <w:szCs w:val="20"/>
                <w:color w:val="auto"/>
              </w:rPr>
            </w:pPr>
            <w:r>
              <w:rPr>
                <w:rFonts w:ascii="Arial" w:cs="Arial" w:eastAsia="Arial" w:hAnsi="Arial"/>
                <w:sz w:val="16"/>
                <w:szCs w:val="16"/>
                <w:color w:val="0000EE"/>
              </w:rPr>
              <w:t>70</w:t>
            </w:r>
          </w:p>
        </w:tc>
      </w:tr>
      <w:tr>
        <w:trPr>
          <w:trHeight w:val="48"/>
        </w:trPr>
        <w:tc>
          <w:tcPr>
            <w:tcW w:w="40" w:type="dxa"/>
            <w:vAlign w:val="bottom"/>
            <w:tcBorders>
              <w:bottom w:val="single" w:sz="8" w:color="342C82"/>
            </w:tcBorders>
          </w:tcPr>
          <w:p>
            <w:pPr>
              <w:spacing w:after="0"/>
              <w:rPr>
                <w:sz w:val="4"/>
                <w:szCs w:val="4"/>
                <w:color w:val="auto"/>
              </w:rPr>
            </w:pPr>
          </w:p>
        </w:tc>
        <w:tc>
          <w:tcPr>
            <w:tcW w:w="240" w:type="dxa"/>
            <w:vAlign w:val="bottom"/>
            <w:tcBorders>
              <w:bottom w:val="single" w:sz="8" w:color="342C82"/>
            </w:tcBorders>
          </w:tcPr>
          <w:p>
            <w:pPr>
              <w:spacing w:after="0"/>
              <w:rPr>
                <w:sz w:val="4"/>
                <w:szCs w:val="4"/>
                <w:color w:val="auto"/>
              </w:rPr>
            </w:pPr>
          </w:p>
        </w:tc>
        <w:tc>
          <w:tcPr>
            <w:tcW w:w="980" w:type="dxa"/>
            <w:vAlign w:val="bottom"/>
            <w:tcBorders>
              <w:top w:val="single" w:sz="8" w:color="0000EE"/>
              <w:bottom w:val="single" w:sz="8" w:color="342C82"/>
            </w:tcBorders>
          </w:tcPr>
          <w:p>
            <w:pPr>
              <w:spacing w:after="0"/>
              <w:rPr>
                <w:sz w:val="4"/>
                <w:szCs w:val="4"/>
                <w:color w:val="auto"/>
              </w:rPr>
            </w:pPr>
          </w:p>
        </w:tc>
        <w:tc>
          <w:tcPr>
            <w:tcW w:w="100" w:type="dxa"/>
            <w:vAlign w:val="bottom"/>
            <w:tcBorders>
              <w:top w:val="single" w:sz="8" w:color="0000EE"/>
              <w:bottom w:val="single" w:sz="8" w:color="342C82"/>
            </w:tcBorders>
          </w:tcPr>
          <w:p>
            <w:pPr>
              <w:spacing w:after="0"/>
              <w:rPr>
                <w:sz w:val="4"/>
                <w:szCs w:val="4"/>
                <w:color w:val="auto"/>
              </w:rPr>
            </w:pPr>
          </w:p>
        </w:tc>
        <w:tc>
          <w:tcPr>
            <w:tcW w:w="10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320" w:type="dxa"/>
            <w:vAlign w:val="bottom"/>
            <w:tcBorders>
              <w:top w:val="single" w:sz="8" w:color="0000EE"/>
              <w:bottom w:val="single" w:sz="8" w:color="342C82"/>
            </w:tcBorders>
          </w:tcPr>
          <w:p>
            <w:pPr>
              <w:spacing w:after="0"/>
              <w:rPr>
                <w:sz w:val="4"/>
                <w:szCs w:val="4"/>
                <w:color w:val="auto"/>
              </w:rPr>
            </w:pPr>
          </w:p>
        </w:tc>
        <w:tc>
          <w:tcPr>
            <w:tcW w:w="4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160" w:type="dxa"/>
            <w:vAlign w:val="bottom"/>
            <w:tcBorders>
              <w:top w:val="single" w:sz="8" w:color="0000EE"/>
              <w:bottom w:val="single" w:sz="8" w:color="342C82"/>
            </w:tcBorders>
          </w:tcPr>
          <w:p>
            <w:pPr>
              <w:spacing w:after="0"/>
              <w:rPr>
                <w:sz w:val="4"/>
                <w:szCs w:val="4"/>
                <w:color w:val="auto"/>
              </w:rPr>
            </w:pPr>
          </w:p>
        </w:tc>
        <w:tc>
          <w:tcPr>
            <w:tcW w:w="2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80" w:type="dxa"/>
            <w:vAlign w:val="bottom"/>
            <w:tcBorders>
              <w:top w:val="single" w:sz="8" w:color="0000EE"/>
              <w:bottom w:val="single" w:sz="8" w:color="342C82"/>
            </w:tcBorders>
          </w:tcPr>
          <w:p>
            <w:pPr>
              <w:spacing w:after="0"/>
              <w:rPr>
                <w:sz w:val="4"/>
                <w:szCs w:val="4"/>
                <w:color w:val="auto"/>
              </w:rPr>
            </w:pPr>
          </w:p>
        </w:tc>
        <w:tc>
          <w:tcPr>
            <w:tcW w:w="160" w:type="dxa"/>
            <w:vAlign w:val="bottom"/>
            <w:tcBorders>
              <w:top w:val="single" w:sz="8" w:color="0000EE"/>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280" w:type="dxa"/>
            <w:vAlign w:val="bottom"/>
            <w:tcBorders>
              <w:top w:val="single" w:sz="8" w:color="0000EE"/>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40" w:type="dxa"/>
            <w:vAlign w:val="bottom"/>
            <w:tcBorders>
              <w:top w:val="single" w:sz="8" w:color="0000EE"/>
              <w:bottom w:val="single" w:sz="8" w:color="342C82"/>
            </w:tcBorders>
          </w:tcPr>
          <w:p>
            <w:pPr>
              <w:spacing w:after="0"/>
              <w:rPr>
                <w:sz w:val="4"/>
                <w:szCs w:val="4"/>
                <w:color w:val="auto"/>
              </w:rPr>
            </w:pPr>
          </w:p>
        </w:tc>
        <w:tc>
          <w:tcPr>
            <w:tcW w:w="40" w:type="dxa"/>
            <w:vAlign w:val="bottom"/>
            <w:tcBorders>
              <w:top w:val="single" w:sz="8" w:color="0000EE"/>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2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18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380" w:type="dxa"/>
            <w:vAlign w:val="bottom"/>
            <w:tcBorders>
              <w:top w:val="single" w:sz="8" w:color="0000EE"/>
              <w:bottom w:val="single" w:sz="8" w:color="342C82"/>
            </w:tcBorders>
          </w:tcPr>
          <w:p>
            <w:pPr>
              <w:spacing w:after="0"/>
              <w:rPr>
                <w:sz w:val="4"/>
                <w:szCs w:val="4"/>
                <w:color w:val="auto"/>
              </w:rPr>
            </w:pPr>
          </w:p>
        </w:tc>
        <w:tc>
          <w:tcPr>
            <w:tcW w:w="340" w:type="dxa"/>
            <w:vAlign w:val="bottom"/>
            <w:tcBorders>
              <w:top w:val="single" w:sz="8" w:color="0000EE"/>
              <w:bottom w:val="single" w:sz="8" w:color="342C82"/>
            </w:tcBorders>
          </w:tcPr>
          <w:p>
            <w:pPr>
              <w:spacing w:after="0"/>
              <w:rPr>
                <w:sz w:val="4"/>
                <w:szCs w:val="4"/>
                <w:color w:val="auto"/>
              </w:rPr>
            </w:pPr>
          </w:p>
        </w:tc>
        <w:tc>
          <w:tcPr>
            <w:tcW w:w="1080" w:type="dxa"/>
            <w:vAlign w:val="bottom"/>
            <w:tcBorders>
              <w:top w:val="single" w:sz="8" w:color="0000EE"/>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560" w:type="dxa"/>
            <w:vAlign w:val="bottom"/>
            <w:tcBorders>
              <w:top w:val="single" w:sz="8" w:color="0000EE"/>
              <w:bottom w:val="single" w:sz="8" w:color="342C82"/>
            </w:tcBorders>
          </w:tcPr>
          <w:p>
            <w:pPr>
              <w:spacing w:after="0"/>
              <w:rPr>
                <w:sz w:val="4"/>
                <w:szCs w:val="4"/>
                <w:color w:val="auto"/>
              </w:rPr>
            </w:pPr>
          </w:p>
        </w:tc>
        <w:tc>
          <w:tcPr>
            <w:tcW w:w="180" w:type="dxa"/>
            <w:vAlign w:val="bottom"/>
            <w:tcBorders>
              <w:top w:val="single" w:sz="8" w:color="0000EE"/>
              <w:bottom w:val="single" w:sz="8" w:color="342C82"/>
            </w:tcBorders>
          </w:tcPr>
          <w:p>
            <w:pPr>
              <w:spacing w:after="0"/>
              <w:rPr>
                <w:sz w:val="4"/>
                <w:szCs w:val="4"/>
                <w:color w:val="auto"/>
              </w:rPr>
            </w:pPr>
          </w:p>
        </w:tc>
        <w:tc>
          <w:tcPr>
            <w:tcW w:w="1880" w:type="dxa"/>
            <w:vAlign w:val="bottom"/>
            <w:tcBorders>
              <w:bottom w:val="single" w:sz="8" w:color="342C82"/>
            </w:tcBorders>
          </w:tcPr>
          <w:p>
            <w:pPr>
              <w:spacing w:after="0"/>
              <w:rPr>
                <w:sz w:val="4"/>
                <w:szCs w:val="4"/>
                <w:color w:val="auto"/>
              </w:rPr>
            </w:pPr>
          </w:p>
        </w:tc>
        <w:tc>
          <w:tcPr>
            <w:tcW w:w="80" w:type="dxa"/>
            <w:vAlign w:val="bottom"/>
            <w:tcBorders>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80" w:type="dxa"/>
            <w:vAlign w:val="bottom"/>
            <w:tcBorders>
              <w:top w:val="single" w:sz="8" w:color="0000EE"/>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r>
      <w:tr>
        <w:trPr>
          <w:trHeight w:val="183"/>
        </w:trPr>
        <w:tc>
          <w:tcPr>
            <w:tcW w:w="40" w:type="dxa"/>
            <w:vAlign w:val="bottom"/>
          </w:tcPr>
          <w:p>
            <w:pPr>
              <w:spacing w:after="0"/>
              <w:rPr>
                <w:sz w:val="15"/>
                <w:szCs w:val="15"/>
                <w:color w:val="auto"/>
              </w:rPr>
            </w:pPr>
          </w:p>
        </w:tc>
        <w:tc>
          <w:tcPr>
            <w:tcW w:w="6200" w:type="dxa"/>
            <w:vAlign w:val="bottom"/>
            <w:gridSpan w:val="35"/>
          </w:tcPr>
          <w:p>
            <w:pPr>
              <w:ind w:left="240"/>
              <w:spacing w:after="0" w:line="183" w:lineRule="exact"/>
              <w:rPr>
                <w:sz w:val="20"/>
                <w:szCs w:val="20"/>
                <w:color w:val="auto"/>
              </w:rPr>
            </w:pPr>
            <w:r>
              <w:rPr>
                <w:rFonts w:ascii="Arial" w:cs="Arial" w:eastAsia="Arial" w:hAnsi="Arial"/>
                <w:sz w:val="16"/>
                <w:szCs w:val="16"/>
                <w:color w:val="0000EE"/>
              </w:rPr>
              <w:t>Householding</w:t>
            </w:r>
          </w:p>
        </w:tc>
        <w:tc>
          <w:tcPr>
            <w:tcW w:w="2180" w:type="dxa"/>
            <w:vAlign w:val="bottom"/>
            <w:gridSpan w:val="7"/>
          </w:tcPr>
          <w:p>
            <w:pPr>
              <w:jc w:val="right"/>
              <w:ind w:right="40"/>
              <w:spacing w:after="0" w:line="183" w:lineRule="exact"/>
              <w:rPr>
                <w:sz w:val="20"/>
                <w:szCs w:val="20"/>
                <w:color w:val="auto"/>
              </w:rPr>
            </w:pPr>
            <w:r>
              <w:rPr>
                <w:rFonts w:ascii="Arial" w:cs="Arial" w:eastAsia="Arial" w:hAnsi="Arial"/>
                <w:sz w:val="16"/>
                <w:szCs w:val="16"/>
                <w:color w:val="0000EE"/>
              </w:rPr>
              <w:t>71</w:t>
            </w:r>
          </w:p>
        </w:tc>
      </w:tr>
      <w:tr>
        <w:trPr>
          <w:trHeight w:val="48"/>
        </w:trPr>
        <w:tc>
          <w:tcPr>
            <w:tcW w:w="40" w:type="dxa"/>
            <w:vAlign w:val="bottom"/>
            <w:tcBorders>
              <w:bottom w:val="single" w:sz="8" w:color="342C82"/>
            </w:tcBorders>
          </w:tcPr>
          <w:p>
            <w:pPr>
              <w:spacing w:after="0"/>
              <w:rPr>
                <w:sz w:val="4"/>
                <w:szCs w:val="4"/>
                <w:color w:val="auto"/>
              </w:rPr>
            </w:pPr>
          </w:p>
        </w:tc>
        <w:tc>
          <w:tcPr>
            <w:tcW w:w="240" w:type="dxa"/>
            <w:vAlign w:val="bottom"/>
            <w:tcBorders>
              <w:bottom w:val="single" w:sz="8" w:color="342C82"/>
            </w:tcBorders>
          </w:tcPr>
          <w:p>
            <w:pPr>
              <w:spacing w:after="0"/>
              <w:rPr>
                <w:sz w:val="4"/>
                <w:szCs w:val="4"/>
                <w:color w:val="auto"/>
              </w:rPr>
            </w:pPr>
          </w:p>
        </w:tc>
        <w:tc>
          <w:tcPr>
            <w:tcW w:w="980" w:type="dxa"/>
            <w:vAlign w:val="bottom"/>
            <w:tcBorders>
              <w:top w:val="single" w:sz="8" w:color="0000EE"/>
              <w:bottom w:val="single" w:sz="8" w:color="342C82"/>
            </w:tcBorders>
          </w:tcPr>
          <w:p>
            <w:pPr>
              <w:spacing w:after="0"/>
              <w:rPr>
                <w:sz w:val="4"/>
                <w:szCs w:val="4"/>
                <w:color w:val="auto"/>
              </w:rPr>
            </w:pPr>
          </w:p>
        </w:tc>
        <w:tc>
          <w:tcPr>
            <w:tcW w:w="100" w:type="dxa"/>
            <w:vAlign w:val="bottom"/>
            <w:tcBorders>
              <w:bottom w:val="single" w:sz="8" w:color="342C82"/>
            </w:tcBorders>
          </w:tcPr>
          <w:p>
            <w:pPr>
              <w:spacing w:after="0"/>
              <w:rPr>
                <w:sz w:val="4"/>
                <w:szCs w:val="4"/>
                <w:color w:val="auto"/>
              </w:rPr>
            </w:pPr>
          </w:p>
        </w:tc>
        <w:tc>
          <w:tcPr>
            <w:tcW w:w="10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320" w:type="dxa"/>
            <w:vAlign w:val="bottom"/>
            <w:tcBorders>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160" w:type="dxa"/>
            <w:vAlign w:val="bottom"/>
            <w:tcBorders>
              <w:bottom w:val="single" w:sz="8" w:color="342C82"/>
            </w:tcBorders>
          </w:tcPr>
          <w:p>
            <w:pPr>
              <w:spacing w:after="0"/>
              <w:rPr>
                <w:sz w:val="4"/>
                <w:szCs w:val="4"/>
                <w:color w:val="auto"/>
              </w:rPr>
            </w:pPr>
          </w:p>
        </w:tc>
        <w:tc>
          <w:tcPr>
            <w:tcW w:w="2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80" w:type="dxa"/>
            <w:vAlign w:val="bottom"/>
            <w:tcBorders>
              <w:bottom w:val="single" w:sz="8" w:color="342C82"/>
            </w:tcBorders>
          </w:tcPr>
          <w:p>
            <w:pPr>
              <w:spacing w:after="0"/>
              <w:rPr>
                <w:sz w:val="4"/>
                <w:szCs w:val="4"/>
                <w:color w:val="auto"/>
              </w:rPr>
            </w:pPr>
          </w:p>
        </w:tc>
        <w:tc>
          <w:tcPr>
            <w:tcW w:w="16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28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2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18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380" w:type="dxa"/>
            <w:vAlign w:val="bottom"/>
            <w:tcBorders>
              <w:bottom w:val="single" w:sz="8" w:color="342C82"/>
            </w:tcBorders>
          </w:tcPr>
          <w:p>
            <w:pPr>
              <w:spacing w:after="0"/>
              <w:rPr>
                <w:sz w:val="4"/>
                <w:szCs w:val="4"/>
                <w:color w:val="auto"/>
              </w:rPr>
            </w:pPr>
          </w:p>
        </w:tc>
        <w:tc>
          <w:tcPr>
            <w:tcW w:w="340" w:type="dxa"/>
            <w:vAlign w:val="bottom"/>
            <w:tcBorders>
              <w:bottom w:val="single" w:sz="8" w:color="342C82"/>
            </w:tcBorders>
          </w:tcPr>
          <w:p>
            <w:pPr>
              <w:spacing w:after="0"/>
              <w:rPr>
                <w:sz w:val="4"/>
                <w:szCs w:val="4"/>
                <w:color w:val="auto"/>
              </w:rPr>
            </w:pPr>
          </w:p>
        </w:tc>
        <w:tc>
          <w:tcPr>
            <w:tcW w:w="108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560" w:type="dxa"/>
            <w:vAlign w:val="bottom"/>
            <w:tcBorders>
              <w:bottom w:val="single" w:sz="8" w:color="342C82"/>
            </w:tcBorders>
          </w:tcPr>
          <w:p>
            <w:pPr>
              <w:spacing w:after="0"/>
              <w:rPr>
                <w:sz w:val="4"/>
                <w:szCs w:val="4"/>
                <w:color w:val="auto"/>
              </w:rPr>
            </w:pPr>
          </w:p>
        </w:tc>
        <w:tc>
          <w:tcPr>
            <w:tcW w:w="180" w:type="dxa"/>
            <w:vAlign w:val="bottom"/>
            <w:tcBorders>
              <w:bottom w:val="single" w:sz="8" w:color="342C82"/>
            </w:tcBorders>
          </w:tcPr>
          <w:p>
            <w:pPr>
              <w:spacing w:after="0"/>
              <w:rPr>
                <w:sz w:val="4"/>
                <w:szCs w:val="4"/>
                <w:color w:val="auto"/>
              </w:rPr>
            </w:pPr>
          </w:p>
        </w:tc>
        <w:tc>
          <w:tcPr>
            <w:tcW w:w="1880" w:type="dxa"/>
            <w:vAlign w:val="bottom"/>
            <w:tcBorders>
              <w:bottom w:val="single" w:sz="8" w:color="342C82"/>
            </w:tcBorders>
          </w:tcPr>
          <w:p>
            <w:pPr>
              <w:spacing w:after="0"/>
              <w:rPr>
                <w:sz w:val="4"/>
                <w:szCs w:val="4"/>
                <w:color w:val="auto"/>
              </w:rPr>
            </w:pPr>
          </w:p>
        </w:tc>
        <w:tc>
          <w:tcPr>
            <w:tcW w:w="80" w:type="dxa"/>
            <w:vAlign w:val="bottom"/>
            <w:tcBorders>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80" w:type="dxa"/>
            <w:vAlign w:val="bottom"/>
            <w:tcBorders>
              <w:top w:val="single" w:sz="8" w:color="0000EE"/>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r>
      <w:tr>
        <w:trPr>
          <w:trHeight w:val="182"/>
        </w:trPr>
        <w:tc>
          <w:tcPr>
            <w:tcW w:w="40" w:type="dxa"/>
            <w:vAlign w:val="bottom"/>
          </w:tcPr>
          <w:p>
            <w:pPr>
              <w:spacing w:after="0"/>
              <w:rPr>
                <w:sz w:val="15"/>
                <w:szCs w:val="15"/>
                <w:color w:val="auto"/>
              </w:rPr>
            </w:pPr>
          </w:p>
        </w:tc>
        <w:tc>
          <w:tcPr>
            <w:tcW w:w="6200" w:type="dxa"/>
            <w:vAlign w:val="bottom"/>
            <w:gridSpan w:val="35"/>
          </w:tcPr>
          <w:p>
            <w:pPr>
              <w:ind w:left="240"/>
              <w:spacing w:after="0" w:line="183" w:lineRule="exact"/>
              <w:rPr>
                <w:sz w:val="20"/>
                <w:szCs w:val="20"/>
                <w:color w:val="auto"/>
              </w:rPr>
            </w:pPr>
            <w:r>
              <w:rPr>
                <w:rFonts w:ascii="Arial" w:cs="Arial" w:eastAsia="Arial" w:hAnsi="Arial"/>
                <w:sz w:val="16"/>
                <w:szCs w:val="16"/>
                <w:color w:val="0000EE"/>
              </w:rPr>
              <w:t>Other matters</w:t>
            </w:r>
          </w:p>
        </w:tc>
        <w:tc>
          <w:tcPr>
            <w:tcW w:w="2180" w:type="dxa"/>
            <w:vAlign w:val="bottom"/>
            <w:gridSpan w:val="7"/>
          </w:tcPr>
          <w:p>
            <w:pPr>
              <w:jc w:val="right"/>
              <w:ind w:right="40"/>
              <w:spacing w:after="0" w:line="183" w:lineRule="exact"/>
              <w:rPr>
                <w:sz w:val="20"/>
                <w:szCs w:val="20"/>
                <w:color w:val="auto"/>
              </w:rPr>
            </w:pPr>
            <w:r>
              <w:rPr>
                <w:rFonts w:ascii="Arial" w:cs="Arial" w:eastAsia="Arial" w:hAnsi="Arial"/>
                <w:sz w:val="16"/>
                <w:szCs w:val="16"/>
                <w:color w:val="0000EE"/>
              </w:rPr>
              <w:t>71</w:t>
            </w:r>
          </w:p>
        </w:tc>
      </w:tr>
      <w:tr>
        <w:trPr>
          <w:trHeight w:val="48"/>
        </w:trPr>
        <w:tc>
          <w:tcPr>
            <w:tcW w:w="40" w:type="dxa"/>
            <w:vAlign w:val="bottom"/>
            <w:tcBorders>
              <w:bottom w:val="single" w:sz="8" w:color="342C82"/>
            </w:tcBorders>
          </w:tcPr>
          <w:p>
            <w:pPr>
              <w:spacing w:after="0"/>
              <w:rPr>
                <w:sz w:val="4"/>
                <w:szCs w:val="4"/>
                <w:color w:val="auto"/>
              </w:rPr>
            </w:pPr>
          </w:p>
        </w:tc>
        <w:tc>
          <w:tcPr>
            <w:tcW w:w="240" w:type="dxa"/>
            <w:vAlign w:val="bottom"/>
            <w:tcBorders>
              <w:bottom w:val="single" w:sz="8" w:color="342C82"/>
            </w:tcBorders>
          </w:tcPr>
          <w:p>
            <w:pPr>
              <w:spacing w:after="0"/>
              <w:rPr>
                <w:sz w:val="4"/>
                <w:szCs w:val="4"/>
                <w:color w:val="auto"/>
              </w:rPr>
            </w:pPr>
          </w:p>
        </w:tc>
        <w:tc>
          <w:tcPr>
            <w:tcW w:w="980" w:type="dxa"/>
            <w:vAlign w:val="bottom"/>
            <w:tcBorders>
              <w:top w:val="single" w:sz="8" w:color="0000EE"/>
              <w:bottom w:val="single" w:sz="8" w:color="342C82"/>
            </w:tcBorders>
          </w:tcPr>
          <w:p>
            <w:pPr>
              <w:spacing w:after="0"/>
              <w:rPr>
                <w:sz w:val="4"/>
                <w:szCs w:val="4"/>
                <w:color w:val="auto"/>
              </w:rPr>
            </w:pPr>
          </w:p>
        </w:tc>
        <w:tc>
          <w:tcPr>
            <w:tcW w:w="100" w:type="dxa"/>
            <w:vAlign w:val="bottom"/>
            <w:tcBorders>
              <w:bottom w:val="single" w:sz="8" w:color="342C82"/>
            </w:tcBorders>
          </w:tcPr>
          <w:p>
            <w:pPr>
              <w:spacing w:after="0"/>
              <w:rPr>
                <w:sz w:val="4"/>
                <w:szCs w:val="4"/>
                <w:color w:val="auto"/>
              </w:rPr>
            </w:pPr>
          </w:p>
        </w:tc>
        <w:tc>
          <w:tcPr>
            <w:tcW w:w="10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320" w:type="dxa"/>
            <w:vAlign w:val="bottom"/>
            <w:tcBorders>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160" w:type="dxa"/>
            <w:vAlign w:val="bottom"/>
            <w:tcBorders>
              <w:bottom w:val="single" w:sz="8" w:color="342C82"/>
            </w:tcBorders>
          </w:tcPr>
          <w:p>
            <w:pPr>
              <w:spacing w:after="0"/>
              <w:rPr>
                <w:sz w:val="4"/>
                <w:szCs w:val="4"/>
                <w:color w:val="auto"/>
              </w:rPr>
            </w:pPr>
          </w:p>
        </w:tc>
        <w:tc>
          <w:tcPr>
            <w:tcW w:w="2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80" w:type="dxa"/>
            <w:vAlign w:val="bottom"/>
            <w:tcBorders>
              <w:bottom w:val="single" w:sz="8" w:color="342C82"/>
            </w:tcBorders>
          </w:tcPr>
          <w:p>
            <w:pPr>
              <w:spacing w:after="0"/>
              <w:rPr>
                <w:sz w:val="4"/>
                <w:szCs w:val="4"/>
                <w:color w:val="auto"/>
              </w:rPr>
            </w:pPr>
          </w:p>
        </w:tc>
        <w:tc>
          <w:tcPr>
            <w:tcW w:w="16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28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2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18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380" w:type="dxa"/>
            <w:vAlign w:val="bottom"/>
            <w:tcBorders>
              <w:bottom w:val="single" w:sz="8" w:color="342C82"/>
            </w:tcBorders>
          </w:tcPr>
          <w:p>
            <w:pPr>
              <w:spacing w:after="0"/>
              <w:rPr>
                <w:sz w:val="4"/>
                <w:szCs w:val="4"/>
                <w:color w:val="auto"/>
              </w:rPr>
            </w:pPr>
          </w:p>
        </w:tc>
        <w:tc>
          <w:tcPr>
            <w:tcW w:w="340" w:type="dxa"/>
            <w:vAlign w:val="bottom"/>
            <w:tcBorders>
              <w:bottom w:val="single" w:sz="8" w:color="342C82"/>
            </w:tcBorders>
          </w:tcPr>
          <w:p>
            <w:pPr>
              <w:spacing w:after="0"/>
              <w:rPr>
                <w:sz w:val="4"/>
                <w:szCs w:val="4"/>
                <w:color w:val="auto"/>
              </w:rPr>
            </w:pPr>
          </w:p>
        </w:tc>
        <w:tc>
          <w:tcPr>
            <w:tcW w:w="108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560" w:type="dxa"/>
            <w:vAlign w:val="bottom"/>
            <w:tcBorders>
              <w:bottom w:val="single" w:sz="8" w:color="342C82"/>
            </w:tcBorders>
          </w:tcPr>
          <w:p>
            <w:pPr>
              <w:spacing w:after="0"/>
              <w:rPr>
                <w:sz w:val="4"/>
                <w:szCs w:val="4"/>
                <w:color w:val="auto"/>
              </w:rPr>
            </w:pPr>
          </w:p>
        </w:tc>
        <w:tc>
          <w:tcPr>
            <w:tcW w:w="180" w:type="dxa"/>
            <w:vAlign w:val="bottom"/>
            <w:tcBorders>
              <w:bottom w:val="single" w:sz="8" w:color="342C82"/>
            </w:tcBorders>
          </w:tcPr>
          <w:p>
            <w:pPr>
              <w:spacing w:after="0"/>
              <w:rPr>
                <w:sz w:val="4"/>
                <w:szCs w:val="4"/>
                <w:color w:val="auto"/>
              </w:rPr>
            </w:pPr>
          </w:p>
        </w:tc>
        <w:tc>
          <w:tcPr>
            <w:tcW w:w="1880" w:type="dxa"/>
            <w:vAlign w:val="bottom"/>
            <w:tcBorders>
              <w:bottom w:val="single" w:sz="8" w:color="342C82"/>
            </w:tcBorders>
          </w:tcPr>
          <w:p>
            <w:pPr>
              <w:spacing w:after="0"/>
              <w:rPr>
                <w:sz w:val="4"/>
                <w:szCs w:val="4"/>
                <w:color w:val="auto"/>
              </w:rPr>
            </w:pPr>
          </w:p>
        </w:tc>
        <w:tc>
          <w:tcPr>
            <w:tcW w:w="80" w:type="dxa"/>
            <w:vAlign w:val="bottom"/>
            <w:tcBorders>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80" w:type="dxa"/>
            <w:vAlign w:val="bottom"/>
            <w:tcBorders>
              <w:top w:val="single" w:sz="8" w:color="0000EE"/>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r>
      <w:tr>
        <w:trPr>
          <w:trHeight w:val="183"/>
        </w:trPr>
        <w:tc>
          <w:tcPr>
            <w:tcW w:w="40" w:type="dxa"/>
            <w:vAlign w:val="bottom"/>
          </w:tcPr>
          <w:p>
            <w:pPr>
              <w:spacing w:after="0"/>
              <w:rPr>
                <w:sz w:val="15"/>
                <w:szCs w:val="15"/>
                <w:color w:val="auto"/>
              </w:rPr>
            </w:pPr>
          </w:p>
        </w:tc>
        <w:tc>
          <w:tcPr>
            <w:tcW w:w="6200" w:type="dxa"/>
            <w:vAlign w:val="bottom"/>
            <w:gridSpan w:val="35"/>
          </w:tcPr>
          <w:p>
            <w:pPr>
              <w:ind w:left="240"/>
              <w:spacing w:after="0" w:line="183" w:lineRule="exact"/>
              <w:rPr>
                <w:sz w:val="20"/>
                <w:szCs w:val="20"/>
                <w:color w:val="auto"/>
              </w:rPr>
            </w:pPr>
            <w:r>
              <w:rPr>
                <w:rFonts w:ascii="Arial" w:cs="Arial" w:eastAsia="Arial" w:hAnsi="Arial"/>
                <w:sz w:val="16"/>
                <w:szCs w:val="16"/>
                <w:color w:val="0000EE"/>
              </w:rPr>
              <w:t>Note about the Embecta website</w:t>
            </w:r>
          </w:p>
        </w:tc>
        <w:tc>
          <w:tcPr>
            <w:tcW w:w="2180" w:type="dxa"/>
            <w:vAlign w:val="bottom"/>
            <w:gridSpan w:val="7"/>
          </w:tcPr>
          <w:p>
            <w:pPr>
              <w:jc w:val="right"/>
              <w:ind w:right="40"/>
              <w:spacing w:after="0" w:line="183" w:lineRule="exact"/>
              <w:rPr>
                <w:sz w:val="20"/>
                <w:szCs w:val="20"/>
                <w:color w:val="auto"/>
              </w:rPr>
            </w:pPr>
            <w:r>
              <w:rPr>
                <w:rFonts w:ascii="Arial" w:cs="Arial" w:eastAsia="Arial" w:hAnsi="Arial"/>
                <w:sz w:val="16"/>
                <w:szCs w:val="16"/>
                <w:color w:val="0000EE"/>
              </w:rPr>
              <w:t>71</w:t>
            </w:r>
          </w:p>
        </w:tc>
      </w:tr>
      <w:tr>
        <w:trPr>
          <w:trHeight w:val="48"/>
        </w:trPr>
        <w:tc>
          <w:tcPr>
            <w:tcW w:w="40" w:type="dxa"/>
            <w:vAlign w:val="bottom"/>
            <w:tcBorders>
              <w:bottom w:val="single" w:sz="8" w:color="342C82"/>
            </w:tcBorders>
          </w:tcPr>
          <w:p>
            <w:pPr>
              <w:spacing w:after="0"/>
              <w:rPr>
                <w:sz w:val="4"/>
                <w:szCs w:val="4"/>
                <w:color w:val="auto"/>
              </w:rPr>
            </w:pPr>
          </w:p>
        </w:tc>
        <w:tc>
          <w:tcPr>
            <w:tcW w:w="240" w:type="dxa"/>
            <w:vAlign w:val="bottom"/>
            <w:tcBorders>
              <w:bottom w:val="single" w:sz="8" w:color="342C82"/>
            </w:tcBorders>
          </w:tcPr>
          <w:p>
            <w:pPr>
              <w:spacing w:after="0"/>
              <w:rPr>
                <w:sz w:val="4"/>
                <w:szCs w:val="4"/>
                <w:color w:val="auto"/>
              </w:rPr>
            </w:pPr>
          </w:p>
        </w:tc>
        <w:tc>
          <w:tcPr>
            <w:tcW w:w="980" w:type="dxa"/>
            <w:vAlign w:val="bottom"/>
            <w:tcBorders>
              <w:top w:val="single" w:sz="8" w:color="0000EE"/>
              <w:bottom w:val="single" w:sz="8" w:color="342C82"/>
            </w:tcBorders>
          </w:tcPr>
          <w:p>
            <w:pPr>
              <w:spacing w:after="0"/>
              <w:rPr>
                <w:sz w:val="4"/>
                <w:szCs w:val="4"/>
                <w:color w:val="auto"/>
              </w:rPr>
            </w:pPr>
          </w:p>
        </w:tc>
        <w:tc>
          <w:tcPr>
            <w:tcW w:w="100" w:type="dxa"/>
            <w:vAlign w:val="bottom"/>
            <w:tcBorders>
              <w:top w:val="single" w:sz="8" w:color="0000EE"/>
              <w:bottom w:val="single" w:sz="8" w:color="342C82"/>
            </w:tcBorders>
          </w:tcPr>
          <w:p>
            <w:pPr>
              <w:spacing w:after="0"/>
              <w:rPr>
                <w:sz w:val="4"/>
                <w:szCs w:val="4"/>
                <w:color w:val="auto"/>
              </w:rPr>
            </w:pPr>
          </w:p>
        </w:tc>
        <w:tc>
          <w:tcPr>
            <w:tcW w:w="10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320" w:type="dxa"/>
            <w:vAlign w:val="bottom"/>
            <w:tcBorders>
              <w:top w:val="single" w:sz="8" w:color="0000EE"/>
              <w:bottom w:val="single" w:sz="8" w:color="342C82"/>
            </w:tcBorders>
          </w:tcPr>
          <w:p>
            <w:pPr>
              <w:spacing w:after="0"/>
              <w:rPr>
                <w:sz w:val="4"/>
                <w:szCs w:val="4"/>
                <w:color w:val="auto"/>
              </w:rPr>
            </w:pPr>
          </w:p>
        </w:tc>
        <w:tc>
          <w:tcPr>
            <w:tcW w:w="4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160" w:type="dxa"/>
            <w:vAlign w:val="bottom"/>
            <w:tcBorders>
              <w:top w:val="single" w:sz="8" w:color="0000EE"/>
              <w:bottom w:val="single" w:sz="8" w:color="342C82"/>
            </w:tcBorders>
          </w:tcPr>
          <w:p>
            <w:pPr>
              <w:spacing w:after="0"/>
              <w:rPr>
                <w:sz w:val="4"/>
                <w:szCs w:val="4"/>
                <w:color w:val="auto"/>
              </w:rPr>
            </w:pPr>
          </w:p>
        </w:tc>
        <w:tc>
          <w:tcPr>
            <w:tcW w:w="2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80" w:type="dxa"/>
            <w:vAlign w:val="bottom"/>
            <w:tcBorders>
              <w:top w:val="single" w:sz="8" w:color="0000EE"/>
              <w:bottom w:val="single" w:sz="8" w:color="342C82"/>
            </w:tcBorders>
          </w:tcPr>
          <w:p>
            <w:pPr>
              <w:spacing w:after="0"/>
              <w:rPr>
                <w:sz w:val="4"/>
                <w:szCs w:val="4"/>
                <w:color w:val="auto"/>
              </w:rPr>
            </w:pPr>
          </w:p>
        </w:tc>
        <w:tc>
          <w:tcPr>
            <w:tcW w:w="160" w:type="dxa"/>
            <w:vAlign w:val="bottom"/>
            <w:tcBorders>
              <w:top w:val="single" w:sz="8" w:color="0000EE"/>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28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22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180" w:type="dxa"/>
            <w:vAlign w:val="bottom"/>
            <w:tcBorders>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380" w:type="dxa"/>
            <w:vAlign w:val="bottom"/>
            <w:tcBorders>
              <w:bottom w:val="single" w:sz="8" w:color="342C82"/>
            </w:tcBorders>
          </w:tcPr>
          <w:p>
            <w:pPr>
              <w:spacing w:after="0"/>
              <w:rPr>
                <w:sz w:val="4"/>
                <w:szCs w:val="4"/>
                <w:color w:val="auto"/>
              </w:rPr>
            </w:pPr>
          </w:p>
        </w:tc>
        <w:tc>
          <w:tcPr>
            <w:tcW w:w="340" w:type="dxa"/>
            <w:vAlign w:val="bottom"/>
            <w:tcBorders>
              <w:bottom w:val="single" w:sz="8" w:color="342C82"/>
            </w:tcBorders>
          </w:tcPr>
          <w:p>
            <w:pPr>
              <w:spacing w:after="0"/>
              <w:rPr>
                <w:sz w:val="4"/>
                <w:szCs w:val="4"/>
                <w:color w:val="auto"/>
              </w:rPr>
            </w:pPr>
          </w:p>
        </w:tc>
        <w:tc>
          <w:tcPr>
            <w:tcW w:w="108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560" w:type="dxa"/>
            <w:vAlign w:val="bottom"/>
            <w:tcBorders>
              <w:bottom w:val="single" w:sz="8" w:color="342C82"/>
            </w:tcBorders>
          </w:tcPr>
          <w:p>
            <w:pPr>
              <w:spacing w:after="0"/>
              <w:rPr>
                <w:sz w:val="4"/>
                <w:szCs w:val="4"/>
                <w:color w:val="auto"/>
              </w:rPr>
            </w:pPr>
          </w:p>
        </w:tc>
        <w:tc>
          <w:tcPr>
            <w:tcW w:w="180" w:type="dxa"/>
            <w:vAlign w:val="bottom"/>
            <w:tcBorders>
              <w:bottom w:val="single" w:sz="8" w:color="342C82"/>
            </w:tcBorders>
          </w:tcPr>
          <w:p>
            <w:pPr>
              <w:spacing w:after="0"/>
              <w:rPr>
                <w:sz w:val="4"/>
                <w:szCs w:val="4"/>
                <w:color w:val="auto"/>
              </w:rPr>
            </w:pPr>
          </w:p>
        </w:tc>
        <w:tc>
          <w:tcPr>
            <w:tcW w:w="1880" w:type="dxa"/>
            <w:vAlign w:val="bottom"/>
            <w:tcBorders>
              <w:bottom w:val="single" w:sz="8" w:color="342C82"/>
            </w:tcBorders>
          </w:tcPr>
          <w:p>
            <w:pPr>
              <w:spacing w:after="0"/>
              <w:rPr>
                <w:sz w:val="4"/>
                <w:szCs w:val="4"/>
                <w:color w:val="auto"/>
              </w:rPr>
            </w:pPr>
          </w:p>
        </w:tc>
        <w:tc>
          <w:tcPr>
            <w:tcW w:w="80" w:type="dxa"/>
            <w:vAlign w:val="bottom"/>
            <w:tcBorders>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80" w:type="dxa"/>
            <w:vAlign w:val="bottom"/>
            <w:tcBorders>
              <w:top w:val="single" w:sz="8" w:color="0000EE"/>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r>
      <w:tr>
        <w:trPr>
          <w:trHeight w:val="183"/>
        </w:trPr>
        <w:tc>
          <w:tcPr>
            <w:tcW w:w="40" w:type="dxa"/>
            <w:vAlign w:val="bottom"/>
          </w:tcPr>
          <w:p>
            <w:pPr>
              <w:spacing w:after="0"/>
              <w:rPr>
                <w:sz w:val="15"/>
                <w:szCs w:val="15"/>
                <w:color w:val="auto"/>
              </w:rPr>
            </w:pPr>
          </w:p>
        </w:tc>
        <w:tc>
          <w:tcPr>
            <w:tcW w:w="6200" w:type="dxa"/>
            <w:vAlign w:val="bottom"/>
            <w:gridSpan w:val="35"/>
          </w:tcPr>
          <w:p>
            <w:pPr>
              <w:ind w:left="240"/>
              <w:spacing w:after="0" w:line="183" w:lineRule="exact"/>
              <w:rPr>
                <w:sz w:val="20"/>
                <w:szCs w:val="20"/>
                <w:color w:val="auto"/>
              </w:rPr>
            </w:pPr>
            <w:r>
              <w:rPr>
                <w:rFonts w:ascii="Arial" w:cs="Arial" w:eastAsia="Arial" w:hAnsi="Arial"/>
                <w:sz w:val="16"/>
                <w:szCs w:val="16"/>
                <w:color w:val="0000EE"/>
              </w:rPr>
              <w:t>Cautionary note on forward-looking statements</w:t>
            </w:r>
          </w:p>
        </w:tc>
        <w:tc>
          <w:tcPr>
            <w:tcW w:w="2180" w:type="dxa"/>
            <w:vAlign w:val="bottom"/>
            <w:gridSpan w:val="7"/>
          </w:tcPr>
          <w:p>
            <w:pPr>
              <w:jc w:val="right"/>
              <w:ind w:right="40"/>
              <w:spacing w:after="0" w:line="183" w:lineRule="exact"/>
              <w:rPr>
                <w:sz w:val="20"/>
                <w:szCs w:val="20"/>
                <w:color w:val="auto"/>
              </w:rPr>
            </w:pPr>
            <w:r>
              <w:rPr>
                <w:rFonts w:ascii="Arial" w:cs="Arial" w:eastAsia="Arial" w:hAnsi="Arial"/>
                <w:sz w:val="16"/>
                <w:szCs w:val="16"/>
                <w:color w:val="0000EE"/>
              </w:rPr>
              <w:t>71</w:t>
            </w:r>
          </w:p>
        </w:tc>
      </w:tr>
      <w:tr>
        <w:trPr>
          <w:trHeight w:val="48"/>
        </w:trPr>
        <w:tc>
          <w:tcPr>
            <w:tcW w:w="40" w:type="dxa"/>
            <w:vAlign w:val="bottom"/>
            <w:tcBorders>
              <w:bottom w:val="single" w:sz="8" w:color="342C82"/>
            </w:tcBorders>
          </w:tcPr>
          <w:p>
            <w:pPr>
              <w:spacing w:after="0"/>
              <w:rPr>
                <w:sz w:val="4"/>
                <w:szCs w:val="4"/>
                <w:color w:val="auto"/>
              </w:rPr>
            </w:pPr>
          </w:p>
        </w:tc>
        <w:tc>
          <w:tcPr>
            <w:tcW w:w="240" w:type="dxa"/>
            <w:vAlign w:val="bottom"/>
            <w:tcBorders>
              <w:bottom w:val="single" w:sz="8" w:color="342C82"/>
            </w:tcBorders>
          </w:tcPr>
          <w:p>
            <w:pPr>
              <w:spacing w:after="0"/>
              <w:rPr>
                <w:sz w:val="4"/>
                <w:szCs w:val="4"/>
                <w:color w:val="auto"/>
              </w:rPr>
            </w:pPr>
          </w:p>
        </w:tc>
        <w:tc>
          <w:tcPr>
            <w:tcW w:w="980" w:type="dxa"/>
            <w:vAlign w:val="bottom"/>
            <w:tcBorders>
              <w:top w:val="single" w:sz="8" w:color="0000EE"/>
              <w:bottom w:val="single" w:sz="8" w:color="342C82"/>
            </w:tcBorders>
          </w:tcPr>
          <w:p>
            <w:pPr>
              <w:spacing w:after="0"/>
              <w:rPr>
                <w:sz w:val="4"/>
                <w:szCs w:val="4"/>
                <w:color w:val="auto"/>
              </w:rPr>
            </w:pPr>
          </w:p>
        </w:tc>
        <w:tc>
          <w:tcPr>
            <w:tcW w:w="100" w:type="dxa"/>
            <w:vAlign w:val="bottom"/>
            <w:tcBorders>
              <w:top w:val="single" w:sz="8" w:color="0000EE"/>
              <w:bottom w:val="single" w:sz="8" w:color="342C82"/>
            </w:tcBorders>
          </w:tcPr>
          <w:p>
            <w:pPr>
              <w:spacing w:after="0"/>
              <w:rPr>
                <w:sz w:val="4"/>
                <w:szCs w:val="4"/>
                <w:color w:val="auto"/>
              </w:rPr>
            </w:pPr>
          </w:p>
        </w:tc>
        <w:tc>
          <w:tcPr>
            <w:tcW w:w="10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320" w:type="dxa"/>
            <w:vAlign w:val="bottom"/>
            <w:tcBorders>
              <w:top w:val="single" w:sz="8" w:color="0000EE"/>
              <w:bottom w:val="single" w:sz="8" w:color="342C82"/>
            </w:tcBorders>
          </w:tcPr>
          <w:p>
            <w:pPr>
              <w:spacing w:after="0"/>
              <w:rPr>
                <w:sz w:val="4"/>
                <w:szCs w:val="4"/>
                <w:color w:val="auto"/>
              </w:rPr>
            </w:pPr>
          </w:p>
        </w:tc>
        <w:tc>
          <w:tcPr>
            <w:tcW w:w="4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160" w:type="dxa"/>
            <w:vAlign w:val="bottom"/>
            <w:tcBorders>
              <w:top w:val="single" w:sz="8" w:color="0000EE"/>
              <w:bottom w:val="single" w:sz="8" w:color="342C82"/>
            </w:tcBorders>
          </w:tcPr>
          <w:p>
            <w:pPr>
              <w:spacing w:after="0"/>
              <w:rPr>
                <w:sz w:val="4"/>
                <w:szCs w:val="4"/>
                <w:color w:val="auto"/>
              </w:rPr>
            </w:pPr>
          </w:p>
        </w:tc>
        <w:tc>
          <w:tcPr>
            <w:tcW w:w="2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80" w:type="dxa"/>
            <w:vAlign w:val="bottom"/>
            <w:tcBorders>
              <w:top w:val="single" w:sz="8" w:color="0000EE"/>
              <w:bottom w:val="single" w:sz="8" w:color="342C82"/>
            </w:tcBorders>
          </w:tcPr>
          <w:p>
            <w:pPr>
              <w:spacing w:after="0"/>
              <w:rPr>
                <w:sz w:val="4"/>
                <w:szCs w:val="4"/>
                <w:color w:val="auto"/>
              </w:rPr>
            </w:pPr>
          </w:p>
        </w:tc>
        <w:tc>
          <w:tcPr>
            <w:tcW w:w="160" w:type="dxa"/>
            <w:vAlign w:val="bottom"/>
            <w:tcBorders>
              <w:top w:val="single" w:sz="8" w:color="0000EE"/>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280" w:type="dxa"/>
            <w:vAlign w:val="bottom"/>
            <w:tcBorders>
              <w:top w:val="single" w:sz="8" w:color="0000EE"/>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40" w:type="dxa"/>
            <w:vAlign w:val="bottom"/>
            <w:tcBorders>
              <w:top w:val="single" w:sz="8" w:color="0000EE"/>
              <w:bottom w:val="single" w:sz="8" w:color="342C82"/>
            </w:tcBorders>
          </w:tcPr>
          <w:p>
            <w:pPr>
              <w:spacing w:after="0"/>
              <w:rPr>
                <w:sz w:val="4"/>
                <w:szCs w:val="4"/>
                <w:color w:val="auto"/>
              </w:rPr>
            </w:pPr>
          </w:p>
        </w:tc>
        <w:tc>
          <w:tcPr>
            <w:tcW w:w="40" w:type="dxa"/>
            <w:vAlign w:val="bottom"/>
            <w:tcBorders>
              <w:top w:val="single" w:sz="8" w:color="0000EE"/>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2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180" w:type="dxa"/>
            <w:vAlign w:val="bottom"/>
            <w:tcBorders>
              <w:top w:val="single" w:sz="8" w:color="0000EE"/>
              <w:bottom w:val="single" w:sz="8" w:color="342C82"/>
            </w:tcBorders>
          </w:tcPr>
          <w:p>
            <w:pPr>
              <w:spacing w:after="0"/>
              <w:rPr>
                <w:sz w:val="4"/>
                <w:szCs w:val="4"/>
                <w:color w:val="auto"/>
              </w:rPr>
            </w:pPr>
          </w:p>
        </w:tc>
        <w:tc>
          <w:tcPr>
            <w:tcW w:w="20" w:type="dxa"/>
            <w:vAlign w:val="bottom"/>
            <w:tcBorders>
              <w:bottom w:val="single" w:sz="8" w:color="342C82"/>
            </w:tcBorders>
          </w:tcPr>
          <w:p>
            <w:pPr>
              <w:spacing w:after="0"/>
              <w:rPr>
                <w:sz w:val="4"/>
                <w:szCs w:val="4"/>
                <w:color w:val="auto"/>
              </w:rPr>
            </w:pPr>
          </w:p>
        </w:tc>
        <w:tc>
          <w:tcPr>
            <w:tcW w:w="380" w:type="dxa"/>
            <w:vAlign w:val="bottom"/>
            <w:tcBorders>
              <w:bottom w:val="single" w:sz="8" w:color="342C82"/>
            </w:tcBorders>
          </w:tcPr>
          <w:p>
            <w:pPr>
              <w:spacing w:after="0"/>
              <w:rPr>
                <w:sz w:val="4"/>
                <w:szCs w:val="4"/>
                <w:color w:val="auto"/>
              </w:rPr>
            </w:pPr>
          </w:p>
        </w:tc>
        <w:tc>
          <w:tcPr>
            <w:tcW w:w="340" w:type="dxa"/>
            <w:vAlign w:val="bottom"/>
            <w:tcBorders>
              <w:bottom w:val="single" w:sz="8" w:color="342C82"/>
            </w:tcBorders>
          </w:tcPr>
          <w:p>
            <w:pPr>
              <w:spacing w:after="0"/>
              <w:rPr>
                <w:sz w:val="4"/>
                <w:szCs w:val="4"/>
                <w:color w:val="auto"/>
              </w:rPr>
            </w:pPr>
          </w:p>
        </w:tc>
        <w:tc>
          <w:tcPr>
            <w:tcW w:w="108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560" w:type="dxa"/>
            <w:vAlign w:val="bottom"/>
            <w:tcBorders>
              <w:bottom w:val="single" w:sz="8" w:color="342C82"/>
            </w:tcBorders>
          </w:tcPr>
          <w:p>
            <w:pPr>
              <w:spacing w:after="0"/>
              <w:rPr>
                <w:sz w:val="4"/>
                <w:szCs w:val="4"/>
                <w:color w:val="auto"/>
              </w:rPr>
            </w:pPr>
          </w:p>
        </w:tc>
        <w:tc>
          <w:tcPr>
            <w:tcW w:w="180" w:type="dxa"/>
            <w:vAlign w:val="bottom"/>
            <w:tcBorders>
              <w:bottom w:val="single" w:sz="8" w:color="342C82"/>
            </w:tcBorders>
          </w:tcPr>
          <w:p>
            <w:pPr>
              <w:spacing w:after="0"/>
              <w:rPr>
                <w:sz w:val="4"/>
                <w:szCs w:val="4"/>
                <w:color w:val="auto"/>
              </w:rPr>
            </w:pPr>
          </w:p>
        </w:tc>
        <w:tc>
          <w:tcPr>
            <w:tcW w:w="1880" w:type="dxa"/>
            <w:vAlign w:val="bottom"/>
            <w:tcBorders>
              <w:bottom w:val="single" w:sz="8" w:color="342C82"/>
            </w:tcBorders>
          </w:tcPr>
          <w:p>
            <w:pPr>
              <w:spacing w:after="0"/>
              <w:rPr>
                <w:sz w:val="4"/>
                <w:szCs w:val="4"/>
                <w:color w:val="auto"/>
              </w:rPr>
            </w:pPr>
          </w:p>
        </w:tc>
        <w:tc>
          <w:tcPr>
            <w:tcW w:w="80" w:type="dxa"/>
            <w:vAlign w:val="bottom"/>
            <w:tcBorders>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80" w:type="dxa"/>
            <w:vAlign w:val="bottom"/>
            <w:tcBorders>
              <w:top w:val="single" w:sz="8" w:color="0000EE"/>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r>
      <w:tr>
        <w:trPr>
          <w:trHeight w:val="183"/>
        </w:trPr>
        <w:tc>
          <w:tcPr>
            <w:tcW w:w="40" w:type="dxa"/>
            <w:vAlign w:val="bottom"/>
          </w:tcPr>
          <w:p>
            <w:pPr>
              <w:spacing w:after="0"/>
              <w:rPr>
                <w:sz w:val="15"/>
                <w:szCs w:val="15"/>
                <w:color w:val="auto"/>
              </w:rPr>
            </w:pPr>
          </w:p>
        </w:tc>
        <w:tc>
          <w:tcPr>
            <w:tcW w:w="6200" w:type="dxa"/>
            <w:vAlign w:val="bottom"/>
            <w:gridSpan w:val="35"/>
          </w:tcPr>
          <w:p>
            <w:pPr>
              <w:spacing w:after="0" w:line="183" w:lineRule="exact"/>
              <w:rPr>
                <w:sz w:val="20"/>
                <w:szCs w:val="20"/>
                <w:color w:val="auto"/>
              </w:rPr>
            </w:pPr>
            <w:r>
              <w:rPr>
                <w:rFonts w:ascii="Arial" w:cs="Arial" w:eastAsia="Arial" w:hAnsi="Arial"/>
                <w:sz w:val="16"/>
                <w:szCs w:val="16"/>
                <w:color w:val="0000EE"/>
              </w:rPr>
              <w:t>Appendix A: Reconciliation of non-GAAP financial measures</w:t>
            </w:r>
          </w:p>
        </w:tc>
        <w:tc>
          <w:tcPr>
            <w:tcW w:w="2180" w:type="dxa"/>
            <w:vAlign w:val="bottom"/>
            <w:gridSpan w:val="7"/>
          </w:tcPr>
          <w:p>
            <w:pPr>
              <w:jc w:val="right"/>
              <w:ind w:right="40"/>
              <w:spacing w:after="0" w:line="183" w:lineRule="exact"/>
              <w:rPr>
                <w:sz w:val="20"/>
                <w:szCs w:val="20"/>
                <w:color w:val="auto"/>
              </w:rPr>
            </w:pPr>
            <w:r>
              <w:rPr>
                <w:rFonts w:ascii="Arial" w:cs="Arial" w:eastAsia="Arial" w:hAnsi="Arial"/>
                <w:sz w:val="16"/>
                <w:szCs w:val="16"/>
                <w:color w:val="0000EE"/>
              </w:rPr>
              <w:t>A-1</w:t>
            </w:r>
          </w:p>
        </w:tc>
      </w:tr>
      <w:tr>
        <w:trPr>
          <w:trHeight w:val="48"/>
        </w:trPr>
        <w:tc>
          <w:tcPr>
            <w:tcW w:w="40" w:type="dxa"/>
            <w:vAlign w:val="bottom"/>
            <w:tcBorders>
              <w:bottom w:val="single" w:sz="8" w:color="342C82"/>
            </w:tcBorders>
          </w:tcPr>
          <w:p>
            <w:pPr>
              <w:spacing w:after="0"/>
              <w:rPr>
                <w:sz w:val="4"/>
                <w:szCs w:val="4"/>
                <w:color w:val="auto"/>
              </w:rPr>
            </w:pPr>
          </w:p>
        </w:tc>
        <w:tc>
          <w:tcPr>
            <w:tcW w:w="240" w:type="dxa"/>
            <w:vAlign w:val="bottom"/>
            <w:tcBorders>
              <w:top w:val="single" w:sz="8" w:color="0000EE"/>
              <w:bottom w:val="single" w:sz="8" w:color="342C82"/>
            </w:tcBorders>
          </w:tcPr>
          <w:p>
            <w:pPr>
              <w:spacing w:after="0"/>
              <w:rPr>
                <w:sz w:val="4"/>
                <w:szCs w:val="4"/>
                <w:color w:val="auto"/>
              </w:rPr>
            </w:pPr>
          </w:p>
        </w:tc>
        <w:tc>
          <w:tcPr>
            <w:tcW w:w="980" w:type="dxa"/>
            <w:vAlign w:val="bottom"/>
            <w:tcBorders>
              <w:top w:val="single" w:sz="8" w:color="0000EE"/>
              <w:bottom w:val="single" w:sz="8" w:color="342C82"/>
            </w:tcBorders>
          </w:tcPr>
          <w:p>
            <w:pPr>
              <w:spacing w:after="0"/>
              <w:rPr>
                <w:sz w:val="4"/>
                <w:szCs w:val="4"/>
                <w:color w:val="auto"/>
              </w:rPr>
            </w:pPr>
          </w:p>
        </w:tc>
        <w:tc>
          <w:tcPr>
            <w:tcW w:w="100" w:type="dxa"/>
            <w:vAlign w:val="bottom"/>
            <w:tcBorders>
              <w:top w:val="single" w:sz="8" w:color="0000EE"/>
              <w:bottom w:val="single" w:sz="8" w:color="342C82"/>
            </w:tcBorders>
          </w:tcPr>
          <w:p>
            <w:pPr>
              <w:spacing w:after="0"/>
              <w:rPr>
                <w:sz w:val="4"/>
                <w:szCs w:val="4"/>
                <w:color w:val="auto"/>
              </w:rPr>
            </w:pPr>
          </w:p>
        </w:tc>
        <w:tc>
          <w:tcPr>
            <w:tcW w:w="10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320" w:type="dxa"/>
            <w:vAlign w:val="bottom"/>
            <w:tcBorders>
              <w:top w:val="single" w:sz="8" w:color="0000EE"/>
              <w:bottom w:val="single" w:sz="8" w:color="342C82"/>
            </w:tcBorders>
          </w:tcPr>
          <w:p>
            <w:pPr>
              <w:spacing w:after="0"/>
              <w:rPr>
                <w:sz w:val="4"/>
                <w:szCs w:val="4"/>
                <w:color w:val="auto"/>
              </w:rPr>
            </w:pPr>
          </w:p>
        </w:tc>
        <w:tc>
          <w:tcPr>
            <w:tcW w:w="4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160" w:type="dxa"/>
            <w:vAlign w:val="bottom"/>
            <w:tcBorders>
              <w:top w:val="single" w:sz="8" w:color="0000EE"/>
              <w:bottom w:val="single" w:sz="8" w:color="342C82"/>
            </w:tcBorders>
          </w:tcPr>
          <w:p>
            <w:pPr>
              <w:spacing w:after="0"/>
              <w:rPr>
                <w:sz w:val="4"/>
                <w:szCs w:val="4"/>
                <w:color w:val="auto"/>
              </w:rPr>
            </w:pPr>
          </w:p>
        </w:tc>
        <w:tc>
          <w:tcPr>
            <w:tcW w:w="2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80" w:type="dxa"/>
            <w:vAlign w:val="bottom"/>
            <w:tcBorders>
              <w:top w:val="single" w:sz="8" w:color="0000EE"/>
              <w:bottom w:val="single" w:sz="8" w:color="342C82"/>
            </w:tcBorders>
          </w:tcPr>
          <w:p>
            <w:pPr>
              <w:spacing w:after="0"/>
              <w:rPr>
                <w:sz w:val="4"/>
                <w:szCs w:val="4"/>
                <w:color w:val="auto"/>
              </w:rPr>
            </w:pPr>
          </w:p>
        </w:tc>
        <w:tc>
          <w:tcPr>
            <w:tcW w:w="160" w:type="dxa"/>
            <w:vAlign w:val="bottom"/>
            <w:tcBorders>
              <w:top w:val="single" w:sz="8" w:color="0000EE"/>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280" w:type="dxa"/>
            <w:vAlign w:val="bottom"/>
            <w:tcBorders>
              <w:top w:val="single" w:sz="8" w:color="0000EE"/>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40" w:type="dxa"/>
            <w:vAlign w:val="bottom"/>
            <w:tcBorders>
              <w:top w:val="single" w:sz="8" w:color="0000EE"/>
              <w:bottom w:val="single" w:sz="8" w:color="342C82"/>
            </w:tcBorders>
          </w:tcPr>
          <w:p>
            <w:pPr>
              <w:spacing w:after="0"/>
              <w:rPr>
                <w:sz w:val="4"/>
                <w:szCs w:val="4"/>
                <w:color w:val="auto"/>
              </w:rPr>
            </w:pPr>
          </w:p>
        </w:tc>
        <w:tc>
          <w:tcPr>
            <w:tcW w:w="40" w:type="dxa"/>
            <w:vAlign w:val="bottom"/>
            <w:tcBorders>
              <w:top w:val="single" w:sz="8" w:color="0000EE"/>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2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18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380" w:type="dxa"/>
            <w:vAlign w:val="bottom"/>
            <w:tcBorders>
              <w:top w:val="single" w:sz="8" w:color="0000EE"/>
              <w:bottom w:val="single" w:sz="8" w:color="342C82"/>
            </w:tcBorders>
          </w:tcPr>
          <w:p>
            <w:pPr>
              <w:spacing w:after="0"/>
              <w:rPr>
                <w:sz w:val="4"/>
                <w:szCs w:val="4"/>
                <w:color w:val="auto"/>
              </w:rPr>
            </w:pPr>
          </w:p>
        </w:tc>
        <w:tc>
          <w:tcPr>
            <w:tcW w:w="340" w:type="dxa"/>
            <w:vAlign w:val="bottom"/>
            <w:tcBorders>
              <w:top w:val="single" w:sz="8" w:color="0000EE"/>
              <w:bottom w:val="single" w:sz="8" w:color="342C82"/>
            </w:tcBorders>
          </w:tcPr>
          <w:p>
            <w:pPr>
              <w:spacing w:after="0"/>
              <w:rPr>
                <w:sz w:val="4"/>
                <w:szCs w:val="4"/>
                <w:color w:val="auto"/>
              </w:rPr>
            </w:pPr>
          </w:p>
        </w:tc>
        <w:tc>
          <w:tcPr>
            <w:tcW w:w="1080" w:type="dxa"/>
            <w:vAlign w:val="bottom"/>
            <w:tcBorders>
              <w:bottom w:val="single" w:sz="8" w:color="342C82"/>
            </w:tcBorders>
          </w:tcPr>
          <w:p>
            <w:pPr>
              <w:spacing w:after="0"/>
              <w:rPr>
                <w:sz w:val="4"/>
                <w:szCs w:val="4"/>
                <w:color w:val="auto"/>
              </w:rPr>
            </w:pPr>
          </w:p>
        </w:tc>
        <w:tc>
          <w:tcPr>
            <w:tcW w:w="60" w:type="dxa"/>
            <w:vAlign w:val="bottom"/>
            <w:tcBorders>
              <w:bottom w:val="single" w:sz="8" w:color="342C82"/>
            </w:tcBorders>
          </w:tcPr>
          <w:p>
            <w:pPr>
              <w:spacing w:after="0"/>
              <w:rPr>
                <w:sz w:val="4"/>
                <w:szCs w:val="4"/>
                <w:color w:val="auto"/>
              </w:rPr>
            </w:pPr>
          </w:p>
        </w:tc>
        <w:tc>
          <w:tcPr>
            <w:tcW w:w="560" w:type="dxa"/>
            <w:vAlign w:val="bottom"/>
            <w:tcBorders>
              <w:bottom w:val="single" w:sz="8" w:color="342C82"/>
            </w:tcBorders>
          </w:tcPr>
          <w:p>
            <w:pPr>
              <w:spacing w:after="0"/>
              <w:rPr>
                <w:sz w:val="4"/>
                <w:szCs w:val="4"/>
                <w:color w:val="auto"/>
              </w:rPr>
            </w:pPr>
          </w:p>
        </w:tc>
        <w:tc>
          <w:tcPr>
            <w:tcW w:w="180" w:type="dxa"/>
            <w:vAlign w:val="bottom"/>
            <w:tcBorders>
              <w:bottom w:val="single" w:sz="8" w:color="342C82"/>
            </w:tcBorders>
          </w:tcPr>
          <w:p>
            <w:pPr>
              <w:spacing w:after="0"/>
              <w:rPr>
                <w:sz w:val="4"/>
                <w:szCs w:val="4"/>
                <w:color w:val="auto"/>
              </w:rPr>
            </w:pPr>
          </w:p>
        </w:tc>
        <w:tc>
          <w:tcPr>
            <w:tcW w:w="1880" w:type="dxa"/>
            <w:vAlign w:val="bottom"/>
            <w:tcBorders>
              <w:bottom w:val="single" w:sz="8" w:color="342C82"/>
            </w:tcBorders>
          </w:tcPr>
          <w:p>
            <w:pPr>
              <w:spacing w:after="0"/>
              <w:rPr>
                <w:sz w:val="4"/>
                <w:szCs w:val="4"/>
                <w:color w:val="auto"/>
              </w:rPr>
            </w:pPr>
          </w:p>
        </w:tc>
        <w:tc>
          <w:tcPr>
            <w:tcW w:w="80" w:type="dxa"/>
            <w:vAlign w:val="bottom"/>
            <w:tcBorders>
              <w:top w:val="single" w:sz="8" w:color="0000EE"/>
              <w:bottom w:val="single" w:sz="8" w:color="342C82"/>
            </w:tcBorders>
          </w:tcPr>
          <w:p>
            <w:pPr>
              <w:spacing w:after="0"/>
              <w:rPr>
                <w:sz w:val="4"/>
                <w:szCs w:val="4"/>
                <w:color w:val="auto"/>
              </w:rPr>
            </w:pPr>
          </w:p>
        </w:tc>
        <w:tc>
          <w:tcPr>
            <w:tcW w:w="6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20" w:type="dxa"/>
            <w:vAlign w:val="bottom"/>
            <w:tcBorders>
              <w:top w:val="single" w:sz="8" w:color="0000EE"/>
              <w:bottom w:val="single" w:sz="8" w:color="342C82"/>
            </w:tcBorders>
          </w:tcPr>
          <w:p>
            <w:pPr>
              <w:spacing w:after="0"/>
              <w:rPr>
                <w:sz w:val="4"/>
                <w:szCs w:val="4"/>
                <w:color w:val="auto"/>
              </w:rPr>
            </w:pPr>
          </w:p>
        </w:tc>
        <w:tc>
          <w:tcPr>
            <w:tcW w:w="80" w:type="dxa"/>
            <w:vAlign w:val="bottom"/>
            <w:tcBorders>
              <w:top w:val="single" w:sz="8" w:color="0000EE"/>
              <w:bottom w:val="single" w:sz="8" w:color="342C82"/>
            </w:tcBorders>
          </w:tcPr>
          <w:p>
            <w:pPr>
              <w:spacing w:after="0"/>
              <w:rPr>
                <w:sz w:val="4"/>
                <w:szCs w:val="4"/>
                <w:color w:val="auto"/>
              </w:rPr>
            </w:pPr>
          </w:p>
        </w:tc>
        <w:tc>
          <w:tcPr>
            <w:tcW w:w="40" w:type="dxa"/>
            <w:vAlign w:val="bottom"/>
            <w:tcBorders>
              <w:bottom w:val="single" w:sz="8" w:color="342C82"/>
            </w:tcBorders>
          </w:tcPr>
          <w:p>
            <w:pPr>
              <w:spacing w:after="0"/>
              <w:rPr>
                <w:sz w:val="4"/>
                <w:szCs w:val="4"/>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123825</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6" w:lineRule="exact"/>
        <w:rPr>
          <w:sz w:val="20"/>
          <w:szCs w:val="20"/>
          <w:color w:val="auto"/>
        </w:rPr>
      </w:pPr>
    </w:p>
    <w:p>
      <w:pPr>
        <w:ind w:left="300"/>
        <w:spacing w:after="0"/>
        <w:rPr>
          <w:sz w:val="20"/>
          <w:szCs w:val="20"/>
          <w:color w:val="auto"/>
        </w:rPr>
      </w:pPr>
      <w:r>
        <w:rPr>
          <w:rFonts w:ascii="Arial" w:cs="Arial" w:eastAsia="Arial" w:hAnsi="Arial"/>
          <w:sz w:val="43"/>
          <w:szCs w:val="43"/>
          <w:color w:val="342C82"/>
        </w:rPr>
        <w:t>Proposal 1: Election of directors</w:t>
      </w:r>
    </w:p>
    <w:p>
      <w:pPr>
        <w:spacing w:after="0" w:line="127" w:lineRule="exact"/>
        <w:rPr>
          <w:sz w:val="20"/>
          <w:szCs w:val="20"/>
          <w:color w:val="auto"/>
        </w:rPr>
      </w:pPr>
    </w:p>
    <w:p>
      <w:pPr>
        <w:ind w:left="300" w:right="319"/>
        <w:spacing w:after="0" w:line="250" w:lineRule="auto"/>
        <w:rPr>
          <w:sz w:val="20"/>
          <w:szCs w:val="20"/>
          <w:color w:val="auto"/>
        </w:rPr>
      </w:pPr>
      <w:r>
        <w:rPr>
          <w:rFonts w:ascii="Arial" w:cs="Arial" w:eastAsia="Arial" w:hAnsi="Arial"/>
          <w:sz w:val="16"/>
          <w:szCs w:val="16"/>
          <w:color w:val="auto"/>
        </w:rPr>
        <w:t>Embecta’s Amended and Restated Certificate of Incorporation (“CoI”) provides that until the 2026 annual stockholder meeting, Embecta’s Board will be divided into three classes, with each class consisting, as nearly as may be possible, of one-third of the total number of directors. Our Board currently consists of nine members, each serving as either Class I, Class II or Class III directors. Messrs. Robert (Bob) J. Hombach and Devdatt (Dev) Kurdikar and LTG (Ret.) David F. Melcher, the Class III directors, have each been nominated for election at the 2025 Annual Meeting for a term expiring at the 2026 annual stockholder meeting. Each nominee is currently serving a term expiring at the 2025 Annual Meeting. Mr. David J. Albritton, Ms. Carrie L. Anderson and Mr. Christopher R. Reidy, the Class I directors, and Dr. Milton M. Morris, Dr. Claire Pomeroy and Ms. Karen N. Prange, the Class II directors, are each currently serving a term expiring at the 2026 annual stockholder meeting. Commencing with the 2026 annual stockholder meeting, directors will be elected annually and for a term of office to expire at the next annual stockholder meeting, and Embecta’s Board will thereafter no longer be divided into classes.</w:t>
      </w:r>
    </w:p>
    <w:p>
      <w:pPr>
        <w:spacing w:after="0" w:line="65" w:lineRule="exact"/>
        <w:rPr>
          <w:sz w:val="20"/>
          <w:szCs w:val="20"/>
          <w:color w:val="auto"/>
        </w:rPr>
      </w:pPr>
    </w:p>
    <w:p>
      <w:pPr>
        <w:ind w:left="300" w:right="399"/>
        <w:spacing w:after="0" w:line="259" w:lineRule="auto"/>
        <w:rPr>
          <w:sz w:val="20"/>
          <w:szCs w:val="20"/>
          <w:color w:val="auto"/>
        </w:rPr>
      </w:pPr>
      <w:r>
        <w:rPr>
          <w:rFonts w:ascii="Arial" w:cs="Arial" w:eastAsia="Arial" w:hAnsi="Arial"/>
          <w:sz w:val="16"/>
          <w:szCs w:val="16"/>
          <w:color w:val="auto"/>
        </w:rPr>
        <w:t>Each nominee has consented to serve if elected to the Board. If any director nominee becomes unable to accept nomination or election, which is not anticipated, the persons named as proxies will vote for the election of such other person as the Board may recommend. Proxies cannot be voted for a greater number of persons than the number of nominees named above.</w:t>
      </w:r>
    </w:p>
    <w:p>
      <w:pPr>
        <w:spacing w:after="0" w:line="43" w:lineRule="exact"/>
        <w:rPr>
          <w:sz w:val="20"/>
          <w:szCs w:val="20"/>
          <w:color w:val="auto"/>
        </w:rPr>
      </w:pPr>
    </w:p>
    <w:p>
      <w:pPr>
        <w:ind w:left="300" w:right="379"/>
        <w:spacing w:after="0" w:line="252" w:lineRule="auto"/>
        <w:rPr>
          <w:sz w:val="20"/>
          <w:szCs w:val="20"/>
          <w:color w:val="auto"/>
        </w:rPr>
      </w:pPr>
      <w:r>
        <w:rPr>
          <w:rFonts w:ascii="Arial" w:cs="Arial" w:eastAsia="Arial" w:hAnsi="Arial"/>
          <w:sz w:val="16"/>
          <w:szCs w:val="16"/>
          <w:color w:val="auto"/>
        </w:rPr>
        <w:t>Below is the biography of each of the nominees for election as a director of Embecta and of those directors of Embecta continuing in office. Embecta directors have a variety of backgrounds, which reflects the Board’s continuing efforts to achieve a diversity of viewpoints, insights and perspectives on the Board. As more fully discussed below, director nominees are considered on the basis of a range of criteria, including their business knowledge and background, prominence and reputation in their fields, global business perspective and commitment to strong corporate governance and citizenship. They must also have experience and ability that is relevant to the Board’s oversight of Embecta’s business and affairs. Each nominee’s biography includes the particular experience and qualifications that led the Board to conclude that the nominee should serve on the Board.</w:t>
      </w:r>
    </w:p>
    <w:p>
      <w:pPr>
        <w:spacing w:after="0" w:line="42" w:lineRule="exact"/>
        <w:rPr>
          <w:sz w:val="20"/>
          <w:szCs w:val="20"/>
          <w:color w:val="auto"/>
        </w:rPr>
      </w:pPr>
    </w:p>
    <w:tbl>
      <w:tblPr>
        <w:tblLayout w:type="fixed"/>
        <w:tblInd w:w="300" w:type="dxa"/>
        <w:tblCellMar>
          <w:top w:w="0" w:type="dxa"/>
          <w:left w:w="0" w:type="dxa"/>
          <w:bottom w:w="0" w:type="dxa"/>
          <w:right w:w="0" w:type="dxa"/>
        </w:tblCellMar>
      </w:tblPr>
      <w:tr>
        <w:trPr>
          <w:trHeight w:val="467"/>
        </w:trPr>
        <w:tc>
          <w:tcPr>
            <w:tcW w:w="920" w:type="dxa"/>
            <w:vAlign w:val="bottom"/>
            <w:tcBorders>
              <w:top w:val="single" w:sz="8" w:color="auto"/>
              <w:right w:val="single" w:sz="8" w:color="auto"/>
            </w:tcBorders>
            <w:vMerge w:val="restart"/>
          </w:tcPr>
          <w:p>
            <w:pPr>
              <w:ind w:left="480"/>
              <w:spacing w:after="0"/>
              <w:rPr>
                <w:sz w:val="20"/>
                <w:szCs w:val="20"/>
                <w:color w:val="auto"/>
              </w:rPr>
            </w:pPr>
            <w:r>
              <w:rPr>
                <w:rFonts w:ascii="Arial" w:cs="Arial" w:eastAsia="Arial" w:hAnsi="Arial"/>
                <w:sz w:val="18"/>
                <w:szCs w:val="18"/>
                <w:color w:val="auto"/>
              </w:rPr>
              <w:t> </w:t>
            </w:r>
          </w:p>
        </w:tc>
        <w:tc>
          <w:tcPr>
            <w:tcW w:w="7500" w:type="dxa"/>
            <w:vAlign w:val="bottom"/>
            <w:tcBorders>
              <w:top w:val="single" w:sz="8" w:color="auto"/>
            </w:tcBorders>
          </w:tcPr>
          <w:p>
            <w:pPr>
              <w:ind w:left="360"/>
              <w:spacing w:after="0"/>
              <w:rPr>
                <w:sz w:val="20"/>
                <w:szCs w:val="20"/>
                <w:color w:val="auto"/>
              </w:rPr>
            </w:pPr>
            <w:r>
              <w:rPr>
                <w:rFonts w:ascii="Arial" w:cs="Arial" w:eastAsia="Arial" w:hAnsi="Arial"/>
                <w:sz w:val="18"/>
                <w:szCs w:val="18"/>
                <w:b w:val="1"/>
                <w:bCs w:val="1"/>
                <w:color w:val="auto"/>
              </w:rPr>
              <w:t>THE BOARD OF DIRECTORS RECOMMENDS A VOTE “FOR” EACH OF THE</w:t>
            </w:r>
          </w:p>
        </w:tc>
        <w:tc>
          <w:tcPr>
            <w:tcW w:w="0" w:type="dxa"/>
            <w:vAlign w:val="bottom"/>
          </w:tcPr>
          <w:p>
            <w:pPr>
              <w:spacing w:after="0"/>
              <w:rPr>
                <w:sz w:val="1"/>
                <w:szCs w:val="1"/>
                <w:color w:val="auto"/>
              </w:rPr>
            </w:pPr>
          </w:p>
        </w:tc>
      </w:tr>
      <w:tr>
        <w:trPr>
          <w:trHeight w:val="247"/>
        </w:trPr>
        <w:tc>
          <w:tcPr>
            <w:tcW w:w="920" w:type="dxa"/>
            <w:vAlign w:val="bottom"/>
            <w:tcBorders>
              <w:right w:val="single" w:sz="8" w:color="auto"/>
            </w:tcBorders>
            <w:vMerge w:val="continue"/>
          </w:tcPr>
          <w:p>
            <w:pPr>
              <w:spacing w:after="0"/>
              <w:rPr>
                <w:sz w:val="21"/>
                <w:szCs w:val="21"/>
                <w:color w:val="auto"/>
              </w:rPr>
            </w:pPr>
          </w:p>
        </w:tc>
        <w:tc>
          <w:tcPr>
            <w:tcW w:w="7500" w:type="dxa"/>
            <w:vAlign w:val="bottom"/>
          </w:tcPr>
          <w:p>
            <w:pPr>
              <w:ind w:left="360"/>
              <w:spacing w:after="0"/>
              <w:rPr>
                <w:sz w:val="20"/>
                <w:szCs w:val="20"/>
                <w:color w:val="auto"/>
              </w:rPr>
            </w:pPr>
            <w:r>
              <w:rPr>
                <w:rFonts w:ascii="Arial" w:cs="Arial" w:eastAsia="Arial" w:hAnsi="Arial"/>
                <w:sz w:val="18"/>
                <w:szCs w:val="18"/>
                <w:b w:val="1"/>
                <w:bCs w:val="1"/>
                <w:color w:val="auto"/>
              </w:rPr>
              <w:t>NOMINEES FOR DIRECTOR.</w:t>
            </w:r>
          </w:p>
        </w:tc>
        <w:tc>
          <w:tcPr>
            <w:tcW w:w="0" w:type="dxa"/>
            <w:vAlign w:val="bottom"/>
          </w:tcPr>
          <w:p>
            <w:pPr>
              <w:spacing w:after="0"/>
              <w:rPr>
                <w:sz w:val="1"/>
                <w:szCs w:val="1"/>
                <w:color w:val="auto"/>
              </w:rPr>
            </w:pPr>
          </w:p>
        </w:tc>
      </w:tr>
      <w:tr>
        <w:trPr>
          <w:trHeight w:val="190"/>
        </w:trPr>
        <w:tc>
          <w:tcPr>
            <w:tcW w:w="920" w:type="dxa"/>
            <w:vAlign w:val="bottom"/>
            <w:tcBorders>
              <w:bottom w:val="single" w:sz="8" w:color="auto"/>
              <w:right w:val="single" w:sz="8" w:color="auto"/>
            </w:tcBorders>
          </w:tcPr>
          <w:p>
            <w:pPr>
              <w:spacing w:after="0"/>
              <w:rPr>
                <w:sz w:val="16"/>
                <w:szCs w:val="16"/>
                <w:color w:val="auto"/>
              </w:rPr>
            </w:pPr>
          </w:p>
        </w:tc>
        <w:tc>
          <w:tcPr>
            <w:tcW w:w="7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300"/>
        <w:spacing w:after="0"/>
        <w:rPr>
          <w:sz w:val="20"/>
          <w:szCs w:val="20"/>
          <w:color w:val="auto"/>
        </w:rPr>
      </w:pPr>
      <w:r>
        <w:rPr>
          <w:rFonts w:ascii="Arial" w:cs="Arial" w:eastAsia="Arial" w:hAnsi="Arial"/>
          <w:sz w:val="29"/>
          <w:szCs w:val="29"/>
          <w:color w:val="342C82"/>
        </w:rPr>
        <w:t>Directors - skills and experience</w:t>
      </w:r>
    </w:p>
    <w:p>
      <w:pPr>
        <w:spacing w:after="0" w:line="117" w:lineRule="exact"/>
        <w:rPr>
          <w:sz w:val="20"/>
          <w:szCs w:val="20"/>
          <w:color w:val="auto"/>
        </w:rPr>
      </w:pPr>
    </w:p>
    <w:p>
      <w:pPr>
        <w:ind w:left="300" w:right="399"/>
        <w:spacing w:after="0" w:line="266" w:lineRule="auto"/>
        <w:rPr>
          <w:sz w:val="20"/>
          <w:szCs w:val="20"/>
          <w:color w:val="auto"/>
        </w:rPr>
      </w:pPr>
      <w:r>
        <w:rPr>
          <w:rFonts w:ascii="Arial" w:cs="Arial" w:eastAsia="Arial" w:hAnsi="Arial"/>
          <w:sz w:val="16"/>
          <w:szCs w:val="16"/>
          <w:color w:val="auto"/>
        </w:rPr>
        <w:t>The table below summarizes the key qualifications, skills and attributes of the nominees for director and of those directors of the Company continuing in office that led our Board to conclude that he or she should serve as a director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126365</wp:posOffset>
            </wp:positionV>
            <wp:extent cx="4149090" cy="18942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149090" cy="189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 xml:space="preserve">  </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132080</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6"/>
          <w:szCs w:val="16"/>
          <w:color w:val="342C82"/>
        </w:rPr>
        <w:t>Proposal 1: Election of directors</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29"/>
          <w:szCs w:val="29"/>
          <w:color w:val="342C82"/>
        </w:rPr>
        <w:t>Nominees for director</w:t>
      </w:r>
    </w:p>
    <w:p>
      <w:pPr>
        <w:spacing w:after="0" w:line="324" w:lineRule="exact"/>
        <w:rPr>
          <w:sz w:val="20"/>
          <w:szCs w:val="20"/>
          <w:color w:val="auto"/>
        </w:rPr>
      </w:pPr>
    </w:p>
    <w:p>
      <w:pPr>
        <w:ind w:left="300"/>
        <w:spacing w:after="0"/>
        <w:rPr>
          <w:sz w:val="20"/>
          <w:szCs w:val="20"/>
          <w:color w:val="auto"/>
        </w:rPr>
      </w:pPr>
      <w:r>
        <w:rPr>
          <w:rFonts w:ascii="Arial" w:cs="Arial" w:eastAsia="Arial" w:hAnsi="Arial"/>
          <w:sz w:val="25"/>
          <w:szCs w:val="25"/>
          <w:color w:val="auto"/>
        </w:rPr>
        <w:t>Robert (Bob) J. Hombach</w:t>
      </w:r>
    </w:p>
    <w:p>
      <w:pPr>
        <w:spacing w:after="0" w:line="150" w:lineRule="exact"/>
        <w:rPr>
          <w:sz w:val="20"/>
          <w:szCs w:val="20"/>
          <w:color w:val="auto"/>
        </w:rPr>
      </w:pPr>
    </w:p>
    <w:p>
      <w:pPr>
        <w:ind w:left="300"/>
        <w:spacing w:after="0"/>
        <w:rPr>
          <w:sz w:val="20"/>
          <w:szCs w:val="20"/>
          <w:color w:val="auto"/>
        </w:rPr>
      </w:pPr>
      <w:r>
        <w:rPr>
          <w:rFonts w:ascii="Arial" w:cs="Arial" w:eastAsia="Arial" w:hAnsi="Arial"/>
          <w:sz w:val="15"/>
          <w:szCs w:val="15"/>
          <w:color w:val="auto"/>
        </w:rPr>
        <w:t>Former Executive Vice President, Chief Financial Officer and Chief Operations Officer, Baxalta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38735</wp:posOffset>
            </wp:positionV>
            <wp:extent cx="534924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80"/>
        <w:spacing w:after="0"/>
        <w:rPr>
          <w:sz w:val="20"/>
          <w:szCs w:val="20"/>
          <w:color w:val="auto"/>
        </w:rPr>
      </w:pPr>
      <w:r>
        <w:rPr>
          <w:rFonts w:ascii="Arial" w:cs="Arial" w:eastAsia="Arial" w:hAnsi="Arial"/>
          <w:sz w:val="15"/>
          <w:szCs w:val="15"/>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-1332230</wp:posOffset>
            </wp:positionV>
            <wp:extent cx="1303020" cy="12344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03020" cy="123444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5"/>
          <w:szCs w:val="15"/>
          <w:color w:val="auto"/>
        </w:rPr>
        <w:t> </w:t>
      </w:r>
    </w:p>
    <w:p>
      <w:pPr>
        <w:spacing w:after="0" w:line="55" w:lineRule="exact"/>
        <w:rPr>
          <w:sz w:val="20"/>
          <w:szCs w:val="20"/>
          <w:color w:val="auto"/>
        </w:rPr>
      </w:pPr>
    </w:p>
    <w:p>
      <w:pPr>
        <w:ind w:left="520"/>
        <w:spacing w:after="0"/>
        <w:rPr>
          <w:sz w:val="20"/>
          <w:szCs w:val="20"/>
          <w:color w:val="auto"/>
        </w:rPr>
      </w:pPr>
      <w:r>
        <w:rPr>
          <w:rFonts w:ascii="Arial" w:cs="Arial" w:eastAsia="Arial" w:hAnsi="Arial"/>
          <w:sz w:val="15"/>
          <w:szCs w:val="15"/>
          <w:b w:val="1"/>
          <w:bCs w:val="1"/>
          <w:color w:val="auto"/>
        </w:rPr>
        <w:t xml:space="preserve">Age: </w:t>
      </w:r>
      <w:r>
        <w:rPr>
          <w:rFonts w:ascii="Arial" w:cs="Arial" w:eastAsia="Arial" w:hAnsi="Arial"/>
          <w:sz w:val="15"/>
          <w:szCs w:val="15"/>
          <w:color w:val="auto"/>
        </w:rPr>
        <w:t>58</w:t>
      </w:r>
    </w:p>
    <w:p>
      <w:pPr>
        <w:ind w:left="520"/>
        <w:spacing w:after="0" w:line="233" w:lineRule="auto"/>
        <w:rPr>
          <w:sz w:val="20"/>
          <w:szCs w:val="20"/>
          <w:color w:val="auto"/>
        </w:rPr>
      </w:pPr>
      <w:r>
        <w:rPr>
          <w:rFonts w:ascii="Arial" w:cs="Arial" w:eastAsia="Arial" w:hAnsi="Arial"/>
          <w:sz w:val="15"/>
          <w:szCs w:val="15"/>
          <w:color w:val="auto"/>
        </w:rPr>
        <w:t> </w:t>
      </w:r>
    </w:p>
    <w:p>
      <w:pPr>
        <w:ind w:left="520"/>
        <w:spacing w:after="0" w:line="225" w:lineRule="auto"/>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2022</w:t>
      </w:r>
    </w:p>
    <w:p>
      <w:pPr>
        <w:ind w:left="520"/>
        <w:spacing w:after="0" w:line="225" w:lineRule="auto"/>
        <w:rPr>
          <w:sz w:val="20"/>
          <w:szCs w:val="20"/>
          <w:color w:val="auto"/>
        </w:rPr>
      </w:pPr>
      <w:r>
        <w:rPr>
          <w:rFonts w:ascii="Arial" w:cs="Arial" w:eastAsia="Arial" w:hAnsi="Arial"/>
          <w:sz w:val="15"/>
          <w:szCs w:val="15"/>
          <w:color w:val="auto"/>
        </w:rPr>
        <w:t> </w:t>
      </w:r>
    </w:p>
    <w:p>
      <w:pPr>
        <w:ind w:left="520"/>
        <w:spacing w:after="0" w:line="226" w:lineRule="auto"/>
        <w:rPr>
          <w:sz w:val="20"/>
          <w:szCs w:val="20"/>
          <w:color w:val="auto"/>
        </w:rPr>
      </w:pPr>
      <w:r>
        <w:rPr>
          <w:rFonts w:ascii="Arial" w:cs="Arial" w:eastAsia="Arial" w:hAnsi="Arial"/>
          <w:sz w:val="15"/>
          <w:szCs w:val="15"/>
          <w:b w:val="1"/>
          <w:bCs w:val="1"/>
          <w:color w:val="auto"/>
        </w:rPr>
        <w:t xml:space="preserve">Independent: </w:t>
      </w:r>
      <w:r>
        <w:rPr>
          <w:rFonts w:ascii="Arial" w:cs="Arial" w:eastAsia="Arial" w:hAnsi="Arial"/>
          <w:sz w:val="15"/>
          <w:szCs w:val="15"/>
          <w:color w:val="auto"/>
        </w:rPr>
        <w:t>Yes</w:t>
      </w:r>
    </w:p>
    <w:p>
      <w:pPr>
        <w:ind w:left="520"/>
        <w:spacing w:after="0" w:line="225" w:lineRule="auto"/>
        <w:rPr>
          <w:sz w:val="20"/>
          <w:szCs w:val="20"/>
          <w:color w:val="auto"/>
        </w:rPr>
      </w:pPr>
      <w:r>
        <w:rPr>
          <w:rFonts w:ascii="Arial" w:cs="Arial" w:eastAsia="Arial" w:hAnsi="Arial"/>
          <w:sz w:val="15"/>
          <w:szCs w:val="15"/>
          <w:color w:val="auto"/>
        </w:rPr>
        <w:t> </w:t>
      </w:r>
    </w:p>
    <w:p>
      <w:pPr>
        <w:ind w:left="520"/>
        <w:spacing w:after="0" w:line="226" w:lineRule="auto"/>
        <w:rPr>
          <w:sz w:val="20"/>
          <w:szCs w:val="20"/>
          <w:color w:val="auto"/>
        </w:rPr>
      </w:pPr>
      <w:r>
        <w:rPr>
          <w:rFonts w:ascii="Arial" w:cs="Arial" w:eastAsia="Arial" w:hAnsi="Arial"/>
          <w:sz w:val="15"/>
          <w:szCs w:val="15"/>
          <w:b w:val="1"/>
          <w:bCs w:val="1"/>
          <w:color w:val="auto"/>
        </w:rPr>
        <w:t>Committees:</w:t>
      </w:r>
    </w:p>
    <w:p>
      <w:pPr>
        <w:ind w:left="520"/>
        <w:spacing w:after="0" w:line="225" w:lineRule="auto"/>
        <w:rPr>
          <w:sz w:val="20"/>
          <w:szCs w:val="20"/>
          <w:color w:val="auto"/>
        </w:rPr>
      </w:pPr>
      <w:r>
        <w:rPr>
          <w:rFonts w:ascii="Arial" w:cs="Arial" w:eastAsia="Arial" w:hAnsi="Arial"/>
          <w:sz w:val="15"/>
          <w:szCs w:val="15"/>
          <w:color w:val="auto"/>
        </w:rPr>
        <w:t>•   Audit (Chair)</w:t>
      </w:r>
    </w:p>
    <w:p>
      <w:pPr>
        <w:ind w:left="720" w:hanging="199"/>
        <w:spacing w:after="0" w:line="241" w:lineRule="auto"/>
        <w:tabs>
          <w:tab w:leader="none" w:pos="700" w:val="left"/>
        </w:tabs>
        <w:rPr>
          <w:sz w:val="20"/>
          <w:szCs w:val="20"/>
          <w:color w:val="auto"/>
        </w:rPr>
      </w:pPr>
      <w:r>
        <w:rPr>
          <w:rFonts w:ascii="Arial" w:cs="Arial" w:eastAsia="Arial" w:hAnsi="Arial"/>
          <w:sz w:val="14"/>
          <w:szCs w:val="14"/>
          <w:color w:val="auto"/>
        </w:rPr>
        <w:t>• </w:t>
        <w:tab/>
        <w:t>Compensation and Management Development Committee</w:t>
      </w:r>
    </w:p>
    <w:p>
      <w:pPr>
        <w:ind w:left="520"/>
        <w:spacing w:after="0" w:line="226" w:lineRule="auto"/>
        <w:rPr>
          <w:sz w:val="20"/>
          <w:szCs w:val="20"/>
          <w:color w:val="auto"/>
        </w:rPr>
      </w:pPr>
      <w:r>
        <w:rPr>
          <w:rFonts w:ascii="Arial" w:cs="Arial" w:eastAsia="Arial" w:hAnsi="Arial"/>
          <w:sz w:val="15"/>
          <w:szCs w:val="15"/>
          <w:color w:val="auto"/>
        </w:rPr>
        <w:t> </w:t>
      </w:r>
    </w:p>
    <w:p>
      <w:pPr>
        <w:ind w:left="520"/>
        <w:spacing w:after="0" w:line="226" w:lineRule="auto"/>
        <w:rPr>
          <w:sz w:val="20"/>
          <w:szCs w:val="20"/>
          <w:color w:val="auto"/>
        </w:rPr>
      </w:pPr>
      <w:r>
        <w:rPr>
          <w:rFonts w:ascii="Arial" w:cs="Arial" w:eastAsia="Arial" w:hAnsi="Arial"/>
          <w:sz w:val="15"/>
          <w:szCs w:val="15"/>
          <w:b w:val="1"/>
          <w:bCs w:val="1"/>
          <w:color w:val="auto"/>
        </w:rPr>
        <w:t>Other Public Directorships:</w:t>
      </w:r>
    </w:p>
    <w:p>
      <w:pPr>
        <w:ind w:left="520"/>
        <w:spacing w:after="0" w:line="225" w:lineRule="auto"/>
        <w:rPr>
          <w:sz w:val="20"/>
          <w:szCs w:val="20"/>
          <w:color w:val="auto"/>
        </w:rPr>
      </w:pPr>
      <w:r>
        <w:rPr>
          <w:rFonts w:ascii="Arial" w:cs="Arial" w:eastAsia="Arial" w:hAnsi="Arial"/>
          <w:sz w:val="15"/>
          <w:szCs w:val="15"/>
          <w:color w:val="auto"/>
        </w:rPr>
        <w:t>•   BioMarin Pharmaceutical</w:t>
      </w:r>
    </w:p>
    <w:p>
      <w:pPr>
        <w:ind w:left="720"/>
        <w:spacing w:after="0" w:line="226" w:lineRule="auto"/>
        <w:rPr>
          <w:sz w:val="20"/>
          <w:szCs w:val="20"/>
          <w:color w:val="auto"/>
        </w:rPr>
      </w:pPr>
      <w:r>
        <w:rPr>
          <w:rFonts w:ascii="Arial" w:cs="Arial" w:eastAsia="Arial" w:hAnsi="Arial"/>
          <w:sz w:val="15"/>
          <w:szCs w:val="15"/>
          <w:color w:val="auto"/>
        </w:rPr>
        <w:t>Inc.</w:t>
      </w:r>
    </w:p>
    <w:p>
      <w:pPr>
        <w:ind w:left="520"/>
        <w:spacing w:after="0" w:line="225" w:lineRule="auto"/>
        <w:rPr>
          <w:sz w:val="20"/>
          <w:szCs w:val="20"/>
          <w:color w:val="auto"/>
        </w:rPr>
      </w:pPr>
      <w:r>
        <w:rPr>
          <w:rFonts w:ascii="Arial" w:cs="Arial" w:eastAsia="Arial" w:hAnsi="Arial"/>
          <w:sz w:val="15"/>
          <w:szCs w:val="15"/>
          <w:color w:val="auto"/>
        </w:rPr>
        <w:t> </w:t>
      </w:r>
    </w:p>
    <w:p>
      <w:pPr>
        <w:ind w:left="520"/>
        <w:spacing w:after="0" w:line="225" w:lineRule="auto"/>
        <w:rPr>
          <w:sz w:val="20"/>
          <w:szCs w:val="20"/>
          <w:color w:val="auto"/>
        </w:rPr>
      </w:pPr>
      <w:r>
        <w:rPr>
          <w:rFonts w:ascii="Arial" w:cs="Arial" w:eastAsia="Arial" w:hAnsi="Arial"/>
          <w:sz w:val="15"/>
          <w:szCs w:val="15"/>
          <w:b w:val="1"/>
          <w:bCs w:val="1"/>
          <w:color w:val="auto"/>
        </w:rPr>
        <w:t>Former Public</w:t>
      </w:r>
    </w:p>
    <w:p>
      <w:pPr>
        <w:ind w:left="520"/>
        <w:spacing w:after="0" w:line="226" w:lineRule="auto"/>
        <w:rPr>
          <w:sz w:val="20"/>
          <w:szCs w:val="20"/>
          <w:color w:val="auto"/>
        </w:rPr>
      </w:pPr>
      <w:r>
        <w:rPr>
          <w:rFonts w:ascii="Arial" w:cs="Arial" w:eastAsia="Arial" w:hAnsi="Arial"/>
          <w:sz w:val="15"/>
          <w:szCs w:val="15"/>
          <w:b w:val="1"/>
          <w:bCs w:val="1"/>
          <w:color w:val="auto"/>
        </w:rPr>
        <w:t>Directorships</w:t>
      </w:r>
    </w:p>
    <w:p>
      <w:pPr>
        <w:ind w:left="520"/>
        <w:spacing w:after="0" w:line="225" w:lineRule="auto"/>
        <w:rPr>
          <w:sz w:val="20"/>
          <w:szCs w:val="20"/>
          <w:color w:val="auto"/>
        </w:rPr>
      </w:pPr>
      <w:r>
        <w:rPr>
          <w:rFonts w:ascii="Arial" w:cs="Arial" w:eastAsia="Arial" w:hAnsi="Arial"/>
          <w:sz w:val="15"/>
          <w:szCs w:val="15"/>
          <w:b w:val="1"/>
          <w:bCs w:val="1"/>
          <w:color w:val="auto"/>
        </w:rPr>
        <w:t>(last 5 years):</w:t>
      </w:r>
    </w:p>
    <w:p>
      <w:pPr>
        <w:ind w:left="520"/>
        <w:spacing w:after="0" w:line="226" w:lineRule="auto"/>
        <w:rPr>
          <w:sz w:val="20"/>
          <w:szCs w:val="20"/>
          <w:color w:val="auto"/>
        </w:rPr>
      </w:pPr>
      <w:r>
        <w:rPr>
          <w:rFonts w:ascii="Arial" w:cs="Arial" w:eastAsia="Arial" w:hAnsi="Arial"/>
          <w:sz w:val="15"/>
          <w:szCs w:val="15"/>
          <w:color w:val="auto"/>
        </w:rPr>
        <w:t>•   CarMax, Inc.</w:t>
      </w:r>
    </w:p>
    <w:p>
      <w:pPr>
        <w:ind w:left="520"/>
        <w:spacing w:after="0"/>
        <w:rPr>
          <w:sz w:val="20"/>
          <w:szCs w:val="20"/>
          <w:color w:val="auto"/>
        </w:rPr>
      </w:pPr>
      <w:r>
        <w:rPr>
          <w:rFonts w:ascii="Arial" w:cs="Arial" w:eastAsia="Arial" w:hAnsi="Arial"/>
          <w:sz w:val="15"/>
          <w:szCs w:val="15"/>
          <w:color w:val="auto"/>
        </w:rPr>
        <w:t>•   Aptinyx, Inc.</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right="459"/>
        <w:spacing w:after="0"/>
        <w:rPr>
          <w:sz w:val="20"/>
          <w:szCs w:val="20"/>
          <w:color w:val="auto"/>
        </w:rPr>
      </w:pPr>
      <w:r>
        <w:rPr>
          <w:rFonts w:ascii="Arial" w:cs="Arial" w:eastAsia="Arial" w:hAnsi="Arial"/>
          <w:sz w:val="15"/>
          <w:szCs w:val="15"/>
          <w:color w:val="auto"/>
        </w:rPr>
        <w:t>Mr. Hombach served as Executive Vice President, Chief Financial Officer and Chief Operations Officer of Baxalta Incorporated until 2016, a biopharmaceutical company spun out from Baxter International, Inc. (“Baxter”) (NYSE: BAX). He served as Corporate Vice President and Chief Financial Officer of Baxter from July 2010 until the spinoff in 2015. From 2007 to 2011, Mr. Hombach served as Treasurer of Baxter and from 2004 to 2007, he was Vice President of Finance, Europe, Middle East and Africa at Baxter. Prior to that, Mr. Hombach served in a number of finance positions of increasing responsibility in the corporate planning, manufacturing, operations and treasury areas at Baxter. Mr. Hombach is currently a member of the Board of Directors of BioMarin Pharmaceutical Inc. (NASDAQ: BMRN).  </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Education</w:t>
      </w:r>
    </w:p>
    <w:p>
      <w:pPr>
        <w:spacing w:after="0" w:line="225" w:lineRule="auto"/>
        <w:rPr>
          <w:sz w:val="20"/>
          <w:szCs w:val="20"/>
          <w:color w:val="auto"/>
        </w:rPr>
      </w:pPr>
      <w:r>
        <w:rPr>
          <w:rFonts w:ascii="Arial" w:cs="Arial" w:eastAsia="Arial" w:hAnsi="Arial"/>
          <w:sz w:val="15"/>
          <w:szCs w:val="15"/>
          <w:color w:val="auto"/>
        </w:rPr>
        <w:t> </w:t>
      </w:r>
    </w:p>
    <w:p>
      <w:pPr>
        <w:spacing w:after="0" w:line="225" w:lineRule="auto"/>
        <w:rPr>
          <w:sz w:val="20"/>
          <w:szCs w:val="20"/>
          <w:color w:val="auto"/>
        </w:rPr>
      </w:pPr>
      <w:r>
        <w:rPr>
          <w:rFonts w:ascii="Arial" w:cs="Arial" w:eastAsia="Arial" w:hAnsi="Arial"/>
          <w:sz w:val="15"/>
          <w:szCs w:val="15"/>
          <w:color w:val="auto"/>
        </w:rPr>
        <w:t xml:space="preserve">Mr. Hombach earned a Bachelor of Science in Finance, </w:t>
      </w:r>
      <w:r>
        <w:rPr>
          <w:rFonts w:ascii="Arial" w:cs="Arial" w:eastAsia="Arial" w:hAnsi="Arial"/>
          <w:sz w:val="15"/>
          <w:szCs w:val="15"/>
          <w:i w:val="1"/>
          <w:iCs w:val="1"/>
          <w:color w:val="auto"/>
        </w:rPr>
        <w:t>cum laude</w:t>
      </w:r>
      <w:r>
        <w:rPr>
          <w:rFonts w:ascii="Arial" w:cs="Arial" w:eastAsia="Arial" w:hAnsi="Arial"/>
          <w:sz w:val="15"/>
          <w:szCs w:val="15"/>
          <w:color w:val="auto"/>
        </w:rPr>
        <w:t>, from the University</w:t>
      </w:r>
    </w:p>
    <w:p>
      <w:pPr>
        <w:spacing w:after="0" w:line="226" w:lineRule="auto"/>
        <w:rPr>
          <w:sz w:val="20"/>
          <w:szCs w:val="20"/>
          <w:color w:val="auto"/>
        </w:rPr>
      </w:pPr>
      <w:r>
        <w:rPr>
          <w:rFonts w:ascii="Arial" w:cs="Arial" w:eastAsia="Arial" w:hAnsi="Arial"/>
          <w:sz w:val="15"/>
          <w:szCs w:val="15"/>
          <w:color w:val="auto"/>
        </w:rPr>
        <w:t>of Colorado, and a Master of Business Administration from Northwestern University’s</w:t>
      </w:r>
    </w:p>
    <w:p>
      <w:pPr>
        <w:spacing w:after="0" w:line="225" w:lineRule="auto"/>
        <w:rPr>
          <w:sz w:val="20"/>
          <w:szCs w:val="20"/>
          <w:color w:val="auto"/>
        </w:rPr>
      </w:pPr>
      <w:r>
        <w:rPr>
          <w:rFonts w:ascii="Arial" w:cs="Arial" w:eastAsia="Arial" w:hAnsi="Arial"/>
          <w:sz w:val="15"/>
          <w:szCs w:val="15"/>
          <w:color w:val="auto"/>
        </w:rPr>
        <w:t>Kellogg Graduate School of Management.</w:t>
      </w:r>
    </w:p>
    <w:p>
      <w:pPr>
        <w:spacing w:after="0" w:line="226" w:lineRule="auto"/>
        <w:rPr>
          <w:sz w:val="20"/>
          <w:szCs w:val="20"/>
          <w:color w:val="auto"/>
        </w:rPr>
      </w:pPr>
      <w:r>
        <w:rPr>
          <w:rFonts w:ascii="Arial" w:cs="Arial" w:eastAsia="Arial" w:hAnsi="Arial"/>
          <w:sz w:val="15"/>
          <w:szCs w:val="15"/>
          <w:color w:val="auto"/>
        </w:rPr>
        <w:t> </w:t>
      </w:r>
    </w:p>
    <w:p>
      <w:pPr>
        <w:spacing w:after="0" w:line="225" w:lineRule="auto"/>
        <w:rPr>
          <w:sz w:val="20"/>
          <w:szCs w:val="20"/>
          <w:color w:val="auto"/>
        </w:rPr>
      </w:pPr>
      <w:r>
        <w:rPr>
          <w:rFonts w:ascii="Arial" w:cs="Arial" w:eastAsia="Arial" w:hAnsi="Arial"/>
          <w:sz w:val="15"/>
          <w:szCs w:val="15"/>
          <w:b w:val="1"/>
          <w:bCs w:val="1"/>
          <w:color w:val="auto"/>
        </w:rPr>
        <w:t>Qualifications, Skills and Experience</w:t>
      </w:r>
    </w:p>
    <w:p>
      <w:pPr>
        <w:spacing w:after="0" w:line="225" w:lineRule="auto"/>
        <w:rPr>
          <w:sz w:val="20"/>
          <w:szCs w:val="20"/>
          <w:color w:val="auto"/>
        </w:rPr>
      </w:pPr>
      <w:r>
        <w:rPr>
          <w:rFonts w:ascii="Arial" w:cs="Arial" w:eastAsia="Arial" w:hAnsi="Arial"/>
          <w:sz w:val="15"/>
          <w:szCs w:val="15"/>
          <w:color w:val="auto"/>
        </w:rPr>
        <w:t> </w:t>
      </w:r>
    </w:p>
    <w:p>
      <w:pPr>
        <w:spacing w:after="0" w:line="1" w:lineRule="exact"/>
        <w:rPr>
          <w:sz w:val="20"/>
          <w:szCs w:val="20"/>
          <w:color w:val="auto"/>
        </w:rPr>
      </w:pPr>
    </w:p>
    <w:p>
      <w:pPr>
        <w:ind w:right="459"/>
        <w:spacing w:after="0" w:line="232" w:lineRule="auto"/>
        <w:rPr>
          <w:sz w:val="20"/>
          <w:szCs w:val="20"/>
          <w:color w:val="auto"/>
        </w:rPr>
      </w:pPr>
      <w:r>
        <w:rPr>
          <w:rFonts w:ascii="Arial" w:cs="Arial" w:eastAsia="Arial" w:hAnsi="Arial"/>
          <w:sz w:val="15"/>
          <w:szCs w:val="15"/>
          <w:color w:val="auto"/>
        </w:rPr>
        <w:t>Mr. Hombach brings to the Board his financial expertise and public company governance experience, as well as his experience in the medical device industry and with medical device technology, including connected medical devices, experience with strategic and transactional transitions, global business, operations and manufacturing, cybersecurity, risk and crisis management and experience with institutional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-1553845</wp:posOffset>
            </wp:positionH>
            <wp:positionV relativeFrom="paragraph">
              <wp:posOffset>1264285</wp:posOffset>
            </wp:positionV>
            <wp:extent cx="534924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49" w:lineRule="exact"/>
        <w:rPr>
          <w:sz w:val="20"/>
          <w:szCs w:val="20"/>
          <w:color w:val="auto"/>
        </w:rPr>
      </w:pPr>
    </w:p>
    <w:p>
      <w:pPr>
        <w:sectPr>
          <w:pgSz w:w="11900" w:h="16838" w:orient="portrait"/>
          <w:cols w:equalWidth="0" w:num="2">
            <w:col w:w="2560" w:space="180"/>
            <w:col w:w="6279"/>
          </w:cols>
          <w:pgMar w:left="1440" w:top="114" w:right="1440" w:bottom="1440" w:gutter="0" w:footer="0" w:header="0"/>
          <w:type w:val="continuous"/>
        </w:sectPr>
      </w:pP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146685</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jc w:val="right"/>
        <w:ind w:right="299"/>
        <w:spacing w:after="0"/>
        <w:rPr>
          <w:sz w:val="20"/>
          <w:szCs w:val="20"/>
          <w:color w:val="auto"/>
        </w:rPr>
      </w:pPr>
      <w:r>
        <w:rPr>
          <w:rFonts w:ascii="Arial" w:cs="Arial" w:eastAsia="Arial" w:hAnsi="Arial"/>
          <w:sz w:val="16"/>
          <w:szCs w:val="16"/>
          <w:color w:val="342C82"/>
        </w:rPr>
        <w:t>Proposal 1: Election of directors</w:t>
      </w:r>
    </w:p>
    <w:p>
      <w:pPr>
        <w:spacing w:after="0" w:line="159" w:lineRule="exact"/>
        <w:rPr>
          <w:sz w:val="20"/>
          <w:szCs w:val="20"/>
          <w:color w:val="auto"/>
        </w:rPr>
      </w:pPr>
    </w:p>
    <w:p>
      <w:pPr>
        <w:ind w:left="300"/>
        <w:spacing w:after="0"/>
        <w:rPr>
          <w:sz w:val="20"/>
          <w:szCs w:val="20"/>
          <w:color w:val="auto"/>
        </w:rPr>
      </w:pPr>
      <w:r>
        <w:rPr>
          <w:rFonts w:ascii="Arial" w:cs="Arial" w:eastAsia="Arial" w:hAnsi="Arial"/>
          <w:sz w:val="25"/>
          <w:szCs w:val="25"/>
          <w:color w:val="auto"/>
        </w:rPr>
        <w:t>Devdatt (Dev) Kurdikar</w:t>
      </w:r>
    </w:p>
    <w:p>
      <w:pPr>
        <w:spacing w:after="0" w:line="163" w:lineRule="exact"/>
        <w:rPr>
          <w:sz w:val="20"/>
          <w:szCs w:val="20"/>
          <w:color w:val="auto"/>
        </w:rPr>
      </w:pPr>
    </w:p>
    <w:p>
      <w:pPr>
        <w:ind w:left="300"/>
        <w:spacing w:after="0"/>
        <w:rPr>
          <w:sz w:val="20"/>
          <w:szCs w:val="20"/>
          <w:color w:val="auto"/>
        </w:rPr>
      </w:pPr>
      <w:r>
        <w:rPr>
          <w:rFonts w:ascii="Arial" w:cs="Arial" w:eastAsia="Arial" w:hAnsi="Arial"/>
          <w:sz w:val="15"/>
          <w:szCs w:val="15"/>
          <w:color w:val="auto"/>
        </w:rPr>
        <w:t>President and Chief Executive Officer, Embecta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46990</wp:posOffset>
            </wp:positionV>
            <wp:extent cx="534924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80"/>
        <w:spacing w:after="0"/>
        <w:rPr>
          <w:sz w:val="20"/>
          <w:szCs w:val="20"/>
          <w:color w:val="auto"/>
        </w:rPr>
      </w:pPr>
      <w:r>
        <w:rPr>
          <w:rFonts w:ascii="Arial" w:cs="Arial" w:eastAsia="Arial" w:hAnsi="Arial"/>
          <w:sz w:val="15"/>
          <w:szCs w:val="15"/>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-1341120</wp:posOffset>
            </wp:positionV>
            <wp:extent cx="1303020" cy="12433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03020" cy="124333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5"/>
          <w:szCs w:val="15"/>
          <w:color w:val="auto"/>
        </w:rPr>
        <w:t> </w:t>
      </w:r>
    </w:p>
    <w:p>
      <w:pPr>
        <w:spacing w:after="0" w:line="55" w:lineRule="exact"/>
        <w:rPr>
          <w:sz w:val="20"/>
          <w:szCs w:val="20"/>
          <w:color w:val="auto"/>
        </w:rPr>
      </w:pPr>
    </w:p>
    <w:p>
      <w:pPr>
        <w:ind w:left="520"/>
        <w:spacing w:after="0"/>
        <w:rPr>
          <w:sz w:val="20"/>
          <w:szCs w:val="20"/>
          <w:color w:val="auto"/>
        </w:rPr>
      </w:pPr>
      <w:r>
        <w:rPr>
          <w:rFonts w:ascii="Arial" w:cs="Arial" w:eastAsia="Arial" w:hAnsi="Arial"/>
          <w:sz w:val="15"/>
          <w:szCs w:val="15"/>
          <w:b w:val="1"/>
          <w:bCs w:val="1"/>
          <w:color w:val="auto"/>
        </w:rPr>
        <w:t xml:space="preserve">Age: </w:t>
      </w:r>
      <w:r>
        <w:rPr>
          <w:rFonts w:ascii="Arial" w:cs="Arial" w:eastAsia="Arial" w:hAnsi="Arial"/>
          <w:sz w:val="15"/>
          <w:szCs w:val="15"/>
          <w:color w:val="auto"/>
        </w:rPr>
        <w:t>56</w:t>
      </w:r>
    </w:p>
    <w:p>
      <w:pPr>
        <w:ind w:left="520"/>
        <w:spacing w:after="0" w:line="233" w:lineRule="auto"/>
        <w:rPr>
          <w:sz w:val="20"/>
          <w:szCs w:val="20"/>
          <w:color w:val="auto"/>
        </w:rPr>
      </w:pPr>
      <w:r>
        <w:rPr>
          <w:rFonts w:ascii="Arial" w:cs="Arial" w:eastAsia="Arial" w:hAnsi="Arial"/>
          <w:sz w:val="15"/>
          <w:szCs w:val="15"/>
          <w:color w:val="auto"/>
        </w:rPr>
        <w:t> </w:t>
      </w:r>
    </w:p>
    <w:p>
      <w:pPr>
        <w:ind w:left="520"/>
        <w:spacing w:after="0" w:line="225" w:lineRule="auto"/>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2022</w:t>
      </w:r>
    </w:p>
    <w:p>
      <w:pPr>
        <w:ind w:left="520"/>
        <w:spacing w:after="0" w:line="225" w:lineRule="auto"/>
        <w:rPr>
          <w:sz w:val="20"/>
          <w:szCs w:val="20"/>
          <w:color w:val="auto"/>
        </w:rPr>
      </w:pPr>
      <w:r>
        <w:rPr>
          <w:rFonts w:ascii="Arial" w:cs="Arial" w:eastAsia="Arial" w:hAnsi="Arial"/>
          <w:sz w:val="15"/>
          <w:szCs w:val="15"/>
          <w:color w:val="auto"/>
        </w:rPr>
        <w:t> </w:t>
      </w:r>
    </w:p>
    <w:p>
      <w:pPr>
        <w:ind w:left="520"/>
        <w:spacing w:after="0" w:line="226" w:lineRule="auto"/>
        <w:rPr>
          <w:sz w:val="20"/>
          <w:szCs w:val="20"/>
          <w:color w:val="auto"/>
        </w:rPr>
      </w:pPr>
      <w:r>
        <w:rPr>
          <w:rFonts w:ascii="Arial" w:cs="Arial" w:eastAsia="Arial" w:hAnsi="Arial"/>
          <w:sz w:val="15"/>
          <w:szCs w:val="15"/>
          <w:b w:val="1"/>
          <w:bCs w:val="1"/>
          <w:color w:val="auto"/>
        </w:rPr>
        <w:t xml:space="preserve">Independent: </w:t>
      </w:r>
      <w:r>
        <w:rPr>
          <w:rFonts w:ascii="Arial" w:cs="Arial" w:eastAsia="Arial" w:hAnsi="Arial"/>
          <w:sz w:val="15"/>
          <w:szCs w:val="15"/>
          <w:color w:val="auto"/>
        </w:rPr>
        <w:t>No</w:t>
      </w:r>
    </w:p>
    <w:p>
      <w:pPr>
        <w:ind w:left="520"/>
        <w:spacing w:after="0" w:line="225" w:lineRule="auto"/>
        <w:rPr>
          <w:sz w:val="20"/>
          <w:szCs w:val="20"/>
          <w:color w:val="auto"/>
        </w:rPr>
      </w:pPr>
      <w:r>
        <w:rPr>
          <w:rFonts w:ascii="Arial" w:cs="Arial" w:eastAsia="Arial" w:hAnsi="Arial"/>
          <w:sz w:val="15"/>
          <w:szCs w:val="15"/>
          <w:color w:val="auto"/>
        </w:rPr>
        <w:t> </w:t>
      </w:r>
    </w:p>
    <w:p>
      <w:pPr>
        <w:ind w:left="520"/>
        <w:spacing w:after="0" w:line="226" w:lineRule="auto"/>
        <w:rPr>
          <w:sz w:val="20"/>
          <w:szCs w:val="20"/>
          <w:color w:val="auto"/>
        </w:rPr>
      </w:pPr>
      <w:r>
        <w:rPr>
          <w:rFonts w:ascii="Arial" w:cs="Arial" w:eastAsia="Arial" w:hAnsi="Arial"/>
          <w:sz w:val="15"/>
          <w:szCs w:val="15"/>
          <w:b w:val="1"/>
          <w:bCs w:val="1"/>
          <w:color w:val="auto"/>
        </w:rPr>
        <w:t>Other Public Directorships:</w:t>
      </w:r>
    </w:p>
    <w:p>
      <w:pPr>
        <w:ind w:left="520"/>
        <w:spacing w:after="0" w:line="225" w:lineRule="auto"/>
        <w:rPr>
          <w:sz w:val="20"/>
          <w:szCs w:val="20"/>
          <w:color w:val="auto"/>
        </w:rPr>
      </w:pPr>
      <w:r>
        <w:rPr>
          <w:rFonts w:ascii="Arial" w:cs="Arial" w:eastAsia="Arial" w:hAnsi="Arial"/>
          <w:sz w:val="15"/>
          <w:szCs w:val="15"/>
          <w:color w:val="auto"/>
        </w:rPr>
        <w:t>•   Zimmer Biomet Holdings,</w:t>
      </w:r>
    </w:p>
    <w:p>
      <w:pPr>
        <w:ind w:left="720"/>
        <w:spacing w:after="0"/>
        <w:rPr>
          <w:sz w:val="20"/>
          <w:szCs w:val="20"/>
          <w:color w:val="auto"/>
        </w:rPr>
      </w:pPr>
      <w:r>
        <w:rPr>
          <w:rFonts w:ascii="Arial" w:cs="Arial" w:eastAsia="Arial" w:hAnsi="Arial"/>
          <w:sz w:val="15"/>
          <w:szCs w:val="15"/>
          <w:color w:val="auto"/>
        </w:rPr>
        <w:t>Inc.</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Mr. Kurdikar is the President and Chief Executive Officer of Embecta. Previously,</w:t>
      </w:r>
    </w:p>
    <w:p>
      <w:pPr>
        <w:spacing w:after="0" w:line="230" w:lineRule="auto"/>
        <w:rPr>
          <w:sz w:val="20"/>
          <w:szCs w:val="20"/>
          <w:color w:val="auto"/>
        </w:rPr>
      </w:pPr>
      <w:r>
        <w:rPr>
          <w:rFonts w:ascii="Arial" w:cs="Arial" w:eastAsia="Arial" w:hAnsi="Arial"/>
          <w:sz w:val="15"/>
          <w:szCs w:val="15"/>
          <w:color w:val="auto"/>
        </w:rPr>
        <w:t>Mr. Kurdikar was the Worldwide President of Diabetes Care at BD. Prior to that role,</w:t>
      </w:r>
    </w:p>
    <w:p>
      <w:pPr>
        <w:spacing w:after="0" w:line="225" w:lineRule="auto"/>
        <w:rPr>
          <w:sz w:val="20"/>
          <w:szCs w:val="20"/>
          <w:color w:val="auto"/>
        </w:rPr>
      </w:pPr>
      <w:r>
        <w:rPr>
          <w:rFonts w:ascii="Arial" w:cs="Arial" w:eastAsia="Arial" w:hAnsi="Arial"/>
          <w:sz w:val="15"/>
          <w:szCs w:val="15"/>
          <w:color w:val="auto"/>
        </w:rPr>
        <w:t>Mr. Kurdikar was the President and CEO of Cardiac Science Corporation (“CSC”), a</w:t>
      </w:r>
    </w:p>
    <w:p>
      <w:pPr>
        <w:spacing w:after="0" w:line="226" w:lineRule="auto"/>
        <w:rPr>
          <w:sz w:val="20"/>
          <w:szCs w:val="20"/>
          <w:color w:val="auto"/>
        </w:rPr>
      </w:pPr>
      <w:r>
        <w:rPr>
          <w:rFonts w:ascii="Arial" w:cs="Arial" w:eastAsia="Arial" w:hAnsi="Arial"/>
          <w:sz w:val="15"/>
          <w:szCs w:val="15"/>
          <w:color w:val="auto"/>
        </w:rPr>
        <w:t>global leader in the manufacturing and marketing of automated external defibrillators</w:t>
      </w:r>
    </w:p>
    <w:p>
      <w:pPr>
        <w:spacing w:after="0" w:line="225" w:lineRule="auto"/>
        <w:rPr>
          <w:sz w:val="20"/>
          <w:szCs w:val="20"/>
          <w:color w:val="auto"/>
        </w:rPr>
      </w:pPr>
      <w:r>
        <w:rPr>
          <w:rFonts w:ascii="Arial" w:cs="Arial" w:eastAsia="Arial" w:hAnsi="Arial"/>
          <w:sz w:val="15"/>
          <w:szCs w:val="15"/>
          <w:color w:val="auto"/>
        </w:rPr>
        <w:t>for public access markets. CSC had been acquired by a private equity firm via</w:t>
      </w:r>
    </w:p>
    <w:p>
      <w:pPr>
        <w:spacing w:after="0" w:line="225" w:lineRule="auto"/>
        <w:rPr>
          <w:sz w:val="20"/>
          <w:szCs w:val="20"/>
          <w:color w:val="auto"/>
        </w:rPr>
      </w:pPr>
      <w:r>
        <w:rPr>
          <w:rFonts w:ascii="Arial" w:cs="Arial" w:eastAsia="Arial" w:hAnsi="Arial"/>
          <w:sz w:val="15"/>
          <w:szCs w:val="15"/>
          <w:color w:val="auto"/>
        </w:rPr>
        <w:t>bankruptcy proceedings, and under Mr. Kurdikar’s leadership, CSC returned to</w:t>
      </w:r>
    </w:p>
    <w:p>
      <w:pPr>
        <w:spacing w:after="0" w:line="226" w:lineRule="auto"/>
        <w:rPr>
          <w:sz w:val="20"/>
          <w:szCs w:val="20"/>
          <w:color w:val="auto"/>
        </w:rPr>
      </w:pPr>
      <w:r>
        <w:rPr>
          <w:rFonts w:ascii="Arial" w:cs="Arial" w:eastAsia="Arial" w:hAnsi="Arial"/>
          <w:sz w:val="15"/>
          <w:szCs w:val="15"/>
          <w:color w:val="auto"/>
        </w:rPr>
        <w:t>profitable growth and was sold in a successful exit to ZOLL Medical. Prior to that role,</w:t>
      </w:r>
    </w:p>
    <w:p>
      <w:pPr>
        <w:spacing w:after="0" w:line="225" w:lineRule="auto"/>
        <w:rPr>
          <w:sz w:val="20"/>
          <w:szCs w:val="20"/>
          <w:color w:val="auto"/>
        </w:rPr>
      </w:pPr>
      <w:r>
        <w:rPr>
          <w:rFonts w:ascii="Arial" w:cs="Arial" w:eastAsia="Arial" w:hAnsi="Arial"/>
          <w:sz w:val="15"/>
          <w:szCs w:val="15"/>
          <w:color w:val="auto"/>
        </w:rPr>
        <w:t>Mr. Kurdikar was the Vice President and General Manager, Men’s Health, within</w:t>
      </w:r>
    </w:p>
    <w:p>
      <w:pPr>
        <w:spacing w:after="0" w:line="226" w:lineRule="auto"/>
        <w:rPr>
          <w:sz w:val="20"/>
          <w:szCs w:val="20"/>
          <w:color w:val="auto"/>
        </w:rPr>
      </w:pPr>
      <w:r>
        <w:rPr>
          <w:rFonts w:ascii="Arial" w:cs="Arial" w:eastAsia="Arial" w:hAnsi="Arial"/>
          <w:sz w:val="15"/>
          <w:szCs w:val="15"/>
          <w:color w:val="auto"/>
        </w:rPr>
        <w:t>Urology and Pelvic Health at Boston Scientific. Mr. Kurdikar was in the same role at</w:t>
      </w:r>
    </w:p>
    <w:p>
      <w:pPr>
        <w:spacing w:after="0" w:line="225" w:lineRule="auto"/>
        <w:rPr>
          <w:sz w:val="20"/>
          <w:szCs w:val="20"/>
          <w:color w:val="auto"/>
        </w:rPr>
      </w:pPr>
      <w:r>
        <w:rPr>
          <w:rFonts w:ascii="Arial" w:cs="Arial" w:eastAsia="Arial" w:hAnsi="Arial"/>
          <w:sz w:val="15"/>
          <w:szCs w:val="15"/>
          <w:color w:val="auto"/>
        </w:rPr>
        <w:t>American Medical Systems (“AMS”) and led the Men’s Health business through a</w:t>
      </w:r>
    </w:p>
    <w:p>
      <w:pPr>
        <w:spacing w:after="0" w:line="226" w:lineRule="auto"/>
        <w:rPr>
          <w:sz w:val="20"/>
          <w:szCs w:val="20"/>
          <w:color w:val="auto"/>
        </w:rPr>
      </w:pPr>
      <w:r>
        <w:rPr>
          <w:rFonts w:ascii="Arial" w:cs="Arial" w:eastAsia="Arial" w:hAnsi="Arial"/>
          <w:sz w:val="15"/>
          <w:szCs w:val="15"/>
          <w:color w:val="auto"/>
        </w:rPr>
        <w:t>carve-out and sale to Boston Scientific, where Mr. Kurdikar led the business through its</w:t>
      </w:r>
    </w:p>
    <w:p>
      <w:pPr>
        <w:spacing w:after="0" w:line="225" w:lineRule="auto"/>
        <w:rPr>
          <w:sz w:val="20"/>
          <w:szCs w:val="20"/>
          <w:color w:val="auto"/>
        </w:rPr>
      </w:pPr>
      <w:r>
        <w:rPr>
          <w:rFonts w:ascii="Arial" w:cs="Arial" w:eastAsia="Arial" w:hAnsi="Arial"/>
          <w:sz w:val="15"/>
          <w:szCs w:val="15"/>
          <w:color w:val="auto"/>
        </w:rPr>
        <w:t>integration into Boston Scientific. Before joining AMS, Mr. Kurdikar served as Vice</w:t>
      </w:r>
    </w:p>
    <w:p>
      <w:pPr>
        <w:spacing w:after="0" w:line="225" w:lineRule="auto"/>
        <w:rPr>
          <w:sz w:val="20"/>
          <w:szCs w:val="20"/>
          <w:color w:val="auto"/>
        </w:rPr>
      </w:pPr>
      <w:r>
        <w:rPr>
          <w:rFonts w:ascii="Arial" w:cs="Arial" w:eastAsia="Arial" w:hAnsi="Arial"/>
          <w:sz w:val="15"/>
          <w:szCs w:val="15"/>
          <w:color w:val="auto"/>
        </w:rPr>
        <w:t>President, Marketing, at Baxter, where he worked on a global commercial initiative to</w:t>
      </w:r>
    </w:p>
    <w:p>
      <w:pPr>
        <w:spacing w:after="0" w:line="226" w:lineRule="auto"/>
        <w:rPr>
          <w:sz w:val="20"/>
          <w:szCs w:val="20"/>
          <w:color w:val="auto"/>
        </w:rPr>
      </w:pPr>
      <w:r>
        <w:rPr>
          <w:rFonts w:ascii="Arial" w:cs="Arial" w:eastAsia="Arial" w:hAnsi="Arial"/>
          <w:sz w:val="15"/>
          <w:szCs w:val="15"/>
          <w:color w:val="auto"/>
        </w:rPr>
        <w:t>drive market access, and was previously Vice President, Marketing, for the Infusion</w:t>
      </w:r>
    </w:p>
    <w:p>
      <w:pPr>
        <w:spacing w:after="0" w:line="225" w:lineRule="auto"/>
        <w:rPr>
          <w:sz w:val="20"/>
          <w:szCs w:val="20"/>
          <w:color w:val="auto"/>
        </w:rPr>
      </w:pPr>
      <w:r>
        <w:rPr>
          <w:rFonts w:ascii="Arial" w:cs="Arial" w:eastAsia="Arial" w:hAnsi="Arial"/>
          <w:sz w:val="15"/>
          <w:szCs w:val="15"/>
          <w:color w:val="auto"/>
        </w:rPr>
        <w:t>Systems business for the U.S. region. In his 11 years with Baxter, Mr. Kurdikar held</w:t>
      </w:r>
    </w:p>
    <w:p>
      <w:pPr>
        <w:spacing w:after="0" w:line="226" w:lineRule="auto"/>
        <w:rPr>
          <w:sz w:val="20"/>
          <w:szCs w:val="20"/>
          <w:color w:val="auto"/>
        </w:rPr>
      </w:pPr>
      <w:r>
        <w:rPr>
          <w:rFonts w:ascii="Arial" w:cs="Arial" w:eastAsia="Arial" w:hAnsi="Arial"/>
          <w:sz w:val="15"/>
          <w:szCs w:val="15"/>
          <w:color w:val="auto"/>
        </w:rPr>
        <w:t>leadership roles of increasing responsibility in finance, strategy and integration, R&amp;D</w:t>
      </w:r>
    </w:p>
    <w:p>
      <w:pPr>
        <w:spacing w:after="0" w:line="225" w:lineRule="auto"/>
        <w:rPr>
          <w:sz w:val="20"/>
          <w:szCs w:val="20"/>
          <w:color w:val="auto"/>
        </w:rPr>
      </w:pPr>
      <w:r>
        <w:rPr>
          <w:rFonts w:ascii="Arial" w:cs="Arial" w:eastAsia="Arial" w:hAnsi="Arial"/>
          <w:sz w:val="15"/>
          <w:szCs w:val="15"/>
          <w:color w:val="auto"/>
        </w:rPr>
        <w:t>planning and operations. He began his career as a Senior Research Engineer at The</w:t>
      </w:r>
    </w:p>
    <w:p>
      <w:pPr>
        <w:spacing w:after="0" w:line="225" w:lineRule="auto"/>
        <w:rPr>
          <w:sz w:val="20"/>
          <w:szCs w:val="20"/>
          <w:color w:val="auto"/>
        </w:rPr>
      </w:pPr>
      <w:r>
        <w:rPr>
          <w:rFonts w:ascii="Arial" w:cs="Arial" w:eastAsia="Arial" w:hAnsi="Arial"/>
          <w:sz w:val="15"/>
          <w:szCs w:val="15"/>
          <w:color w:val="auto"/>
        </w:rPr>
        <w:t>Monsanto Company. </w:t>
      </w:r>
    </w:p>
    <w:p>
      <w:pPr>
        <w:spacing w:after="0" w:line="226" w:lineRule="auto"/>
        <w:rPr>
          <w:sz w:val="20"/>
          <w:szCs w:val="20"/>
          <w:color w:val="auto"/>
        </w:rPr>
      </w:pPr>
      <w:r>
        <w:rPr>
          <w:rFonts w:ascii="Arial" w:cs="Arial" w:eastAsia="Arial" w:hAnsi="Arial"/>
          <w:sz w:val="15"/>
          <w:szCs w:val="15"/>
          <w:color w:val="auto"/>
        </w:rPr>
        <w:t> </w:t>
      </w:r>
    </w:p>
    <w:p>
      <w:pPr>
        <w:ind w:right="759"/>
        <w:spacing w:after="0" w:line="225" w:lineRule="auto"/>
        <w:rPr>
          <w:sz w:val="20"/>
          <w:szCs w:val="20"/>
          <w:color w:val="auto"/>
        </w:rPr>
      </w:pPr>
      <w:r>
        <w:rPr>
          <w:rFonts w:ascii="Arial" w:cs="Arial" w:eastAsia="Arial" w:hAnsi="Arial"/>
          <w:sz w:val="15"/>
          <w:szCs w:val="15"/>
          <w:color w:val="auto"/>
        </w:rPr>
        <w:t>Mr. Kurdikar is currently a member of the Board of Directors of Zimmer Biomet Holdings, Inc. (NYSE and SIX: ZBH), AdvaMed (Advanced Medical Technology Association) and LMG Holdings (a portfolio company of The Riverside Company).  </w:t>
      </w:r>
    </w:p>
    <w:p>
      <w:pPr>
        <w:spacing w:after="0" w:line="227" w:lineRule="auto"/>
        <w:rPr>
          <w:sz w:val="20"/>
          <w:szCs w:val="20"/>
          <w:color w:val="auto"/>
        </w:rPr>
      </w:pPr>
      <w:r>
        <w:rPr>
          <w:rFonts w:ascii="Arial" w:cs="Arial" w:eastAsia="Arial" w:hAnsi="Arial"/>
          <w:sz w:val="15"/>
          <w:szCs w:val="15"/>
          <w:b w:val="1"/>
          <w:bCs w:val="1"/>
          <w:color w:val="auto"/>
        </w:rPr>
        <w:t>Education</w:t>
      </w:r>
    </w:p>
    <w:p>
      <w:pPr>
        <w:spacing w:after="0" w:line="225" w:lineRule="auto"/>
        <w:rPr>
          <w:sz w:val="20"/>
          <w:szCs w:val="20"/>
          <w:color w:val="auto"/>
        </w:rPr>
      </w:pPr>
      <w:r>
        <w:rPr>
          <w:rFonts w:ascii="Arial" w:cs="Arial" w:eastAsia="Arial" w:hAnsi="Arial"/>
          <w:sz w:val="15"/>
          <w:szCs w:val="15"/>
          <w:color w:val="auto"/>
        </w:rPr>
        <w:t> </w:t>
      </w:r>
    </w:p>
    <w:p>
      <w:pPr>
        <w:spacing w:after="0" w:line="225" w:lineRule="auto"/>
        <w:rPr>
          <w:sz w:val="20"/>
          <w:szCs w:val="20"/>
          <w:color w:val="auto"/>
        </w:rPr>
      </w:pPr>
      <w:r>
        <w:rPr>
          <w:rFonts w:ascii="Arial" w:cs="Arial" w:eastAsia="Arial" w:hAnsi="Arial"/>
          <w:sz w:val="15"/>
          <w:szCs w:val="15"/>
          <w:color w:val="auto"/>
        </w:rPr>
        <w:t>Mr. Kurdikar holds a Bachelor in Chemical Engineering from the University of Bombay</w:t>
      </w:r>
    </w:p>
    <w:p>
      <w:pPr>
        <w:spacing w:after="0" w:line="226" w:lineRule="auto"/>
        <w:rPr>
          <w:sz w:val="20"/>
          <w:szCs w:val="20"/>
          <w:color w:val="auto"/>
        </w:rPr>
      </w:pPr>
      <w:r>
        <w:rPr>
          <w:rFonts w:ascii="Arial" w:cs="Arial" w:eastAsia="Arial" w:hAnsi="Arial"/>
          <w:sz w:val="15"/>
          <w:szCs w:val="15"/>
          <w:color w:val="auto"/>
        </w:rPr>
        <w:t>(India). He earned a Master of Science in Chemical Engineering from Washington</w:t>
      </w:r>
    </w:p>
    <w:p>
      <w:pPr>
        <w:spacing w:after="0" w:line="225" w:lineRule="auto"/>
        <w:rPr>
          <w:sz w:val="20"/>
          <w:szCs w:val="20"/>
          <w:color w:val="auto"/>
        </w:rPr>
      </w:pPr>
      <w:r>
        <w:rPr>
          <w:rFonts w:ascii="Arial" w:cs="Arial" w:eastAsia="Arial" w:hAnsi="Arial"/>
          <w:sz w:val="15"/>
          <w:szCs w:val="15"/>
          <w:color w:val="auto"/>
        </w:rPr>
        <w:t>State University (Washington), a Ph.D. in Chemical Engineering from Purdue</w:t>
      </w:r>
    </w:p>
    <w:p>
      <w:pPr>
        <w:spacing w:after="0" w:line="226" w:lineRule="auto"/>
        <w:rPr>
          <w:sz w:val="20"/>
          <w:szCs w:val="20"/>
          <w:color w:val="auto"/>
        </w:rPr>
      </w:pPr>
      <w:r>
        <w:rPr>
          <w:rFonts w:ascii="Arial" w:cs="Arial" w:eastAsia="Arial" w:hAnsi="Arial"/>
          <w:sz w:val="15"/>
          <w:szCs w:val="15"/>
          <w:color w:val="auto"/>
        </w:rPr>
        <w:t>University (Indiana), and a Master of Business Administration from Washington</w:t>
      </w:r>
    </w:p>
    <w:p>
      <w:pPr>
        <w:spacing w:after="0" w:line="225" w:lineRule="auto"/>
        <w:rPr>
          <w:sz w:val="20"/>
          <w:szCs w:val="20"/>
          <w:color w:val="auto"/>
        </w:rPr>
      </w:pPr>
      <w:r>
        <w:rPr>
          <w:rFonts w:ascii="Arial" w:cs="Arial" w:eastAsia="Arial" w:hAnsi="Arial"/>
          <w:sz w:val="15"/>
          <w:szCs w:val="15"/>
          <w:color w:val="auto"/>
        </w:rPr>
        <w:t>University (Missouri).</w:t>
      </w:r>
    </w:p>
    <w:p>
      <w:pPr>
        <w:spacing w:after="0" w:line="225" w:lineRule="auto"/>
        <w:rPr>
          <w:sz w:val="20"/>
          <w:szCs w:val="20"/>
          <w:color w:val="auto"/>
        </w:rPr>
      </w:pPr>
      <w:r>
        <w:rPr>
          <w:rFonts w:ascii="Arial" w:cs="Arial" w:eastAsia="Arial" w:hAnsi="Arial"/>
          <w:sz w:val="15"/>
          <w:szCs w:val="15"/>
          <w:color w:val="auto"/>
        </w:rPr>
        <w:t> </w:t>
      </w:r>
    </w:p>
    <w:p>
      <w:pPr>
        <w:spacing w:after="0" w:line="226" w:lineRule="auto"/>
        <w:rPr>
          <w:sz w:val="20"/>
          <w:szCs w:val="20"/>
          <w:color w:val="auto"/>
        </w:rPr>
      </w:pPr>
      <w:r>
        <w:rPr>
          <w:rFonts w:ascii="Arial" w:cs="Arial" w:eastAsia="Arial" w:hAnsi="Arial"/>
          <w:sz w:val="15"/>
          <w:szCs w:val="15"/>
          <w:b w:val="1"/>
          <w:bCs w:val="1"/>
          <w:color w:val="auto"/>
        </w:rPr>
        <w:t>Qualifications, Skills and Experience</w:t>
      </w:r>
    </w:p>
    <w:p>
      <w:pPr>
        <w:spacing w:after="0" w:line="225" w:lineRule="auto"/>
        <w:rPr>
          <w:sz w:val="20"/>
          <w:szCs w:val="20"/>
          <w:color w:val="auto"/>
        </w:rPr>
      </w:pPr>
      <w:r>
        <w:rPr>
          <w:rFonts w:ascii="Arial" w:cs="Arial" w:eastAsia="Arial" w:hAnsi="Arial"/>
          <w:sz w:val="15"/>
          <w:szCs w:val="15"/>
          <w:color w:val="auto"/>
        </w:rPr>
        <w:t> </w:t>
      </w:r>
    </w:p>
    <w:p>
      <w:pPr>
        <w:spacing w:after="0" w:line="1" w:lineRule="exact"/>
        <w:rPr>
          <w:sz w:val="20"/>
          <w:szCs w:val="20"/>
          <w:color w:val="auto"/>
        </w:rPr>
      </w:pPr>
    </w:p>
    <w:p>
      <w:pPr>
        <w:ind w:right="439"/>
        <w:spacing w:after="0" w:line="231" w:lineRule="auto"/>
        <w:rPr>
          <w:sz w:val="20"/>
          <w:szCs w:val="20"/>
          <w:color w:val="auto"/>
        </w:rPr>
      </w:pPr>
      <w:r>
        <w:rPr>
          <w:rFonts w:ascii="Arial" w:cs="Arial" w:eastAsia="Arial" w:hAnsi="Arial"/>
          <w:sz w:val="15"/>
          <w:szCs w:val="15"/>
          <w:color w:val="auto"/>
        </w:rPr>
        <w:t>Mr. Kurdikar is an experienced healthcare executive who brings to the Board his extensive experience in the medical device industry and with medical device technology, including connected medical devices, experience with global business, operations and manufacturing, consumer/retail, strategy and innovation, cybersecurity, risk and crisis management, regulatory and compliance matters, as well as experience with institutional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-1553845</wp:posOffset>
            </wp:positionH>
            <wp:positionV relativeFrom="paragraph">
              <wp:posOffset>89535</wp:posOffset>
            </wp:positionV>
            <wp:extent cx="534924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20" w:space="220"/>
            <w:col w:w="6279"/>
          </w:cols>
          <w:pgMar w:left="1440" w:top="114" w:right="1440" w:bottom="1440" w:gutter="0" w:footer="0" w:header="0"/>
          <w:type w:val="continuous"/>
        </w:sectPr>
      </w:pP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146685</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6"/>
          <w:szCs w:val="16"/>
          <w:color w:val="342C82"/>
        </w:rPr>
        <w:t>Proposal 1: Election of directors</w:t>
      </w:r>
    </w:p>
    <w:p>
      <w:pPr>
        <w:spacing w:after="0" w:line="159" w:lineRule="exact"/>
        <w:rPr>
          <w:sz w:val="20"/>
          <w:szCs w:val="20"/>
          <w:color w:val="auto"/>
        </w:rPr>
      </w:pPr>
    </w:p>
    <w:p>
      <w:pPr>
        <w:ind w:left="300"/>
        <w:spacing w:after="0"/>
        <w:rPr>
          <w:sz w:val="20"/>
          <w:szCs w:val="20"/>
          <w:color w:val="auto"/>
        </w:rPr>
      </w:pPr>
      <w:r>
        <w:rPr>
          <w:rFonts w:ascii="Arial" w:cs="Arial" w:eastAsia="Arial" w:hAnsi="Arial"/>
          <w:sz w:val="25"/>
          <w:szCs w:val="25"/>
          <w:color w:val="auto"/>
        </w:rPr>
        <w:t>LTG (Ret.) David F. Melcher</w:t>
      </w:r>
    </w:p>
    <w:p>
      <w:pPr>
        <w:spacing w:after="0" w:line="163" w:lineRule="exact"/>
        <w:rPr>
          <w:sz w:val="20"/>
          <w:szCs w:val="20"/>
          <w:color w:val="auto"/>
        </w:rPr>
      </w:pPr>
    </w:p>
    <w:p>
      <w:pPr>
        <w:ind w:left="300"/>
        <w:spacing w:after="0"/>
        <w:rPr>
          <w:sz w:val="20"/>
          <w:szCs w:val="20"/>
          <w:color w:val="auto"/>
        </w:rPr>
      </w:pPr>
      <w:r>
        <w:rPr>
          <w:rFonts w:ascii="Arial" w:cs="Arial" w:eastAsia="Arial" w:hAnsi="Arial"/>
          <w:sz w:val="15"/>
          <w:szCs w:val="15"/>
          <w:color w:val="auto"/>
        </w:rPr>
        <w:t>Non-Executive Chairman of the Board, Embecta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46990</wp:posOffset>
            </wp:positionV>
            <wp:extent cx="534924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80"/>
        <w:spacing w:after="0"/>
        <w:rPr>
          <w:sz w:val="20"/>
          <w:szCs w:val="20"/>
          <w:color w:val="auto"/>
        </w:rPr>
      </w:pPr>
      <w:r>
        <w:rPr>
          <w:rFonts w:ascii="Arial" w:cs="Arial" w:eastAsia="Arial" w:hAnsi="Arial"/>
          <w:sz w:val="15"/>
          <w:szCs w:val="15"/>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-1341120</wp:posOffset>
            </wp:positionV>
            <wp:extent cx="1303020" cy="12433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03020" cy="124333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5"/>
          <w:szCs w:val="15"/>
          <w:color w:val="auto"/>
        </w:rPr>
        <w:t> </w:t>
      </w:r>
    </w:p>
    <w:p>
      <w:pPr>
        <w:spacing w:after="0" w:line="55" w:lineRule="exact"/>
        <w:rPr>
          <w:sz w:val="20"/>
          <w:szCs w:val="20"/>
          <w:color w:val="auto"/>
        </w:rPr>
      </w:pPr>
    </w:p>
    <w:p>
      <w:pPr>
        <w:ind w:left="520"/>
        <w:spacing w:after="0"/>
        <w:rPr>
          <w:sz w:val="20"/>
          <w:szCs w:val="20"/>
          <w:color w:val="auto"/>
        </w:rPr>
      </w:pPr>
      <w:r>
        <w:rPr>
          <w:rFonts w:ascii="Arial" w:cs="Arial" w:eastAsia="Arial" w:hAnsi="Arial"/>
          <w:sz w:val="15"/>
          <w:szCs w:val="15"/>
          <w:b w:val="1"/>
          <w:bCs w:val="1"/>
          <w:color w:val="auto"/>
        </w:rPr>
        <w:t xml:space="preserve">Age: </w:t>
      </w:r>
      <w:r>
        <w:rPr>
          <w:rFonts w:ascii="Arial" w:cs="Arial" w:eastAsia="Arial" w:hAnsi="Arial"/>
          <w:sz w:val="15"/>
          <w:szCs w:val="15"/>
          <w:color w:val="auto"/>
        </w:rPr>
        <w:t>70</w:t>
      </w:r>
    </w:p>
    <w:p>
      <w:pPr>
        <w:ind w:left="520"/>
        <w:spacing w:after="0" w:line="233" w:lineRule="auto"/>
        <w:rPr>
          <w:sz w:val="20"/>
          <w:szCs w:val="20"/>
          <w:color w:val="auto"/>
        </w:rPr>
      </w:pPr>
      <w:r>
        <w:rPr>
          <w:rFonts w:ascii="Arial" w:cs="Arial" w:eastAsia="Arial" w:hAnsi="Arial"/>
          <w:sz w:val="15"/>
          <w:szCs w:val="15"/>
          <w:color w:val="auto"/>
        </w:rPr>
        <w:t> </w:t>
      </w:r>
    </w:p>
    <w:p>
      <w:pPr>
        <w:ind w:left="520"/>
        <w:spacing w:after="0" w:line="225" w:lineRule="auto"/>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2022</w:t>
      </w:r>
    </w:p>
    <w:p>
      <w:pPr>
        <w:ind w:left="520"/>
        <w:spacing w:after="0" w:line="225" w:lineRule="auto"/>
        <w:rPr>
          <w:sz w:val="20"/>
          <w:szCs w:val="20"/>
          <w:color w:val="auto"/>
        </w:rPr>
      </w:pPr>
      <w:r>
        <w:rPr>
          <w:rFonts w:ascii="Arial" w:cs="Arial" w:eastAsia="Arial" w:hAnsi="Arial"/>
          <w:sz w:val="15"/>
          <w:szCs w:val="15"/>
          <w:color w:val="auto"/>
        </w:rPr>
        <w:t> </w:t>
      </w:r>
    </w:p>
    <w:p>
      <w:pPr>
        <w:ind w:left="520"/>
        <w:spacing w:after="0" w:line="226" w:lineRule="auto"/>
        <w:rPr>
          <w:sz w:val="20"/>
          <w:szCs w:val="20"/>
          <w:color w:val="auto"/>
        </w:rPr>
      </w:pPr>
      <w:r>
        <w:rPr>
          <w:rFonts w:ascii="Arial" w:cs="Arial" w:eastAsia="Arial" w:hAnsi="Arial"/>
          <w:sz w:val="15"/>
          <w:szCs w:val="15"/>
          <w:b w:val="1"/>
          <w:bCs w:val="1"/>
          <w:color w:val="auto"/>
        </w:rPr>
        <w:t xml:space="preserve">Independent: </w:t>
      </w:r>
      <w:r>
        <w:rPr>
          <w:rFonts w:ascii="Arial" w:cs="Arial" w:eastAsia="Arial" w:hAnsi="Arial"/>
          <w:sz w:val="15"/>
          <w:szCs w:val="15"/>
          <w:color w:val="auto"/>
        </w:rPr>
        <w:t>Yes</w:t>
      </w:r>
    </w:p>
    <w:p>
      <w:pPr>
        <w:ind w:left="520"/>
        <w:spacing w:after="0" w:line="225" w:lineRule="auto"/>
        <w:rPr>
          <w:sz w:val="20"/>
          <w:szCs w:val="20"/>
          <w:color w:val="auto"/>
        </w:rPr>
      </w:pPr>
      <w:r>
        <w:rPr>
          <w:rFonts w:ascii="Arial" w:cs="Arial" w:eastAsia="Arial" w:hAnsi="Arial"/>
          <w:sz w:val="15"/>
          <w:szCs w:val="15"/>
          <w:color w:val="auto"/>
        </w:rPr>
        <w:t> </w:t>
      </w:r>
    </w:p>
    <w:p>
      <w:pPr>
        <w:ind w:left="520"/>
        <w:spacing w:after="0" w:line="226" w:lineRule="auto"/>
        <w:rPr>
          <w:sz w:val="20"/>
          <w:szCs w:val="20"/>
          <w:color w:val="auto"/>
        </w:rPr>
      </w:pPr>
      <w:r>
        <w:rPr>
          <w:rFonts w:ascii="Arial" w:cs="Arial" w:eastAsia="Arial" w:hAnsi="Arial"/>
          <w:sz w:val="15"/>
          <w:szCs w:val="15"/>
          <w:b w:val="1"/>
          <w:bCs w:val="1"/>
          <w:color w:val="auto"/>
        </w:rPr>
        <w:t>Former Public</w:t>
      </w:r>
    </w:p>
    <w:p>
      <w:pPr>
        <w:ind w:left="520"/>
        <w:spacing w:after="0" w:line="225" w:lineRule="auto"/>
        <w:rPr>
          <w:sz w:val="20"/>
          <w:szCs w:val="20"/>
          <w:color w:val="auto"/>
        </w:rPr>
      </w:pPr>
      <w:r>
        <w:rPr>
          <w:rFonts w:ascii="Arial" w:cs="Arial" w:eastAsia="Arial" w:hAnsi="Arial"/>
          <w:sz w:val="15"/>
          <w:szCs w:val="15"/>
          <w:b w:val="1"/>
          <w:bCs w:val="1"/>
          <w:color w:val="auto"/>
        </w:rPr>
        <w:t>Directorships</w:t>
      </w:r>
    </w:p>
    <w:p>
      <w:pPr>
        <w:ind w:left="520"/>
        <w:spacing w:after="0" w:line="225" w:lineRule="auto"/>
        <w:rPr>
          <w:sz w:val="20"/>
          <w:szCs w:val="20"/>
          <w:color w:val="auto"/>
        </w:rPr>
      </w:pPr>
      <w:r>
        <w:rPr>
          <w:rFonts w:ascii="Arial" w:cs="Arial" w:eastAsia="Arial" w:hAnsi="Arial"/>
          <w:sz w:val="15"/>
          <w:szCs w:val="15"/>
          <w:b w:val="1"/>
          <w:bCs w:val="1"/>
          <w:color w:val="auto"/>
        </w:rPr>
        <w:t>(last 5 years):</w:t>
      </w:r>
    </w:p>
    <w:p>
      <w:pPr>
        <w:spacing w:after="0" w:line="1" w:lineRule="exact"/>
        <w:rPr>
          <w:sz w:val="20"/>
          <w:szCs w:val="20"/>
          <w:color w:val="auto"/>
        </w:rPr>
      </w:pPr>
    </w:p>
    <w:p>
      <w:pPr>
        <w:ind w:left="740" w:right="60" w:hanging="222"/>
        <w:spacing w:after="0" w:line="241" w:lineRule="auto"/>
        <w:rPr>
          <w:sz w:val="20"/>
          <w:szCs w:val="20"/>
          <w:color w:val="auto"/>
        </w:rPr>
      </w:pPr>
      <w:r>
        <w:rPr>
          <w:rFonts w:ascii="Arial" w:cs="Arial" w:eastAsia="Arial" w:hAnsi="Arial"/>
          <w:sz w:val="14"/>
          <w:szCs w:val="14"/>
          <w:color w:val="auto"/>
        </w:rPr>
        <w:t>•  Becton, Dickinson and Company</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Cubic Corporation</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right="379"/>
        <w:spacing w:after="0"/>
        <w:rPr>
          <w:sz w:val="20"/>
          <w:szCs w:val="20"/>
          <w:color w:val="auto"/>
        </w:rPr>
      </w:pPr>
      <w:r>
        <w:rPr>
          <w:rFonts w:ascii="Arial" w:cs="Arial" w:eastAsia="Arial" w:hAnsi="Arial"/>
          <w:sz w:val="15"/>
          <w:szCs w:val="15"/>
          <w:color w:val="auto"/>
        </w:rPr>
        <w:t>LTG (Ret.) Melcher is the Non-Executive Chairman of Embecta’s Board. He also currently serves as an Independent Director at the United Services Automobile Association and is on the Board of Managers for GM Defense, LLC, a wholly owned subsidiary of The General Motors Company. In December 2017, LTG (Ret.) Melcher retired as President and Chief Executive Officer of Aerospace Industries Association, a trade association representing major aerospace and defense manufacturers and suppliers, a position he had held since 2015. From 2011 to 2015, he served as Chief Executive Officer, President and a director of Exelis Inc. (“Exelis”), a global aerospace defense, information and technology services company. Exelis, which was bought by Harris Corporation in 2015, was formerly a division of ITT Corporation that LTG (Ret.) Melcher led for three years before being spun off as a public company in 2011. LTG (Ret.) Melcher provided over 32 years of distinguished service in the U.S. Army, retiring as a Lieutenant General in 2008. He commanded a battalion and brigade in both light and heavy divisions, as Commander of the US Army Corps of Engineers Southwestern Division, and served as the Army’s Deputy Chief of Staff for Programs.  </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Education</w:t>
      </w:r>
    </w:p>
    <w:p>
      <w:pPr>
        <w:spacing w:after="0" w:line="225" w:lineRule="auto"/>
        <w:rPr>
          <w:sz w:val="20"/>
          <w:szCs w:val="20"/>
          <w:color w:val="auto"/>
        </w:rPr>
      </w:pPr>
      <w:r>
        <w:rPr>
          <w:rFonts w:ascii="Arial" w:cs="Arial" w:eastAsia="Arial" w:hAnsi="Arial"/>
          <w:sz w:val="15"/>
          <w:szCs w:val="15"/>
          <w:color w:val="auto"/>
        </w:rPr>
        <w:t> </w:t>
      </w:r>
    </w:p>
    <w:p>
      <w:pPr>
        <w:spacing w:after="0" w:line="225" w:lineRule="auto"/>
        <w:rPr>
          <w:sz w:val="20"/>
          <w:szCs w:val="20"/>
          <w:color w:val="auto"/>
        </w:rPr>
      </w:pPr>
      <w:r>
        <w:rPr>
          <w:rFonts w:ascii="Arial" w:cs="Arial" w:eastAsia="Arial" w:hAnsi="Arial"/>
          <w:sz w:val="15"/>
          <w:szCs w:val="15"/>
          <w:color w:val="auto"/>
        </w:rPr>
        <w:t>LTG (Ret.) Melcher holds a Bachelor’s degree concentrating in Civil Engineering from</w:t>
      </w:r>
    </w:p>
    <w:p>
      <w:pPr>
        <w:spacing w:after="0" w:line="226" w:lineRule="auto"/>
        <w:rPr>
          <w:sz w:val="20"/>
          <w:szCs w:val="20"/>
          <w:color w:val="auto"/>
        </w:rPr>
      </w:pPr>
      <w:r>
        <w:rPr>
          <w:rFonts w:ascii="Arial" w:cs="Arial" w:eastAsia="Arial" w:hAnsi="Arial"/>
          <w:sz w:val="15"/>
          <w:szCs w:val="15"/>
          <w:color w:val="auto"/>
        </w:rPr>
        <w:t>the United States Military Academy at West Point, a Master’s in Public Administration</w:t>
      </w:r>
    </w:p>
    <w:p>
      <w:pPr>
        <w:spacing w:after="0" w:line="225" w:lineRule="auto"/>
        <w:rPr>
          <w:sz w:val="20"/>
          <w:szCs w:val="20"/>
          <w:color w:val="auto"/>
        </w:rPr>
      </w:pPr>
      <w:r>
        <w:rPr>
          <w:rFonts w:ascii="Arial" w:cs="Arial" w:eastAsia="Arial" w:hAnsi="Arial"/>
          <w:sz w:val="15"/>
          <w:szCs w:val="15"/>
          <w:color w:val="auto"/>
        </w:rPr>
        <w:t>from Shippensburg University, and Masters in Business Administration from Harvard</w:t>
      </w:r>
    </w:p>
    <w:p>
      <w:pPr>
        <w:spacing w:after="0" w:line="226" w:lineRule="auto"/>
        <w:rPr>
          <w:sz w:val="20"/>
          <w:szCs w:val="20"/>
          <w:color w:val="auto"/>
        </w:rPr>
      </w:pPr>
      <w:r>
        <w:rPr>
          <w:rFonts w:ascii="Arial" w:cs="Arial" w:eastAsia="Arial" w:hAnsi="Arial"/>
          <w:sz w:val="15"/>
          <w:szCs w:val="15"/>
          <w:color w:val="auto"/>
        </w:rPr>
        <w:t>Business School.</w:t>
      </w:r>
    </w:p>
    <w:p>
      <w:pPr>
        <w:spacing w:after="0" w:line="225" w:lineRule="auto"/>
        <w:rPr>
          <w:sz w:val="20"/>
          <w:szCs w:val="20"/>
          <w:color w:val="auto"/>
        </w:rPr>
      </w:pPr>
      <w:r>
        <w:rPr>
          <w:rFonts w:ascii="Arial" w:cs="Arial" w:eastAsia="Arial" w:hAnsi="Arial"/>
          <w:sz w:val="15"/>
          <w:szCs w:val="15"/>
          <w:color w:val="auto"/>
        </w:rPr>
        <w:t> </w:t>
      </w:r>
    </w:p>
    <w:p>
      <w:pPr>
        <w:spacing w:after="0" w:line="225" w:lineRule="auto"/>
        <w:rPr>
          <w:sz w:val="20"/>
          <w:szCs w:val="20"/>
          <w:color w:val="auto"/>
        </w:rPr>
      </w:pPr>
      <w:r>
        <w:rPr>
          <w:rFonts w:ascii="Arial" w:cs="Arial" w:eastAsia="Arial" w:hAnsi="Arial"/>
          <w:sz w:val="15"/>
          <w:szCs w:val="15"/>
          <w:b w:val="1"/>
          <w:bCs w:val="1"/>
          <w:color w:val="auto"/>
        </w:rPr>
        <w:t>Qualifications, Skills and Experience</w:t>
      </w:r>
    </w:p>
    <w:p>
      <w:pPr>
        <w:spacing w:after="0" w:line="226" w:lineRule="auto"/>
        <w:rPr>
          <w:sz w:val="20"/>
          <w:szCs w:val="20"/>
          <w:color w:val="auto"/>
        </w:rPr>
      </w:pPr>
      <w:r>
        <w:rPr>
          <w:rFonts w:ascii="Arial" w:cs="Arial" w:eastAsia="Arial" w:hAnsi="Arial"/>
          <w:sz w:val="15"/>
          <w:szCs w:val="15"/>
          <w:color w:val="auto"/>
        </w:rPr>
        <w:t> </w:t>
      </w:r>
    </w:p>
    <w:p>
      <w:pPr>
        <w:ind w:right="439"/>
        <w:spacing w:after="0" w:line="231" w:lineRule="auto"/>
        <w:rPr>
          <w:sz w:val="20"/>
          <w:szCs w:val="20"/>
          <w:color w:val="auto"/>
        </w:rPr>
      </w:pPr>
      <w:r>
        <w:rPr>
          <w:rFonts w:ascii="Arial" w:cs="Arial" w:eastAsia="Arial" w:hAnsi="Arial"/>
          <w:sz w:val="15"/>
          <w:szCs w:val="15"/>
          <w:color w:val="auto"/>
        </w:rPr>
        <w:t>LTG (Ret.) Melcher brings strong executive experience as a result of his many years in leadership positions in the defense community and as a former Chief Executive Officer of a public company. LTG (Ret.) Melcher offers the perspective of a seasoned executive with extensive experience and expertise in the areas of domestic and international business, program management, strategy development, finance and information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-1553845</wp:posOffset>
            </wp:positionH>
            <wp:positionV relativeFrom="paragraph">
              <wp:posOffset>89535</wp:posOffset>
            </wp:positionV>
            <wp:extent cx="534924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20" w:space="720"/>
            <w:col w:w="6279"/>
          </w:cols>
          <w:pgMar w:left="1440" w:top="114" w:right="1440" w:bottom="1440" w:gutter="0" w:footer="0" w:header="0"/>
          <w:type w:val="continuous"/>
        </w:sectPr>
      </w:pP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146685</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jc w:val="right"/>
        <w:ind w:right="299"/>
        <w:spacing w:after="0"/>
        <w:rPr>
          <w:sz w:val="20"/>
          <w:szCs w:val="20"/>
          <w:color w:val="auto"/>
        </w:rPr>
      </w:pPr>
      <w:r>
        <w:rPr>
          <w:rFonts w:ascii="Arial" w:cs="Arial" w:eastAsia="Arial" w:hAnsi="Arial"/>
          <w:sz w:val="16"/>
          <w:szCs w:val="16"/>
          <w:color w:val="342C82"/>
        </w:rPr>
        <w:t>Proposal 1: Election of directors</w:t>
      </w:r>
    </w:p>
    <w:p>
      <w:pPr>
        <w:spacing w:after="0" w:line="159" w:lineRule="exact"/>
        <w:rPr>
          <w:sz w:val="20"/>
          <w:szCs w:val="20"/>
          <w:color w:val="auto"/>
        </w:rPr>
      </w:pPr>
    </w:p>
    <w:p>
      <w:pPr>
        <w:ind w:left="300" w:right="3319"/>
        <w:spacing w:after="0" w:line="285" w:lineRule="auto"/>
        <w:rPr>
          <w:sz w:val="20"/>
          <w:szCs w:val="20"/>
          <w:color w:val="auto"/>
        </w:rPr>
      </w:pPr>
      <w:r>
        <w:rPr>
          <w:rFonts w:ascii="Arial" w:cs="Arial" w:eastAsia="Arial" w:hAnsi="Arial"/>
          <w:sz w:val="25"/>
          <w:szCs w:val="25"/>
          <w:color w:val="342C82"/>
        </w:rPr>
        <w:t>Directors whose terms expire at the 2026 annual stockholder meeting</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25"/>
          <w:szCs w:val="25"/>
          <w:color w:val="auto"/>
        </w:rPr>
        <w:t>Milton M. Morris, Ph.D.</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5"/>
          <w:szCs w:val="15"/>
          <w:color w:val="auto"/>
        </w:rPr>
        <w:t>Former Chairman and Chief Executive Officer, Neuspera Medical,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55880</wp:posOffset>
            </wp:positionV>
            <wp:extent cx="534924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80"/>
        <w:spacing w:after="0"/>
        <w:rPr>
          <w:sz w:val="20"/>
          <w:szCs w:val="20"/>
          <w:color w:val="auto"/>
        </w:rPr>
      </w:pPr>
      <w:r>
        <w:rPr>
          <w:rFonts w:ascii="Arial" w:cs="Arial" w:eastAsia="Arial" w:hAnsi="Arial"/>
          <w:sz w:val="15"/>
          <w:szCs w:val="15"/>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-1332230</wp:posOffset>
            </wp:positionV>
            <wp:extent cx="1303020" cy="12344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03020" cy="123444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5"/>
          <w:szCs w:val="15"/>
          <w:color w:val="auto"/>
        </w:rPr>
        <w:t> </w:t>
      </w:r>
    </w:p>
    <w:p>
      <w:pPr>
        <w:spacing w:after="0" w:line="41" w:lineRule="exact"/>
        <w:rPr>
          <w:sz w:val="20"/>
          <w:szCs w:val="20"/>
          <w:color w:val="auto"/>
        </w:rPr>
      </w:pPr>
    </w:p>
    <w:p>
      <w:pPr>
        <w:ind w:left="520"/>
        <w:spacing w:after="0"/>
        <w:rPr>
          <w:sz w:val="20"/>
          <w:szCs w:val="20"/>
          <w:color w:val="auto"/>
        </w:rPr>
      </w:pPr>
      <w:r>
        <w:rPr>
          <w:rFonts w:ascii="Arial" w:cs="Arial" w:eastAsia="Arial" w:hAnsi="Arial"/>
          <w:sz w:val="15"/>
          <w:szCs w:val="15"/>
          <w:b w:val="1"/>
          <w:bCs w:val="1"/>
          <w:color w:val="auto"/>
        </w:rPr>
        <w:t xml:space="preserve">Age: </w:t>
      </w:r>
      <w:r>
        <w:rPr>
          <w:rFonts w:ascii="Arial" w:cs="Arial" w:eastAsia="Arial" w:hAnsi="Arial"/>
          <w:sz w:val="15"/>
          <w:szCs w:val="15"/>
          <w:color w:val="auto"/>
        </w:rPr>
        <w:t>54</w:t>
      </w:r>
    </w:p>
    <w:p>
      <w:pPr>
        <w:ind w:left="520"/>
        <w:spacing w:after="0" w:line="233" w:lineRule="auto"/>
        <w:rPr>
          <w:sz w:val="20"/>
          <w:szCs w:val="20"/>
          <w:color w:val="auto"/>
        </w:rPr>
      </w:pPr>
      <w:r>
        <w:rPr>
          <w:rFonts w:ascii="Arial" w:cs="Arial" w:eastAsia="Arial" w:hAnsi="Arial"/>
          <w:sz w:val="15"/>
          <w:szCs w:val="15"/>
          <w:color w:val="auto"/>
        </w:rPr>
        <w:t> </w:t>
      </w:r>
    </w:p>
    <w:p>
      <w:pPr>
        <w:ind w:left="520"/>
        <w:spacing w:after="0" w:line="225" w:lineRule="auto"/>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2022</w:t>
      </w:r>
    </w:p>
    <w:p>
      <w:pPr>
        <w:ind w:left="520"/>
        <w:spacing w:after="0" w:line="225" w:lineRule="auto"/>
        <w:rPr>
          <w:sz w:val="20"/>
          <w:szCs w:val="20"/>
          <w:color w:val="auto"/>
        </w:rPr>
      </w:pPr>
      <w:r>
        <w:rPr>
          <w:rFonts w:ascii="Arial" w:cs="Arial" w:eastAsia="Arial" w:hAnsi="Arial"/>
          <w:sz w:val="15"/>
          <w:szCs w:val="15"/>
          <w:color w:val="auto"/>
        </w:rPr>
        <w:t> </w:t>
      </w:r>
    </w:p>
    <w:p>
      <w:pPr>
        <w:ind w:left="520"/>
        <w:spacing w:after="0" w:line="226" w:lineRule="auto"/>
        <w:rPr>
          <w:sz w:val="20"/>
          <w:szCs w:val="20"/>
          <w:color w:val="auto"/>
        </w:rPr>
      </w:pPr>
      <w:r>
        <w:rPr>
          <w:rFonts w:ascii="Arial" w:cs="Arial" w:eastAsia="Arial" w:hAnsi="Arial"/>
          <w:sz w:val="15"/>
          <w:szCs w:val="15"/>
          <w:b w:val="1"/>
          <w:bCs w:val="1"/>
          <w:color w:val="auto"/>
        </w:rPr>
        <w:t xml:space="preserve">Independent: </w:t>
      </w:r>
      <w:r>
        <w:rPr>
          <w:rFonts w:ascii="Arial" w:cs="Arial" w:eastAsia="Arial" w:hAnsi="Arial"/>
          <w:sz w:val="15"/>
          <w:szCs w:val="15"/>
          <w:color w:val="auto"/>
        </w:rPr>
        <w:t>Yes</w:t>
      </w:r>
    </w:p>
    <w:p>
      <w:pPr>
        <w:ind w:left="520"/>
        <w:spacing w:after="0" w:line="225" w:lineRule="auto"/>
        <w:rPr>
          <w:sz w:val="20"/>
          <w:szCs w:val="20"/>
          <w:color w:val="auto"/>
        </w:rPr>
      </w:pPr>
      <w:r>
        <w:rPr>
          <w:rFonts w:ascii="Arial" w:cs="Arial" w:eastAsia="Arial" w:hAnsi="Arial"/>
          <w:sz w:val="15"/>
          <w:szCs w:val="15"/>
          <w:color w:val="auto"/>
        </w:rPr>
        <w:t> </w:t>
      </w:r>
    </w:p>
    <w:p>
      <w:pPr>
        <w:ind w:left="520"/>
        <w:spacing w:after="0" w:line="226" w:lineRule="auto"/>
        <w:rPr>
          <w:sz w:val="20"/>
          <w:szCs w:val="20"/>
          <w:color w:val="auto"/>
        </w:rPr>
      </w:pPr>
      <w:r>
        <w:rPr>
          <w:rFonts w:ascii="Arial" w:cs="Arial" w:eastAsia="Arial" w:hAnsi="Arial"/>
          <w:sz w:val="15"/>
          <w:szCs w:val="15"/>
          <w:b w:val="1"/>
          <w:bCs w:val="1"/>
          <w:color w:val="auto"/>
        </w:rPr>
        <w:t>Committees:</w:t>
      </w:r>
    </w:p>
    <w:p>
      <w:pPr>
        <w:ind w:left="740" w:right="320" w:hanging="222"/>
        <w:spacing w:after="0" w:line="225" w:lineRule="auto"/>
        <w:rPr>
          <w:sz w:val="20"/>
          <w:szCs w:val="20"/>
          <w:color w:val="auto"/>
        </w:rPr>
      </w:pPr>
      <w:r>
        <w:rPr>
          <w:rFonts w:ascii="Arial" w:cs="Arial" w:eastAsia="Arial" w:hAnsi="Arial"/>
          <w:sz w:val="15"/>
          <w:szCs w:val="15"/>
          <w:color w:val="auto"/>
        </w:rPr>
        <w:t>•  Compensation and Management Development</w:t>
      </w:r>
    </w:p>
    <w:p>
      <w:pPr>
        <w:spacing w:after="0" w:line="1" w:lineRule="exact"/>
        <w:rPr>
          <w:sz w:val="20"/>
          <w:szCs w:val="20"/>
          <w:color w:val="auto"/>
        </w:rPr>
      </w:pPr>
    </w:p>
    <w:p>
      <w:pPr>
        <w:ind w:left="720" w:hanging="199"/>
        <w:spacing w:after="0" w:line="241" w:lineRule="auto"/>
        <w:tabs>
          <w:tab w:leader="none" w:pos="700" w:val="left"/>
        </w:tabs>
        <w:rPr>
          <w:sz w:val="20"/>
          <w:szCs w:val="20"/>
          <w:color w:val="auto"/>
        </w:rPr>
      </w:pPr>
      <w:r>
        <w:rPr>
          <w:rFonts w:ascii="Arial" w:cs="Arial" w:eastAsia="Arial" w:hAnsi="Arial"/>
          <w:sz w:val="14"/>
          <w:szCs w:val="14"/>
          <w:color w:val="auto"/>
        </w:rPr>
        <w:t>• </w:t>
        <w:tab/>
        <w:t>Technology, Quality and Regulatory</w:t>
      </w:r>
    </w:p>
    <w:p>
      <w:pPr>
        <w:ind w:left="520"/>
        <w:spacing w:after="0" w:line="226" w:lineRule="auto"/>
        <w:rPr>
          <w:sz w:val="20"/>
          <w:szCs w:val="20"/>
          <w:color w:val="auto"/>
        </w:rPr>
      </w:pPr>
      <w:r>
        <w:rPr>
          <w:rFonts w:ascii="Arial" w:cs="Arial" w:eastAsia="Arial" w:hAnsi="Arial"/>
          <w:sz w:val="15"/>
          <w:szCs w:val="15"/>
          <w:color w:val="auto"/>
        </w:rPr>
        <w:t> </w:t>
      </w:r>
    </w:p>
    <w:p>
      <w:pPr>
        <w:ind w:left="520"/>
        <w:spacing w:after="0" w:line="225" w:lineRule="auto"/>
        <w:rPr>
          <w:sz w:val="20"/>
          <w:szCs w:val="20"/>
          <w:color w:val="auto"/>
        </w:rPr>
      </w:pPr>
      <w:r>
        <w:rPr>
          <w:rFonts w:ascii="Arial" w:cs="Arial" w:eastAsia="Arial" w:hAnsi="Arial"/>
          <w:sz w:val="15"/>
          <w:szCs w:val="15"/>
          <w:b w:val="1"/>
          <w:bCs w:val="1"/>
          <w:color w:val="auto"/>
        </w:rPr>
        <w:t>Other Public</w:t>
      </w:r>
    </w:p>
    <w:p>
      <w:pPr>
        <w:ind w:left="520"/>
        <w:spacing w:after="0" w:line="226" w:lineRule="auto"/>
        <w:rPr>
          <w:sz w:val="20"/>
          <w:szCs w:val="20"/>
          <w:color w:val="auto"/>
        </w:rPr>
      </w:pPr>
      <w:r>
        <w:rPr>
          <w:rFonts w:ascii="Arial" w:cs="Arial" w:eastAsia="Arial" w:hAnsi="Arial"/>
          <w:sz w:val="15"/>
          <w:szCs w:val="15"/>
          <w:b w:val="1"/>
          <w:bCs w:val="1"/>
          <w:color w:val="auto"/>
        </w:rPr>
        <w:t>Directorships:</w:t>
      </w:r>
    </w:p>
    <w:p>
      <w:pPr>
        <w:ind w:left="520"/>
        <w:spacing w:after="0" w:line="225" w:lineRule="auto"/>
        <w:rPr>
          <w:sz w:val="20"/>
          <w:szCs w:val="20"/>
          <w:color w:val="auto"/>
        </w:rPr>
      </w:pPr>
      <w:r>
        <w:rPr>
          <w:rFonts w:ascii="Arial" w:cs="Arial" w:eastAsia="Arial" w:hAnsi="Arial"/>
          <w:sz w:val="15"/>
          <w:szCs w:val="15"/>
          <w:color w:val="auto"/>
        </w:rPr>
        <w:t>•   Myomo, Inc.</w:t>
      </w:r>
    </w:p>
    <w:p>
      <w:pPr>
        <w:ind w:left="520"/>
        <w:spacing w:after="0"/>
        <w:rPr>
          <w:sz w:val="20"/>
          <w:szCs w:val="20"/>
          <w:color w:val="auto"/>
        </w:rPr>
      </w:pPr>
      <w:r>
        <w:rPr>
          <w:rFonts w:ascii="Arial" w:cs="Arial" w:eastAsia="Arial" w:hAnsi="Arial"/>
          <w:sz w:val="15"/>
          <w:szCs w:val="15"/>
          <w:color w:val="auto"/>
        </w:rPr>
        <w:t>•   Nordson Corporation</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right="419"/>
        <w:spacing w:after="0"/>
        <w:rPr>
          <w:sz w:val="20"/>
          <w:szCs w:val="20"/>
          <w:color w:val="auto"/>
        </w:rPr>
      </w:pPr>
      <w:r>
        <w:rPr>
          <w:rFonts w:ascii="Arial" w:cs="Arial" w:eastAsia="Arial" w:hAnsi="Arial"/>
          <w:sz w:val="15"/>
          <w:szCs w:val="15"/>
          <w:color w:val="auto"/>
        </w:rPr>
        <w:t>Dr. Morris is a medical device C-Suite Executive and a public/private company independent board member. He most recently led Neuspera Medical, Inc.(“Neuspera”), as Chairman and CEO. Prior to joining Neuspera, Dr. Morris was the Senior Vice President of Research &amp; Development and Emerging Therapies at Cyberonics, Inc. (now LivaNova, PLC). Previously, Dr. Morris held several positions of increasing responsibility at Guidant Corporation (“Guidant”) and its successor, Boston Scientific Corporation (“Boston Scientific”), including Principal Research Scientist, Director, Research &amp; Development and Director, Marketing. Prior to joining Guidant, Dr. Morris worked as a Research Assistant in the Medical Computing Laboratory at the University of Michigan in collaboration with the electrophysiology group at the University of Michigan hospital and the Michigan Heart and Vascular Institute.  </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Dr. Morris is a member of the Board of Directors of Myomo, Inc. (NYSE: MYO) and of</w:t>
      </w:r>
    </w:p>
    <w:p>
      <w:pPr>
        <w:spacing w:after="0" w:line="225" w:lineRule="auto"/>
        <w:rPr>
          <w:sz w:val="20"/>
          <w:szCs w:val="20"/>
          <w:color w:val="auto"/>
        </w:rPr>
      </w:pPr>
      <w:r>
        <w:rPr>
          <w:rFonts w:ascii="Arial" w:cs="Arial" w:eastAsia="Arial" w:hAnsi="Arial"/>
          <w:sz w:val="15"/>
          <w:szCs w:val="15"/>
          <w:color w:val="auto"/>
        </w:rPr>
        <w:t>Nordson Corporation (NASDAQ: NDSN). Dr. Morris serves on the Board of Trustees</w:t>
      </w:r>
    </w:p>
    <w:p>
      <w:pPr>
        <w:spacing w:after="0" w:line="225" w:lineRule="auto"/>
        <w:rPr>
          <w:sz w:val="20"/>
          <w:szCs w:val="20"/>
          <w:color w:val="auto"/>
        </w:rPr>
      </w:pPr>
      <w:r>
        <w:rPr>
          <w:rFonts w:ascii="Arial" w:cs="Arial" w:eastAsia="Arial" w:hAnsi="Arial"/>
          <w:sz w:val="15"/>
          <w:szCs w:val="15"/>
          <w:color w:val="auto"/>
        </w:rPr>
        <w:t>for Northwestern University, where he chairs the Northwestern Medicine Committee,</w:t>
      </w:r>
    </w:p>
    <w:p>
      <w:pPr>
        <w:spacing w:after="0" w:line="226" w:lineRule="auto"/>
        <w:rPr>
          <w:sz w:val="20"/>
          <w:szCs w:val="20"/>
          <w:color w:val="auto"/>
        </w:rPr>
      </w:pPr>
      <w:r>
        <w:rPr>
          <w:rFonts w:ascii="Arial" w:cs="Arial" w:eastAsia="Arial" w:hAnsi="Arial"/>
          <w:sz w:val="15"/>
          <w:szCs w:val="15"/>
          <w:color w:val="auto"/>
        </w:rPr>
        <w:t>and is a Fellow in the American Institute for Medical and Biological Engineering, where</w:t>
      </w:r>
    </w:p>
    <w:p>
      <w:pPr>
        <w:spacing w:after="0" w:line="225" w:lineRule="auto"/>
        <w:rPr>
          <w:sz w:val="20"/>
          <w:szCs w:val="20"/>
          <w:color w:val="auto"/>
        </w:rPr>
      </w:pPr>
      <w:r>
        <w:rPr>
          <w:rFonts w:ascii="Arial" w:cs="Arial" w:eastAsia="Arial" w:hAnsi="Arial"/>
          <w:sz w:val="15"/>
          <w:szCs w:val="15"/>
          <w:color w:val="auto"/>
        </w:rPr>
        <w:t>he was inducted for contributions to developing and commercializing innovations in</w:t>
      </w:r>
    </w:p>
    <w:p>
      <w:pPr>
        <w:spacing w:after="0" w:line="226" w:lineRule="auto"/>
        <w:rPr>
          <w:sz w:val="20"/>
          <w:szCs w:val="20"/>
          <w:color w:val="auto"/>
        </w:rPr>
      </w:pPr>
      <w:r>
        <w:rPr>
          <w:rFonts w:ascii="Arial" w:cs="Arial" w:eastAsia="Arial" w:hAnsi="Arial"/>
          <w:sz w:val="15"/>
          <w:szCs w:val="15"/>
          <w:color w:val="auto"/>
        </w:rPr>
        <w:t>bioelectronic medicine.</w:t>
      </w:r>
    </w:p>
    <w:p>
      <w:pPr>
        <w:spacing w:after="0" w:line="225" w:lineRule="auto"/>
        <w:rPr>
          <w:sz w:val="20"/>
          <w:szCs w:val="20"/>
          <w:color w:val="auto"/>
        </w:rPr>
      </w:pPr>
      <w:r>
        <w:rPr>
          <w:rFonts w:ascii="Arial" w:cs="Arial" w:eastAsia="Arial" w:hAnsi="Arial"/>
          <w:sz w:val="15"/>
          <w:szCs w:val="15"/>
          <w:color w:val="auto"/>
        </w:rPr>
        <w:t> </w:t>
      </w:r>
    </w:p>
    <w:p>
      <w:pPr>
        <w:spacing w:after="0" w:line="225" w:lineRule="auto"/>
        <w:rPr>
          <w:sz w:val="20"/>
          <w:szCs w:val="20"/>
          <w:color w:val="auto"/>
        </w:rPr>
      </w:pPr>
      <w:r>
        <w:rPr>
          <w:rFonts w:ascii="Arial" w:cs="Arial" w:eastAsia="Arial" w:hAnsi="Arial"/>
          <w:sz w:val="15"/>
          <w:szCs w:val="15"/>
          <w:b w:val="1"/>
          <w:bCs w:val="1"/>
          <w:color w:val="auto"/>
        </w:rPr>
        <w:t>Education</w:t>
      </w:r>
    </w:p>
    <w:p>
      <w:pPr>
        <w:spacing w:after="0" w:line="226" w:lineRule="auto"/>
        <w:rPr>
          <w:sz w:val="20"/>
          <w:szCs w:val="20"/>
          <w:color w:val="auto"/>
        </w:rPr>
      </w:pPr>
      <w:r>
        <w:rPr>
          <w:rFonts w:ascii="Arial" w:cs="Arial" w:eastAsia="Arial" w:hAnsi="Arial"/>
          <w:sz w:val="15"/>
          <w:szCs w:val="15"/>
          <w:color w:val="auto"/>
        </w:rPr>
        <w:t> </w:t>
      </w:r>
    </w:p>
    <w:p>
      <w:pPr>
        <w:spacing w:after="0" w:line="225" w:lineRule="auto"/>
        <w:rPr>
          <w:sz w:val="20"/>
          <w:szCs w:val="20"/>
          <w:color w:val="auto"/>
        </w:rPr>
      </w:pPr>
      <w:r>
        <w:rPr>
          <w:rFonts w:ascii="Arial" w:cs="Arial" w:eastAsia="Arial" w:hAnsi="Arial"/>
          <w:sz w:val="15"/>
          <w:szCs w:val="15"/>
          <w:color w:val="auto"/>
        </w:rPr>
        <w:t>Dr. Morris holds a Master of Business Administration from Northwestern University’s</w:t>
      </w:r>
    </w:p>
    <w:p>
      <w:pPr>
        <w:spacing w:after="0" w:line="226" w:lineRule="auto"/>
        <w:rPr>
          <w:sz w:val="20"/>
          <w:szCs w:val="20"/>
          <w:color w:val="auto"/>
        </w:rPr>
      </w:pPr>
      <w:r>
        <w:rPr>
          <w:rFonts w:ascii="Arial" w:cs="Arial" w:eastAsia="Arial" w:hAnsi="Arial"/>
          <w:sz w:val="15"/>
          <w:szCs w:val="15"/>
          <w:color w:val="auto"/>
        </w:rPr>
        <w:t>Kellogg School of Management, a Master’s and Ph.D. in Electrical Engineering from</w:t>
      </w:r>
    </w:p>
    <w:p>
      <w:pPr>
        <w:spacing w:after="0" w:line="225" w:lineRule="auto"/>
        <w:rPr>
          <w:sz w:val="20"/>
          <w:szCs w:val="20"/>
          <w:color w:val="auto"/>
        </w:rPr>
      </w:pPr>
      <w:r>
        <w:rPr>
          <w:rFonts w:ascii="Arial" w:cs="Arial" w:eastAsia="Arial" w:hAnsi="Arial"/>
          <w:sz w:val="15"/>
          <w:szCs w:val="15"/>
          <w:color w:val="auto"/>
        </w:rPr>
        <w:t>the University of Michigan and a Bachelor of Science in Electrical Engineering from</w:t>
      </w:r>
    </w:p>
    <w:p>
      <w:pPr>
        <w:spacing w:after="0" w:line="225" w:lineRule="auto"/>
        <w:rPr>
          <w:sz w:val="20"/>
          <w:szCs w:val="20"/>
          <w:color w:val="auto"/>
        </w:rPr>
      </w:pPr>
      <w:r>
        <w:rPr>
          <w:rFonts w:ascii="Arial" w:cs="Arial" w:eastAsia="Arial" w:hAnsi="Arial"/>
          <w:sz w:val="15"/>
          <w:szCs w:val="15"/>
          <w:color w:val="auto"/>
        </w:rPr>
        <w:t>Northwestern University.</w:t>
      </w:r>
    </w:p>
    <w:p>
      <w:pPr>
        <w:spacing w:after="0" w:line="226" w:lineRule="auto"/>
        <w:rPr>
          <w:sz w:val="20"/>
          <w:szCs w:val="20"/>
          <w:color w:val="auto"/>
        </w:rPr>
      </w:pPr>
      <w:r>
        <w:rPr>
          <w:rFonts w:ascii="Arial" w:cs="Arial" w:eastAsia="Arial" w:hAnsi="Arial"/>
          <w:sz w:val="15"/>
          <w:szCs w:val="15"/>
          <w:color w:val="auto"/>
        </w:rPr>
        <w:t> </w:t>
      </w:r>
    </w:p>
    <w:p>
      <w:pPr>
        <w:spacing w:after="0" w:line="225" w:lineRule="auto"/>
        <w:rPr>
          <w:sz w:val="20"/>
          <w:szCs w:val="20"/>
          <w:color w:val="auto"/>
        </w:rPr>
      </w:pPr>
      <w:r>
        <w:rPr>
          <w:rFonts w:ascii="Arial" w:cs="Arial" w:eastAsia="Arial" w:hAnsi="Arial"/>
          <w:sz w:val="15"/>
          <w:szCs w:val="15"/>
          <w:b w:val="1"/>
          <w:bCs w:val="1"/>
          <w:color w:val="auto"/>
        </w:rPr>
        <w:t>Qualifications, Skills and Experience</w:t>
      </w:r>
    </w:p>
    <w:p>
      <w:pPr>
        <w:spacing w:after="0" w:line="226" w:lineRule="auto"/>
        <w:rPr>
          <w:sz w:val="20"/>
          <w:szCs w:val="20"/>
          <w:color w:val="auto"/>
        </w:rPr>
      </w:pPr>
      <w:r>
        <w:rPr>
          <w:rFonts w:ascii="Arial" w:cs="Arial" w:eastAsia="Arial" w:hAnsi="Arial"/>
          <w:sz w:val="15"/>
          <w:szCs w:val="15"/>
          <w:color w:val="auto"/>
        </w:rPr>
        <w:t> </w:t>
      </w:r>
    </w:p>
    <w:p>
      <w:pPr>
        <w:ind w:right="519"/>
        <w:spacing w:after="0" w:line="231" w:lineRule="auto"/>
        <w:rPr>
          <w:sz w:val="20"/>
          <w:szCs w:val="20"/>
          <w:color w:val="auto"/>
        </w:rPr>
      </w:pPr>
      <w:r>
        <w:rPr>
          <w:rFonts w:ascii="Arial" w:cs="Arial" w:eastAsia="Arial" w:hAnsi="Arial"/>
          <w:sz w:val="15"/>
          <w:szCs w:val="15"/>
          <w:color w:val="auto"/>
        </w:rPr>
        <w:t>Dr. Morris brings to the Board his leadership experience in the medical industry, his expertise in developing and successfully launching new medical device products, and his deep knowledge of the medical field. Dr. Morris also has extensive experience in global business, operations and manufacturing, strategy and innovation, payer and medical reimbursement, risk and crisis management and regulatory and compliance matters, as well as experience with institutional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-1553845</wp:posOffset>
            </wp:positionH>
            <wp:positionV relativeFrom="paragraph">
              <wp:posOffset>89535</wp:posOffset>
            </wp:positionV>
            <wp:extent cx="534924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40" w:space="400"/>
            <w:col w:w="6279"/>
          </w:cols>
          <w:pgMar w:left="1440" w:top="114" w:right="1440" w:bottom="1440" w:gutter="0" w:footer="0" w:header="0"/>
          <w:type w:val="continuous"/>
        </w:sectPr>
      </w:pP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138430</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6"/>
          <w:szCs w:val="16"/>
          <w:color w:val="342C82"/>
        </w:rPr>
        <w:t>Proposal 1: Election of directors</w:t>
      </w:r>
    </w:p>
    <w:p>
      <w:pPr>
        <w:spacing w:after="0" w:line="159" w:lineRule="exact"/>
        <w:rPr>
          <w:sz w:val="20"/>
          <w:szCs w:val="20"/>
          <w:color w:val="auto"/>
        </w:rPr>
      </w:pPr>
    </w:p>
    <w:p>
      <w:pPr>
        <w:ind w:left="300"/>
        <w:spacing w:after="0"/>
        <w:rPr>
          <w:sz w:val="20"/>
          <w:szCs w:val="20"/>
          <w:color w:val="auto"/>
        </w:rPr>
      </w:pPr>
      <w:r>
        <w:rPr>
          <w:rFonts w:ascii="Arial" w:cs="Arial" w:eastAsia="Arial" w:hAnsi="Arial"/>
          <w:sz w:val="25"/>
          <w:szCs w:val="25"/>
          <w:color w:val="auto"/>
        </w:rPr>
        <w:t>Claire Pomeroy, M.D.</w:t>
      </w:r>
    </w:p>
    <w:p>
      <w:pPr>
        <w:spacing w:after="0" w:line="163" w:lineRule="exact"/>
        <w:rPr>
          <w:sz w:val="20"/>
          <w:szCs w:val="20"/>
          <w:color w:val="auto"/>
        </w:rPr>
      </w:pPr>
    </w:p>
    <w:p>
      <w:pPr>
        <w:ind w:left="300"/>
        <w:spacing w:after="0"/>
        <w:rPr>
          <w:sz w:val="20"/>
          <w:szCs w:val="20"/>
          <w:color w:val="auto"/>
        </w:rPr>
      </w:pPr>
      <w:r>
        <w:rPr>
          <w:rFonts w:ascii="Arial" w:cs="Arial" w:eastAsia="Arial" w:hAnsi="Arial"/>
          <w:sz w:val="15"/>
          <w:szCs w:val="15"/>
          <w:color w:val="auto"/>
        </w:rPr>
        <w:t>President, The Albert and Mary Lasker Foundation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46990</wp:posOffset>
            </wp:positionV>
            <wp:extent cx="534924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80"/>
        <w:spacing w:after="0"/>
        <w:rPr>
          <w:sz w:val="20"/>
          <w:szCs w:val="20"/>
          <w:color w:val="auto"/>
        </w:rPr>
      </w:pPr>
      <w:r>
        <w:rPr>
          <w:rFonts w:ascii="Arial" w:cs="Arial" w:eastAsia="Arial" w:hAnsi="Arial"/>
          <w:sz w:val="15"/>
          <w:szCs w:val="15"/>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-1341120</wp:posOffset>
            </wp:positionV>
            <wp:extent cx="1303020" cy="12433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03020" cy="124333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5"/>
          <w:szCs w:val="15"/>
          <w:color w:val="auto"/>
        </w:rPr>
        <w:t> </w:t>
      </w:r>
    </w:p>
    <w:p>
      <w:pPr>
        <w:spacing w:after="0" w:line="55" w:lineRule="exact"/>
        <w:rPr>
          <w:sz w:val="20"/>
          <w:szCs w:val="20"/>
          <w:color w:val="auto"/>
        </w:rPr>
      </w:pPr>
    </w:p>
    <w:p>
      <w:pPr>
        <w:ind w:left="520"/>
        <w:spacing w:after="0"/>
        <w:rPr>
          <w:sz w:val="20"/>
          <w:szCs w:val="20"/>
          <w:color w:val="auto"/>
        </w:rPr>
      </w:pPr>
      <w:r>
        <w:rPr>
          <w:rFonts w:ascii="Arial" w:cs="Arial" w:eastAsia="Arial" w:hAnsi="Arial"/>
          <w:sz w:val="15"/>
          <w:szCs w:val="15"/>
          <w:b w:val="1"/>
          <w:bCs w:val="1"/>
          <w:color w:val="auto"/>
        </w:rPr>
        <w:t xml:space="preserve">Age: </w:t>
      </w:r>
      <w:r>
        <w:rPr>
          <w:rFonts w:ascii="Arial" w:cs="Arial" w:eastAsia="Arial" w:hAnsi="Arial"/>
          <w:sz w:val="15"/>
          <w:szCs w:val="15"/>
          <w:color w:val="auto"/>
        </w:rPr>
        <w:t>69</w:t>
      </w:r>
    </w:p>
    <w:p>
      <w:pPr>
        <w:ind w:left="520"/>
        <w:spacing w:after="0" w:line="233" w:lineRule="auto"/>
        <w:rPr>
          <w:sz w:val="20"/>
          <w:szCs w:val="20"/>
          <w:color w:val="auto"/>
        </w:rPr>
      </w:pPr>
      <w:r>
        <w:rPr>
          <w:rFonts w:ascii="Arial" w:cs="Arial" w:eastAsia="Arial" w:hAnsi="Arial"/>
          <w:sz w:val="15"/>
          <w:szCs w:val="15"/>
          <w:color w:val="auto"/>
        </w:rPr>
        <w:t> </w:t>
      </w:r>
    </w:p>
    <w:p>
      <w:pPr>
        <w:ind w:left="520"/>
        <w:spacing w:after="0" w:line="225" w:lineRule="auto"/>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2022</w:t>
      </w:r>
    </w:p>
    <w:p>
      <w:pPr>
        <w:ind w:left="520"/>
        <w:spacing w:after="0" w:line="225" w:lineRule="auto"/>
        <w:rPr>
          <w:sz w:val="20"/>
          <w:szCs w:val="20"/>
          <w:color w:val="auto"/>
        </w:rPr>
      </w:pPr>
      <w:r>
        <w:rPr>
          <w:rFonts w:ascii="Arial" w:cs="Arial" w:eastAsia="Arial" w:hAnsi="Arial"/>
          <w:sz w:val="15"/>
          <w:szCs w:val="15"/>
          <w:color w:val="auto"/>
        </w:rPr>
        <w:t> </w:t>
      </w:r>
    </w:p>
    <w:p>
      <w:pPr>
        <w:ind w:left="520"/>
        <w:spacing w:after="0" w:line="226" w:lineRule="auto"/>
        <w:rPr>
          <w:sz w:val="20"/>
          <w:szCs w:val="20"/>
          <w:color w:val="auto"/>
        </w:rPr>
      </w:pPr>
      <w:r>
        <w:rPr>
          <w:rFonts w:ascii="Arial" w:cs="Arial" w:eastAsia="Arial" w:hAnsi="Arial"/>
          <w:sz w:val="15"/>
          <w:szCs w:val="15"/>
          <w:b w:val="1"/>
          <w:bCs w:val="1"/>
          <w:color w:val="auto"/>
        </w:rPr>
        <w:t xml:space="preserve">Independent: </w:t>
      </w:r>
      <w:r>
        <w:rPr>
          <w:rFonts w:ascii="Arial" w:cs="Arial" w:eastAsia="Arial" w:hAnsi="Arial"/>
          <w:sz w:val="15"/>
          <w:szCs w:val="15"/>
          <w:color w:val="auto"/>
        </w:rPr>
        <w:t>Yes</w:t>
      </w:r>
    </w:p>
    <w:p>
      <w:pPr>
        <w:ind w:left="520"/>
        <w:spacing w:after="0" w:line="225" w:lineRule="auto"/>
        <w:rPr>
          <w:sz w:val="20"/>
          <w:szCs w:val="20"/>
          <w:color w:val="auto"/>
        </w:rPr>
      </w:pPr>
      <w:r>
        <w:rPr>
          <w:rFonts w:ascii="Arial" w:cs="Arial" w:eastAsia="Arial" w:hAnsi="Arial"/>
          <w:sz w:val="15"/>
          <w:szCs w:val="15"/>
          <w:color w:val="auto"/>
        </w:rPr>
        <w:t> </w:t>
      </w:r>
    </w:p>
    <w:p>
      <w:pPr>
        <w:ind w:left="520"/>
        <w:spacing w:after="0" w:line="226" w:lineRule="auto"/>
        <w:rPr>
          <w:sz w:val="20"/>
          <w:szCs w:val="20"/>
          <w:color w:val="auto"/>
        </w:rPr>
      </w:pPr>
      <w:r>
        <w:rPr>
          <w:rFonts w:ascii="Arial" w:cs="Arial" w:eastAsia="Arial" w:hAnsi="Arial"/>
          <w:sz w:val="15"/>
          <w:szCs w:val="15"/>
          <w:b w:val="1"/>
          <w:bCs w:val="1"/>
          <w:color w:val="auto"/>
        </w:rPr>
        <w:t>Committees:</w:t>
      </w:r>
    </w:p>
    <w:p>
      <w:pPr>
        <w:ind w:left="720" w:hanging="206"/>
        <w:spacing w:after="0" w:line="225" w:lineRule="auto"/>
        <w:rPr>
          <w:sz w:val="20"/>
          <w:szCs w:val="20"/>
          <w:color w:val="auto"/>
        </w:rPr>
      </w:pPr>
      <w:r>
        <w:rPr>
          <w:rFonts w:ascii="Arial" w:cs="Arial" w:eastAsia="Arial" w:hAnsi="Arial"/>
          <w:sz w:val="15"/>
          <w:szCs w:val="15"/>
          <w:color w:val="auto"/>
        </w:rPr>
        <w:t>•  Corporate Governance and Nominating (Chair)</w:t>
      </w:r>
    </w:p>
    <w:p>
      <w:pPr>
        <w:spacing w:after="0" w:line="1" w:lineRule="exact"/>
        <w:rPr>
          <w:sz w:val="20"/>
          <w:szCs w:val="20"/>
          <w:color w:val="auto"/>
        </w:rPr>
      </w:pPr>
    </w:p>
    <w:p>
      <w:pPr>
        <w:ind w:left="740" w:right="220" w:hanging="222"/>
        <w:spacing w:after="0" w:line="241" w:lineRule="auto"/>
        <w:rPr>
          <w:sz w:val="20"/>
          <w:szCs w:val="20"/>
          <w:color w:val="auto"/>
        </w:rPr>
      </w:pPr>
      <w:r>
        <w:rPr>
          <w:rFonts w:ascii="Arial" w:cs="Arial" w:eastAsia="Arial" w:hAnsi="Arial"/>
          <w:sz w:val="14"/>
          <w:szCs w:val="14"/>
          <w:color w:val="auto"/>
        </w:rPr>
        <w:t>•  Technology, Quality and Regulatory</w:t>
      </w:r>
    </w:p>
    <w:p>
      <w:pPr>
        <w:ind w:left="740"/>
        <w:spacing w:after="0" w:line="226" w:lineRule="auto"/>
        <w:rPr>
          <w:sz w:val="20"/>
          <w:szCs w:val="20"/>
          <w:color w:val="auto"/>
        </w:rPr>
      </w:pPr>
      <w:r>
        <w:rPr>
          <w:rFonts w:ascii="Arial" w:cs="Arial" w:eastAsia="Arial" w:hAnsi="Arial"/>
          <w:sz w:val="15"/>
          <w:szCs w:val="15"/>
          <w:color w:val="auto"/>
        </w:rPr>
        <w:t> </w:t>
      </w:r>
    </w:p>
    <w:p>
      <w:pPr>
        <w:ind w:left="520"/>
        <w:spacing w:after="0" w:line="225" w:lineRule="auto"/>
        <w:rPr>
          <w:sz w:val="20"/>
          <w:szCs w:val="20"/>
          <w:color w:val="auto"/>
        </w:rPr>
      </w:pPr>
      <w:r>
        <w:rPr>
          <w:rFonts w:ascii="Arial" w:cs="Arial" w:eastAsia="Arial" w:hAnsi="Arial"/>
          <w:sz w:val="15"/>
          <w:szCs w:val="15"/>
          <w:b w:val="1"/>
          <w:bCs w:val="1"/>
          <w:color w:val="auto"/>
        </w:rPr>
        <w:t>Other Public</w:t>
      </w:r>
    </w:p>
    <w:p>
      <w:pPr>
        <w:jc w:val="center"/>
        <w:ind w:right="200"/>
        <w:spacing w:after="0" w:line="226" w:lineRule="auto"/>
        <w:rPr>
          <w:sz w:val="20"/>
          <w:szCs w:val="20"/>
          <w:color w:val="auto"/>
        </w:rPr>
      </w:pPr>
      <w:r>
        <w:rPr>
          <w:rFonts w:ascii="Arial" w:cs="Arial" w:eastAsia="Arial" w:hAnsi="Arial"/>
          <w:sz w:val="15"/>
          <w:szCs w:val="15"/>
          <w:b w:val="1"/>
          <w:bCs w:val="1"/>
          <w:color w:val="auto"/>
        </w:rPr>
        <w:t>Directorships:</w:t>
      </w:r>
    </w:p>
    <w:p>
      <w:pPr>
        <w:jc w:val="center"/>
        <w:ind w:right="140"/>
        <w:spacing w:after="0"/>
        <w:rPr>
          <w:sz w:val="20"/>
          <w:szCs w:val="20"/>
          <w:color w:val="auto"/>
        </w:rPr>
      </w:pPr>
      <w:r>
        <w:rPr>
          <w:rFonts w:ascii="Arial" w:cs="Arial" w:eastAsia="Arial" w:hAnsi="Arial"/>
          <w:sz w:val="14"/>
          <w:szCs w:val="14"/>
          <w:color w:val="auto"/>
        </w:rPr>
        <w:t>•   Haemonetics</w:t>
      </w:r>
    </w:p>
    <w:p>
      <w:pPr>
        <w:jc w:val="center"/>
        <w:spacing w:after="0" w:line="226" w:lineRule="auto"/>
        <w:rPr>
          <w:sz w:val="20"/>
          <w:szCs w:val="20"/>
          <w:color w:val="auto"/>
        </w:rPr>
      </w:pPr>
      <w:r>
        <w:rPr>
          <w:rFonts w:ascii="Arial" w:cs="Arial" w:eastAsia="Arial" w:hAnsi="Arial"/>
          <w:sz w:val="15"/>
          <w:szCs w:val="15"/>
          <w:color w:val="auto"/>
        </w:rPr>
        <w:t>Corporation</w:t>
      </w:r>
    </w:p>
    <w:p>
      <w:pPr>
        <w:ind w:left="520"/>
        <w:spacing w:after="0" w:line="226" w:lineRule="auto"/>
        <w:rPr>
          <w:sz w:val="20"/>
          <w:szCs w:val="20"/>
          <w:color w:val="auto"/>
        </w:rPr>
      </w:pPr>
      <w:r>
        <w:rPr>
          <w:rFonts w:ascii="Arial" w:cs="Arial" w:eastAsia="Arial" w:hAnsi="Arial"/>
          <w:sz w:val="15"/>
          <w:szCs w:val="15"/>
          <w:color w:val="auto"/>
        </w:rPr>
        <w:t> </w:t>
      </w:r>
    </w:p>
    <w:p>
      <w:pPr>
        <w:ind w:left="520"/>
        <w:spacing w:after="0" w:line="225" w:lineRule="auto"/>
        <w:rPr>
          <w:sz w:val="20"/>
          <w:szCs w:val="20"/>
          <w:color w:val="auto"/>
        </w:rPr>
      </w:pPr>
      <w:r>
        <w:rPr>
          <w:rFonts w:ascii="Arial" w:cs="Arial" w:eastAsia="Arial" w:hAnsi="Arial"/>
          <w:sz w:val="15"/>
          <w:szCs w:val="15"/>
          <w:b w:val="1"/>
          <w:bCs w:val="1"/>
          <w:color w:val="auto"/>
        </w:rPr>
        <w:t>Former Public</w:t>
      </w:r>
    </w:p>
    <w:p>
      <w:pPr>
        <w:ind w:left="520"/>
        <w:spacing w:after="0" w:line="226" w:lineRule="auto"/>
        <w:rPr>
          <w:sz w:val="20"/>
          <w:szCs w:val="20"/>
          <w:color w:val="auto"/>
        </w:rPr>
      </w:pPr>
      <w:r>
        <w:rPr>
          <w:rFonts w:ascii="Arial" w:cs="Arial" w:eastAsia="Arial" w:hAnsi="Arial"/>
          <w:sz w:val="15"/>
          <w:szCs w:val="15"/>
          <w:b w:val="1"/>
          <w:bCs w:val="1"/>
          <w:color w:val="auto"/>
        </w:rPr>
        <w:t>Directorships</w:t>
      </w:r>
    </w:p>
    <w:p>
      <w:pPr>
        <w:ind w:left="520"/>
        <w:spacing w:after="0" w:line="225" w:lineRule="auto"/>
        <w:rPr>
          <w:sz w:val="20"/>
          <w:szCs w:val="20"/>
          <w:color w:val="auto"/>
        </w:rPr>
      </w:pPr>
      <w:r>
        <w:rPr>
          <w:rFonts w:ascii="Arial" w:cs="Arial" w:eastAsia="Arial" w:hAnsi="Arial"/>
          <w:sz w:val="15"/>
          <w:szCs w:val="15"/>
          <w:b w:val="1"/>
          <w:bCs w:val="1"/>
          <w:color w:val="auto"/>
        </w:rPr>
        <w:t>(last 5 years):</w:t>
      </w:r>
    </w:p>
    <w:p>
      <w:pPr>
        <w:ind w:left="740" w:right="320" w:hanging="222"/>
        <w:spacing w:after="0" w:line="279" w:lineRule="auto"/>
        <w:rPr>
          <w:sz w:val="20"/>
          <w:szCs w:val="20"/>
          <w:color w:val="auto"/>
        </w:rPr>
      </w:pPr>
      <w:r>
        <w:rPr>
          <w:rFonts w:ascii="Arial" w:cs="Arial" w:eastAsia="Arial" w:hAnsi="Arial"/>
          <w:sz w:val="14"/>
          <w:szCs w:val="14"/>
          <w:color w:val="auto"/>
        </w:rPr>
        <w:t>•  Becton, Dickinson and Company</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Dr. Pomeroy has served since 2013 as President of the Albert and Mary Lasker</w:t>
      </w:r>
    </w:p>
    <w:p>
      <w:pPr>
        <w:spacing w:after="0" w:line="230" w:lineRule="auto"/>
        <w:rPr>
          <w:sz w:val="20"/>
          <w:szCs w:val="20"/>
          <w:color w:val="auto"/>
        </w:rPr>
      </w:pPr>
      <w:r>
        <w:rPr>
          <w:rFonts w:ascii="Arial" w:cs="Arial" w:eastAsia="Arial" w:hAnsi="Arial"/>
          <w:sz w:val="15"/>
          <w:szCs w:val="15"/>
          <w:color w:val="auto"/>
        </w:rPr>
        <w:t>Foundation, a private foundation that seeks to improve health by accelerating support</w:t>
      </w:r>
    </w:p>
    <w:p>
      <w:pPr>
        <w:spacing w:after="0" w:line="225" w:lineRule="auto"/>
        <w:rPr>
          <w:sz w:val="20"/>
          <w:szCs w:val="20"/>
          <w:color w:val="auto"/>
        </w:rPr>
      </w:pPr>
      <w:r>
        <w:rPr>
          <w:rFonts w:ascii="Arial" w:cs="Arial" w:eastAsia="Arial" w:hAnsi="Arial"/>
          <w:sz w:val="15"/>
          <w:szCs w:val="15"/>
          <w:color w:val="auto"/>
        </w:rPr>
        <w:t>for medical research through recognition of research excellence, public education and</w:t>
      </w:r>
    </w:p>
    <w:p>
      <w:pPr>
        <w:spacing w:after="0" w:line="226" w:lineRule="auto"/>
        <w:rPr>
          <w:sz w:val="20"/>
          <w:szCs w:val="20"/>
          <w:color w:val="auto"/>
        </w:rPr>
      </w:pPr>
      <w:r>
        <w:rPr>
          <w:rFonts w:ascii="Arial" w:cs="Arial" w:eastAsia="Arial" w:hAnsi="Arial"/>
          <w:sz w:val="15"/>
          <w:szCs w:val="15"/>
          <w:color w:val="auto"/>
        </w:rPr>
        <w:t>advocacy. Prior thereto, she served as Dean and Vice Chancellor of the University of</w:t>
      </w:r>
    </w:p>
    <w:p>
      <w:pPr>
        <w:spacing w:after="0" w:line="225" w:lineRule="auto"/>
        <w:rPr>
          <w:sz w:val="20"/>
          <w:szCs w:val="20"/>
          <w:color w:val="auto"/>
        </w:rPr>
      </w:pPr>
      <w:r>
        <w:rPr>
          <w:rFonts w:ascii="Arial" w:cs="Arial" w:eastAsia="Arial" w:hAnsi="Arial"/>
          <w:sz w:val="15"/>
          <w:szCs w:val="15"/>
          <w:color w:val="auto"/>
        </w:rPr>
        <w:t>California, Davis School of Medicine. She is an elected member of the National</w:t>
      </w:r>
    </w:p>
    <w:p>
      <w:pPr>
        <w:spacing w:after="0" w:line="225" w:lineRule="auto"/>
        <w:rPr>
          <w:sz w:val="20"/>
          <w:szCs w:val="20"/>
          <w:color w:val="auto"/>
        </w:rPr>
      </w:pPr>
      <w:r>
        <w:rPr>
          <w:rFonts w:ascii="Arial" w:cs="Arial" w:eastAsia="Arial" w:hAnsi="Arial"/>
          <w:sz w:val="15"/>
          <w:szCs w:val="15"/>
          <w:color w:val="auto"/>
        </w:rPr>
        <w:t>Academy of Medicine.</w:t>
      </w:r>
    </w:p>
    <w:p>
      <w:pPr>
        <w:spacing w:after="0" w:line="226" w:lineRule="auto"/>
        <w:rPr>
          <w:sz w:val="20"/>
          <w:szCs w:val="20"/>
          <w:color w:val="auto"/>
        </w:rPr>
      </w:pPr>
      <w:r>
        <w:rPr>
          <w:rFonts w:ascii="Arial" w:cs="Arial" w:eastAsia="Arial" w:hAnsi="Arial"/>
          <w:sz w:val="15"/>
          <w:szCs w:val="15"/>
          <w:color w:val="auto"/>
        </w:rPr>
        <w:t> </w:t>
      </w:r>
    </w:p>
    <w:p>
      <w:pPr>
        <w:spacing w:after="0" w:line="225" w:lineRule="auto"/>
        <w:rPr>
          <w:sz w:val="20"/>
          <w:szCs w:val="20"/>
          <w:color w:val="auto"/>
        </w:rPr>
      </w:pPr>
      <w:r>
        <w:rPr>
          <w:rFonts w:ascii="Arial" w:cs="Arial" w:eastAsia="Arial" w:hAnsi="Arial"/>
          <w:sz w:val="15"/>
          <w:szCs w:val="15"/>
          <w:color w:val="auto"/>
        </w:rPr>
        <w:t>Dr. Pomeroy is a member of the Board of Directors of Haemonetics Corporation</w:t>
      </w:r>
    </w:p>
    <w:p>
      <w:pPr>
        <w:spacing w:after="0" w:line="226" w:lineRule="auto"/>
        <w:rPr>
          <w:sz w:val="20"/>
          <w:szCs w:val="20"/>
          <w:color w:val="auto"/>
        </w:rPr>
      </w:pPr>
      <w:r>
        <w:rPr>
          <w:rFonts w:ascii="Arial" w:cs="Arial" w:eastAsia="Arial" w:hAnsi="Arial"/>
          <w:sz w:val="15"/>
          <w:szCs w:val="15"/>
          <w:color w:val="auto"/>
        </w:rPr>
        <w:t>(NYSE: HAE). Dr. Pomeroy also serves on the Board of Directors of the Sierra Health</w:t>
      </w:r>
    </w:p>
    <w:p>
      <w:pPr>
        <w:spacing w:after="0" w:line="225" w:lineRule="auto"/>
        <w:rPr>
          <w:sz w:val="20"/>
          <w:szCs w:val="20"/>
          <w:color w:val="auto"/>
        </w:rPr>
      </w:pPr>
      <w:r>
        <w:rPr>
          <w:rFonts w:ascii="Arial" w:cs="Arial" w:eastAsia="Arial" w:hAnsi="Arial"/>
          <w:sz w:val="15"/>
          <w:szCs w:val="15"/>
          <w:color w:val="auto"/>
        </w:rPr>
        <w:t>Foundation, Center for Women in Academic Medicine and Science, iBiology/Science</w:t>
      </w:r>
    </w:p>
    <w:p>
      <w:pPr>
        <w:spacing w:after="0" w:line="226" w:lineRule="auto"/>
        <w:rPr>
          <w:sz w:val="20"/>
          <w:szCs w:val="20"/>
          <w:color w:val="auto"/>
        </w:rPr>
      </w:pPr>
      <w:r>
        <w:rPr>
          <w:rFonts w:ascii="Arial" w:cs="Arial" w:eastAsia="Arial" w:hAnsi="Arial"/>
          <w:sz w:val="15"/>
          <w:szCs w:val="15"/>
          <w:color w:val="auto"/>
        </w:rPr>
        <w:t>Communication Lab, Science Philanthropy Alliance, Geisinger School of Medicine, and</w:t>
      </w:r>
    </w:p>
    <w:p>
      <w:pPr>
        <w:spacing w:after="0" w:line="225" w:lineRule="auto"/>
        <w:rPr>
          <w:sz w:val="20"/>
          <w:szCs w:val="20"/>
          <w:color w:val="auto"/>
        </w:rPr>
      </w:pPr>
      <w:r>
        <w:rPr>
          <w:rFonts w:ascii="Arial" w:cs="Arial" w:eastAsia="Arial" w:hAnsi="Arial"/>
          <w:sz w:val="15"/>
          <w:szCs w:val="15"/>
          <w:color w:val="auto"/>
        </w:rPr>
        <w:t>Morehouse School of Medicine.</w:t>
      </w:r>
    </w:p>
    <w:p>
      <w:pPr>
        <w:spacing w:after="0" w:line="225" w:lineRule="auto"/>
        <w:rPr>
          <w:sz w:val="20"/>
          <w:szCs w:val="20"/>
          <w:color w:val="auto"/>
        </w:rPr>
      </w:pPr>
      <w:r>
        <w:rPr>
          <w:rFonts w:ascii="Arial" w:cs="Arial" w:eastAsia="Arial" w:hAnsi="Arial"/>
          <w:sz w:val="15"/>
          <w:szCs w:val="15"/>
          <w:color w:val="auto"/>
        </w:rPr>
        <w:t> </w:t>
      </w:r>
    </w:p>
    <w:p>
      <w:pPr>
        <w:spacing w:after="0" w:line="226" w:lineRule="auto"/>
        <w:rPr>
          <w:sz w:val="20"/>
          <w:szCs w:val="20"/>
          <w:color w:val="auto"/>
        </w:rPr>
      </w:pPr>
      <w:r>
        <w:rPr>
          <w:rFonts w:ascii="Arial" w:cs="Arial" w:eastAsia="Arial" w:hAnsi="Arial"/>
          <w:sz w:val="15"/>
          <w:szCs w:val="15"/>
          <w:b w:val="1"/>
          <w:bCs w:val="1"/>
          <w:color w:val="auto"/>
        </w:rPr>
        <w:t>Education</w:t>
      </w:r>
    </w:p>
    <w:p>
      <w:pPr>
        <w:spacing w:after="0" w:line="225" w:lineRule="auto"/>
        <w:rPr>
          <w:sz w:val="20"/>
          <w:szCs w:val="20"/>
          <w:color w:val="auto"/>
        </w:rPr>
      </w:pPr>
      <w:r>
        <w:rPr>
          <w:rFonts w:ascii="Arial" w:cs="Arial" w:eastAsia="Arial" w:hAnsi="Arial"/>
          <w:sz w:val="15"/>
          <w:szCs w:val="15"/>
          <w:color w:val="auto"/>
        </w:rPr>
        <w:t> </w:t>
      </w:r>
    </w:p>
    <w:p>
      <w:pPr>
        <w:spacing w:after="0" w:line="226" w:lineRule="auto"/>
        <w:rPr>
          <w:sz w:val="20"/>
          <w:szCs w:val="20"/>
          <w:color w:val="auto"/>
        </w:rPr>
      </w:pPr>
      <w:r>
        <w:rPr>
          <w:rFonts w:ascii="Arial" w:cs="Arial" w:eastAsia="Arial" w:hAnsi="Arial"/>
          <w:sz w:val="15"/>
          <w:szCs w:val="15"/>
          <w:color w:val="auto"/>
        </w:rPr>
        <w:t>Dr. Pomeroy holds a Bachelor’s degree in Biomedical Sciences and Doctor of Medicine</w:t>
      </w:r>
    </w:p>
    <w:p>
      <w:pPr>
        <w:spacing w:after="0" w:line="225" w:lineRule="auto"/>
        <w:rPr>
          <w:sz w:val="20"/>
          <w:szCs w:val="20"/>
          <w:color w:val="auto"/>
        </w:rPr>
      </w:pPr>
      <w:r>
        <w:rPr>
          <w:rFonts w:ascii="Arial" w:cs="Arial" w:eastAsia="Arial" w:hAnsi="Arial"/>
          <w:sz w:val="15"/>
          <w:szCs w:val="15"/>
          <w:color w:val="auto"/>
        </w:rPr>
        <w:t>(M.D.) from the University of Michigan, as well as a Master of Business Administration</w:t>
      </w:r>
    </w:p>
    <w:p>
      <w:pPr>
        <w:spacing w:after="0" w:line="225" w:lineRule="auto"/>
        <w:rPr>
          <w:sz w:val="20"/>
          <w:szCs w:val="20"/>
          <w:color w:val="auto"/>
        </w:rPr>
      </w:pPr>
      <w:r>
        <w:rPr>
          <w:rFonts w:ascii="Arial" w:cs="Arial" w:eastAsia="Arial" w:hAnsi="Arial"/>
          <w:sz w:val="15"/>
          <w:szCs w:val="15"/>
          <w:color w:val="auto"/>
        </w:rPr>
        <w:t>from the University of Kentucky.</w:t>
      </w:r>
    </w:p>
    <w:p>
      <w:pPr>
        <w:spacing w:after="0" w:line="226" w:lineRule="auto"/>
        <w:rPr>
          <w:sz w:val="20"/>
          <w:szCs w:val="20"/>
          <w:color w:val="auto"/>
        </w:rPr>
      </w:pPr>
      <w:r>
        <w:rPr>
          <w:rFonts w:ascii="Arial" w:cs="Arial" w:eastAsia="Arial" w:hAnsi="Arial"/>
          <w:sz w:val="15"/>
          <w:szCs w:val="15"/>
          <w:color w:val="auto"/>
        </w:rPr>
        <w:t> </w:t>
      </w:r>
    </w:p>
    <w:p>
      <w:pPr>
        <w:spacing w:after="0" w:line="225" w:lineRule="auto"/>
        <w:rPr>
          <w:sz w:val="20"/>
          <w:szCs w:val="20"/>
          <w:color w:val="auto"/>
        </w:rPr>
      </w:pPr>
      <w:r>
        <w:rPr>
          <w:rFonts w:ascii="Arial" w:cs="Arial" w:eastAsia="Arial" w:hAnsi="Arial"/>
          <w:sz w:val="15"/>
          <w:szCs w:val="15"/>
          <w:b w:val="1"/>
          <w:bCs w:val="1"/>
          <w:color w:val="auto"/>
        </w:rPr>
        <w:t>Qualifications, Skills and Experience</w:t>
      </w:r>
    </w:p>
    <w:p>
      <w:pPr>
        <w:spacing w:after="0" w:line="226" w:lineRule="auto"/>
        <w:rPr>
          <w:sz w:val="20"/>
          <w:szCs w:val="20"/>
          <w:color w:val="auto"/>
        </w:rPr>
      </w:pPr>
      <w:r>
        <w:rPr>
          <w:rFonts w:ascii="Arial" w:cs="Arial" w:eastAsia="Arial" w:hAnsi="Arial"/>
          <w:sz w:val="15"/>
          <w:szCs w:val="15"/>
          <w:color w:val="auto"/>
        </w:rPr>
        <w:t> </w:t>
      </w:r>
    </w:p>
    <w:p>
      <w:pPr>
        <w:ind w:right="539"/>
        <w:spacing w:after="0" w:line="233" w:lineRule="auto"/>
        <w:rPr>
          <w:sz w:val="20"/>
          <w:szCs w:val="20"/>
          <w:color w:val="auto"/>
        </w:rPr>
      </w:pPr>
      <w:r>
        <w:rPr>
          <w:rFonts w:ascii="Arial" w:cs="Arial" w:eastAsia="Arial" w:hAnsi="Arial"/>
          <w:sz w:val="15"/>
          <w:szCs w:val="15"/>
          <w:color w:val="auto"/>
        </w:rPr>
        <w:t>Dr. Pomeroy is an expert in infectious diseases, with broad experience in areas of healthcare delivery, health system administration, payer and medical reimbursement, higher education, medical research and public health. She brings to the Board important perspectives on patient care services, global health and health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-1553845</wp:posOffset>
            </wp:positionH>
            <wp:positionV relativeFrom="paragraph">
              <wp:posOffset>1377315</wp:posOffset>
            </wp:positionV>
            <wp:extent cx="534924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266" w:lineRule="exact"/>
        <w:rPr>
          <w:sz w:val="20"/>
          <w:szCs w:val="20"/>
          <w:color w:val="auto"/>
        </w:rPr>
      </w:pPr>
    </w:p>
    <w:p>
      <w:pPr>
        <w:sectPr>
          <w:pgSz w:w="11900" w:h="16838" w:orient="portrait"/>
          <w:cols w:equalWidth="0" w:num="2">
            <w:col w:w="2280" w:space="460"/>
            <w:col w:w="6279"/>
          </w:cols>
          <w:pgMar w:left="1440" w:top="114" w:right="1440" w:bottom="1440" w:gutter="0" w:footer="0" w:header="0"/>
          <w:type w:val="continuous"/>
        </w:sectPr>
      </w:pP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146685</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jc w:val="right"/>
        <w:ind w:right="299"/>
        <w:spacing w:after="0"/>
        <w:rPr>
          <w:sz w:val="20"/>
          <w:szCs w:val="20"/>
          <w:color w:val="auto"/>
        </w:rPr>
      </w:pPr>
      <w:r>
        <w:rPr>
          <w:rFonts w:ascii="Arial" w:cs="Arial" w:eastAsia="Arial" w:hAnsi="Arial"/>
          <w:sz w:val="16"/>
          <w:szCs w:val="16"/>
          <w:color w:val="342C82"/>
        </w:rPr>
        <w:t>Proposal 1: Election of directors</w:t>
      </w:r>
    </w:p>
    <w:p>
      <w:pPr>
        <w:spacing w:after="0" w:line="159" w:lineRule="exact"/>
        <w:rPr>
          <w:sz w:val="20"/>
          <w:szCs w:val="20"/>
          <w:color w:val="auto"/>
        </w:rPr>
      </w:pPr>
    </w:p>
    <w:p>
      <w:pPr>
        <w:ind w:left="300"/>
        <w:spacing w:after="0"/>
        <w:rPr>
          <w:sz w:val="20"/>
          <w:szCs w:val="20"/>
          <w:color w:val="auto"/>
        </w:rPr>
      </w:pPr>
      <w:r>
        <w:rPr>
          <w:rFonts w:ascii="Arial" w:cs="Arial" w:eastAsia="Arial" w:hAnsi="Arial"/>
          <w:sz w:val="25"/>
          <w:szCs w:val="25"/>
          <w:color w:val="auto"/>
        </w:rPr>
        <w:t>Karen N. Prange</w:t>
      </w:r>
    </w:p>
    <w:p>
      <w:pPr>
        <w:spacing w:after="0" w:line="123" w:lineRule="exact"/>
        <w:rPr>
          <w:sz w:val="20"/>
          <w:szCs w:val="20"/>
          <w:color w:val="auto"/>
        </w:rPr>
      </w:pPr>
    </w:p>
    <w:p>
      <w:pPr>
        <w:ind w:left="300" w:right="679"/>
        <w:spacing w:after="0" w:line="264" w:lineRule="auto"/>
        <w:rPr>
          <w:sz w:val="20"/>
          <w:szCs w:val="20"/>
          <w:color w:val="auto"/>
        </w:rPr>
      </w:pPr>
      <w:r>
        <w:rPr>
          <w:rFonts w:ascii="Arial" w:cs="Arial" w:eastAsia="Arial" w:hAnsi="Arial"/>
          <w:sz w:val="15"/>
          <w:szCs w:val="15"/>
          <w:color w:val="auto"/>
        </w:rPr>
        <w:t>Industrial Advisor, EQT Group and Former Executive Vice President and Chief Executive Officer, Global Animal Health, Medical and Dental Surgical Group of Henry Schein,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27305</wp:posOffset>
            </wp:positionV>
            <wp:extent cx="534924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80"/>
        <w:spacing w:after="0"/>
        <w:rPr>
          <w:sz w:val="20"/>
          <w:szCs w:val="20"/>
          <w:color w:val="auto"/>
        </w:rPr>
      </w:pPr>
      <w:r>
        <w:rPr>
          <w:rFonts w:ascii="Arial" w:cs="Arial" w:eastAsia="Arial" w:hAnsi="Arial"/>
          <w:sz w:val="15"/>
          <w:szCs w:val="15"/>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-1341120</wp:posOffset>
            </wp:positionV>
            <wp:extent cx="1303020" cy="12433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03020" cy="124333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5"/>
          <w:szCs w:val="15"/>
          <w:color w:val="auto"/>
        </w:rPr>
        <w:t> </w:t>
      </w:r>
    </w:p>
    <w:p>
      <w:pPr>
        <w:spacing w:after="0" w:line="41" w:lineRule="exact"/>
        <w:rPr>
          <w:sz w:val="20"/>
          <w:szCs w:val="20"/>
          <w:color w:val="auto"/>
        </w:rPr>
      </w:pPr>
    </w:p>
    <w:p>
      <w:pPr>
        <w:ind w:left="520"/>
        <w:spacing w:after="0"/>
        <w:rPr>
          <w:sz w:val="20"/>
          <w:szCs w:val="20"/>
          <w:color w:val="auto"/>
        </w:rPr>
      </w:pPr>
      <w:r>
        <w:rPr>
          <w:rFonts w:ascii="Arial" w:cs="Arial" w:eastAsia="Arial" w:hAnsi="Arial"/>
          <w:sz w:val="15"/>
          <w:szCs w:val="15"/>
          <w:b w:val="1"/>
          <w:bCs w:val="1"/>
          <w:color w:val="auto"/>
        </w:rPr>
        <w:t xml:space="preserve">Age: </w:t>
      </w:r>
      <w:r>
        <w:rPr>
          <w:rFonts w:ascii="Arial" w:cs="Arial" w:eastAsia="Arial" w:hAnsi="Arial"/>
          <w:sz w:val="15"/>
          <w:szCs w:val="15"/>
          <w:color w:val="auto"/>
        </w:rPr>
        <w:t>60</w:t>
      </w:r>
    </w:p>
    <w:p>
      <w:pPr>
        <w:ind w:left="520"/>
        <w:spacing w:after="0" w:line="233" w:lineRule="auto"/>
        <w:rPr>
          <w:sz w:val="20"/>
          <w:szCs w:val="20"/>
          <w:color w:val="auto"/>
        </w:rPr>
      </w:pPr>
      <w:r>
        <w:rPr>
          <w:rFonts w:ascii="Arial" w:cs="Arial" w:eastAsia="Arial" w:hAnsi="Arial"/>
          <w:sz w:val="15"/>
          <w:szCs w:val="15"/>
          <w:color w:val="auto"/>
        </w:rPr>
        <w:t> </w:t>
      </w:r>
    </w:p>
    <w:p>
      <w:pPr>
        <w:ind w:left="520"/>
        <w:spacing w:after="0" w:line="225" w:lineRule="auto"/>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2022</w:t>
      </w:r>
    </w:p>
    <w:p>
      <w:pPr>
        <w:ind w:left="520"/>
        <w:spacing w:after="0" w:line="225" w:lineRule="auto"/>
        <w:rPr>
          <w:sz w:val="20"/>
          <w:szCs w:val="20"/>
          <w:color w:val="auto"/>
        </w:rPr>
      </w:pPr>
      <w:r>
        <w:rPr>
          <w:rFonts w:ascii="Arial" w:cs="Arial" w:eastAsia="Arial" w:hAnsi="Arial"/>
          <w:sz w:val="15"/>
          <w:szCs w:val="15"/>
          <w:color w:val="auto"/>
        </w:rPr>
        <w:t> </w:t>
      </w:r>
    </w:p>
    <w:p>
      <w:pPr>
        <w:ind w:left="520"/>
        <w:spacing w:after="0" w:line="226" w:lineRule="auto"/>
        <w:rPr>
          <w:sz w:val="20"/>
          <w:szCs w:val="20"/>
          <w:color w:val="auto"/>
        </w:rPr>
      </w:pPr>
      <w:r>
        <w:rPr>
          <w:rFonts w:ascii="Arial" w:cs="Arial" w:eastAsia="Arial" w:hAnsi="Arial"/>
          <w:sz w:val="15"/>
          <w:szCs w:val="15"/>
          <w:b w:val="1"/>
          <w:bCs w:val="1"/>
          <w:color w:val="auto"/>
        </w:rPr>
        <w:t xml:space="preserve">Independent: </w:t>
      </w:r>
      <w:r>
        <w:rPr>
          <w:rFonts w:ascii="Arial" w:cs="Arial" w:eastAsia="Arial" w:hAnsi="Arial"/>
          <w:sz w:val="15"/>
          <w:szCs w:val="15"/>
          <w:color w:val="auto"/>
        </w:rPr>
        <w:t>Yes</w:t>
      </w:r>
    </w:p>
    <w:p>
      <w:pPr>
        <w:ind w:left="520"/>
        <w:spacing w:after="0" w:line="225" w:lineRule="auto"/>
        <w:rPr>
          <w:sz w:val="20"/>
          <w:szCs w:val="20"/>
          <w:color w:val="auto"/>
        </w:rPr>
      </w:pPr>
      <w:r>
        <w:rPr>
          <w:rFonts w:ascii="Arial" w:cs="Arial" w:eastAsia="Arial" w:hAnsi="Arial"/>
          <w:sz w:val="15"/>
          <w:szCs w:val="15"/>
          <w:color w:val="auto"/>
        </w:rPr>
        <w:t> </w:t>
      </w:r>
    </w:p>
    <w:p>
      <w:pPr>
        <w:ind w:left="520"/>
        <w:spacing w:after="0" w:line="226" w:lineRule="auto"/>
        <w:rPr>
          <w:sz w:val="20"/>
          <w:szCs w:val="20"/>
          <w:color w:val="auto"/>
        </w:rPr>
      </w:pPr>
      <w:r>
        <w:rPr>
          <w:rFonts w:ascii="Arial" w:cs="Arial" w:eastAsia="Arial" w:hAnsi="Arial"/>
          <w:sz w:val="15"/>
          <w:szCs w:val="15"/>
          <w:b w:val="1"/>
          <w:bCs w:val="1"/>
          <w:color w:val="auto"/>
        </w:rPr>
        <w:t>Committees:</w:t>
      </w:r>
    </w:p>
    <w:p>
      <w:pPr>
        <w:ind w:left="740" w:hanging="222"/>
        <w:spacing w:after="0" w:line="225" w:lineRule="auto"/>
        <w:rPr>
          <w:sz w:val="20"/>
          <w:szCs w:val="20"/>
          <w:color w:val="auto"/>
        </w:rPr>
      </w:pPr>
      <w:r>
        <w:rPr>
          <w:rFonts w:ascii="Arial" w:cs="Arial" w:eastAsia="Arial" w:hAnsi="Arial"/>
          <w:sz w:val="15"/>
          <w:szCs w:val="15"/>
          <w:color w:val="auto"/>
        </w:rPr>
        <w:t>•  Compensation and Management Development (Chair)</w:t>
      </w:r>
    </w:p>
    <w:p>
      <w:pPr>
        <w:ind w:left="520"/>
        <w:spacing w:after="0" w:line="226" w:lineRule="auto"/>
        <w:rPr>
          <w:sz w:val="20"/>
          <w:szCs w:val="20"/>
          <w:color w:val="auto"/>
        </w:rPr>
      </w:pPr>
      <w:r>
        <w:rPr>
          <w:rFonts w:ascii="Arial" w:cs="Arial" w:eastAsia="Arial" w:hAnsi="Arial"/>
          <w:sz w:val="15"/>
          <w:szCs w:val="15"/>
          <w:color w:val="auto"/>
        </w:rPr>
        <w:t>•   Audit</w:t>
      </w:r>
    </w:p>
    <w:p>
      <w:pPr>
        <w:ind w:left="520"/>
        <w:spacing w:after="0" w:line="226" w:lineRule="auto"/>
        <w:rPr>
          <w:sz w:val="20"/>
          <w:szCs w:val="20"/>
          <w:color w:val="auto"/>
        </w:rPr>
      </w:pPr>
      <w:r>
        <w:rPr>
          <w:rFonts w:ascii="Arial" w:cs="Arial" w:eastAsia="Arial" w:hAnsi="Arial"/>
          <w:sz w:val="15"/>
          <w:szCs w:val="15"/>
          <w:color w:val="auto"/>
        </w:rPr>
        <w:t> </w:t>
      </w:r>
    </w:p>
    <w:p>
      <w:pPr>
        <w:ind w:left="520"/>
        <w:spacing w:after="0" w:line="225" w:lineRule="auto"/>
        <w:rPr>
          <w:sz w:val="20"/>
          <w:szCs w:val="20"/>
          <w:color w:val="auto"/>
        </w:rPr>
      </w:pPr>
      <w:r>
        <w:rPr>
          <w:rFonts w:ascii="Arial" w:cs="Arial" w:eastAsia="Arial" w:hAnsi="Arial"/>
          <w:sz w:val="15"/>
          <w:szCs w:val="15"/>
          <w:b w:val="1"/>
          <w:bCs w:val="1"/>
          <w:color w:val="auto"/>
        </w:rPr>
        <w:t>Other Public</w:t>
      </w:r>
    </w:p>
    <w:p>
      <w:pPr>
        <w:ind w:left="520"/>
        <w:spacing w:after="0" w:line="225" w:lineRule="auto"/>
        <w:rPr>
          <w:sz w:val="20"/>
          <w:szCs w:val="20"/>
          <w:color w:val="auto"/>
        </w:rPr>
      </w:pPr>
      <w:r>
        <w:rPr>
          <w:rFonts w:ascii="Arial" w:cs="Arial" w:eastAsia="Arial" w:hAnsi="Arial"/>
          <w:sz w:val="15"/>
          <w:szCs w:val="15"/>
          <w:b w:val="1"/>
          <w:bCs w:val="1"/>
          <w:color w:val="auto"/>
        </w:rPr>
        <w:t>Directorships:</w:t>
      </w:r>
    </w:p>
    <w:p>
      <w:pPr>
        <w:ind w:left="520"/>
        <w:spacing w:after="0" w:line="226" w:lineRule="auto"/>
        <w:rPr>
          <w:sz w:val="20"/>
          <w:szCs w:val="20"/>
          <w:color w:val="auto"/>
        </w:rPr>
      </w:pPr>
      <w:r>
        <w:rPr>
          <w:rFonts w:ascii="Arial" w:cs="Arial" w:eastAsia="Arial" w:hAnsi="Arial"/>
          <w:sz w:val="15"/>
          <w:szCs w:val="15"/>
          <w:color w:val="auto"/>
        </w:rPr>
        <w:t>•   AtriCure, Inc.</w:t>
      </w:r>
    </w:p>
    <w:p>
      <w:pPr>
        <w:ind w:left="520"/>
        <w:spacing w:after="0" w:line="225" w:lineRule="auto"/>
        <w:rPr>
          <w:sz w:val="20"/>
          <w:szCs w:val="20"/>
          <w:color w:val="auto"/>
        </w:rPr>
      </w:pPr>
      <w:r>
        <w:rPr>
          <w:rFonts w:ascii="Arial" w:cs="Arial" w:eastAsia="Arial" w:hAnsi="Arial"/>
          <w:sz w:val="15"/>
          <w:szCs w:val="15"/>
          <w:color w:val="auto"/>
        </w:rPr>
        <w:t>•   Nevro Corp.</w:t>
      </w:r>
    </w:p>
    <w:p>
      <w:pPr>
        <w:ind w:left="740"/>
        <w:spacing w:after="0" w:line="226" w:lineRule="auto"/>
        <w:rPr>
          <w:sz w:val="20"/>
          <w:szCs w:val="20"/>
          <w:color w:val="auto"/>
        </w:rPr>
      </w:pPr>
      <w:r>
        <w:rPr>
          <w:rFonts w:ascii="Arial" w:cs="Arial" w:eastAsia="Arial" w:hAnsi="Arial"/>
          <w:sz w:val="15"/>
          <w:szCs w:val="15"/>
          <w:color w:val="auto"/>
        </w:rPr>
        <w:t> </w:t>
      </w:r>
    </w:p>
    <w:p>
      <w:pPr>
        <w:ind w:left="520"/>
        <w:spacing w:after="0" w:line="225" w:lineRule="auto"/>
        <w:rPr>
          <w:sz w:val="20"/>
          <w:szCs w:val="20"/>
          <w:color w:val="auto"/>
        </w:rPr>
      </w:pPr>
      <w:r>
        <w:rPr>
          <w:rFonts w:ascii="Arial" w:cs="Arial" w:eastAsia="Arial" w:hAnsi="Arial"/>
          <w:sz w:val="15"/>
          <w:szCs w:val="15"/>
          <w:b w:val="1"/>
          <w:bCs w:val="1"/>
          <w:color w:val="auto"/>
        </w:rPr>
        <w:t>Former Public</w:t>
      </w:r>
    </w:p>
    <w:p>
      <w:pPr>
        <w:ind w:left="520"/>
        <w:spacing w:after="0" w:line="225" w:lineRule="auto"/>
        <w:rPr>
          <w:sz w:val="20"/>
          <w:szCs w:val="20"/>
          <w:color w:val="auto"/>
        </w:rPr>
      </w:pPr>
      <w:r>
        <w:rPr>
          <w:rFonts w:ascii="Arial" w:cs="Arial" w:eastAsia="Arial" w:hAnsi="Arial"/>
          <w:sz w:val="15"/>
          <w:szCs w:val="15"/>
          <w:b w:val="1"/>
          <w:bCs w:val="1"/>
          <w:color w:val="auto"/>
        </w:rPr>
        <w:t>Directorships</w:t>
      </w:r>
    </w:p>
    <w:p>
      <w:pPr>
        <w:ind w:left="520"/>
        <w:spacing w:after="0" w:line="226" w:lineRule="auto"/>
        <w:rPr>
          <w:sz w:val="20"/>
          <w:szCs w:val="20"/>
          <w:color w:val="auto"/>
        </w:rPr>
      </w:pPr>
      <w:r>
        <w:rPr>
          <w:rFonts w:ascii="Arial" w:cs="Arial" w:eastAsia="Arial" w:hAnsi="Arial"/>
          <w:sz w:val="15"/>
          <w:szCs w:val="15"/>
          <w:b w:val="1"/>
          <w:bCs w:val="1"/>
          <w:color w:val="auto"/>
        </w:rPr>
        <w:t>(last 5 years):</w:t>
      </w:r>
    </w:p>
    <w:p>
      <w:pPr>
        <w:jc w:val="center"/>
        <w:ind w:left="100"/>
        <w:spacing w:after="0"/>
        <w:rPr>
          <w:sz w:val="20"/>
          <w:szCs w:val="20"/>
          <w:color w:val="auto"/>
        </w:rPr>
      </w:pPr>
      <w:r>
        <w:rPr>
          <w:rFonts w:ascii="Arial" w:cs="Arial" w:eastAsia="Arial" w:hAnsi="Arial"/>
          <w:sz w:val="14"/>
          <w:szCs w:val="14"/>
          <w:color w:val="auto"/>
        </w:rPr>
        <w:t>•   Cantel Medical</w:t>
      </w:r>
    </w:p>
    <w:p>
      <w:pPr>
        <w:ind w:left="720"/>
        <w:spacing w:after="0" w:line="226" w:lineRule="auto"/>
        <w:rPr>
          <w:sz w:val="20"/>
          <w:szCs w:val="20"/>
          <w:color w:val="auto"/>
        </w:rPr>
      </w:pPr>
      <w:r>
        <w:rPr>
          <w:rFonts w:ascii="Arial" w:cs="Arial" w:eastAsia="Arial" w:hAnsi="Arial"/>
          <w:sz w:val="15"/>
          <w:szCs w:val="15"/>
          <w:color w:val="auto"/>
        </w:rPr>
        <w:t>Corporation</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5"/>
          <w:szCs w:val="15"/>
          <w:color w:val="auto"/>
        </w:rPr>
        <w:t>•   ViewRay, Inc.</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left="5" w:right="399"/>
        <w:spacing w:after="0" w:line="227" w:lineRule="auto"/>
        <w:rPr>
          <w:sz w:val="20"/>
          <w:szCs w:val="20"/>
          <w:color w:val="auto"/>
        </w:rPr>
      </w:pPr>
      <w:r>
        <w:rPr>
          <w:rFonts w:ascii="Arial" w:cs="Arial" w:eastAsia="Arial" w:hAnsi="Arial"/>
          <w:sz w:val="15"/>
          <w:szCs w:val="15"/>
          <w:color w:val="auto"/>
        </w:rPr>
        <w:t>Ms. Prange was most recently Executive Vice President and Chief Executive Officer for the Global Animal Health, Medical and Dental Surgical Group at Henry Schein, Inc. (“Henry Schein”) and a member of its Executive Committee from 2016 to 2018. In this role, she led a business that generated over $6 billion of revenue across three different business units, growing the business to above-market levels in all business segments. Prior to her role at Henry Schein, she was Senior Vice President of Boston Scientific and President of its Urology and Pelvic Health business and served as General Manager of the Micrus Endovascular and Codman Neurovascular business at Johnson</w:t>
      </w:r>
    </w:p>
    <w:p>
      <w:pPr>
        <w:spacing w:after="0" w:line="5" w:lineRule="exact"/>
        <w:rPr>
          <w:sz w:val="20"/>
          <w:szCs w:val="20"/>
          <w:color w:val="auto"/>
        </w:rPr>
      </w:pPr>
    </w:p>
    <w:p>
      <w:pPr>
        <w:ind w:left="5" w:right="599" w:hanging="5"/>
        <w:spacing w:after="0" w:line="225" w:lineRule="auto"/>
        <w:tabs>
          <w:tab w:leader="none" w:pos="149" w:val="left"/>
        </w:tabs>
        <w:numPr>
          <w:ilvl w:val="0"/>
          <w:numId w:val="9"/>
        </w:numPr>
        <w:rPr>
          <w:rFonts w:ascii="Arial" w:cs="Arial" w:eastAsia="Arial" w:hAnsi="Arial"/>
          <w:sz w:val="15"/>
          <w:szCs w:val="15"/>
          <w:color w:val="auto"/>
        </w:rPr>
      </w:pPr>
      <w:r>
        <w:rPr>
          <w:rFonts w:ascii="Arial" w:cs="Arial" w:eastAsia="Arial" w:hAnsi="Arial"/>
          <w:sz w:val="15"/>
          <w:szCs w:val="15"/>
          <w:color w:val="auto"/>
        </w:rPr>
        <w:t>Johnson Company. In addition to general management roles, Ms. Prange has extensive experience in commercial and operational roles, including managing innovation pipelines and acquiring and integrating companies. Ms. Prange currently serves on the board of AtriCure, Inc. (NASDAQ: ATRC), Nevro Corp (NYSE: NVRO) and WS Audiology A/S. She has also served as Industrial Advisor to EQT Group, a global investment organization, since March 2020.</w:t>
      </w:r>
    </w:p>
    <w:p>
      <w:pPr>
        <w:spacing w:after="0" w:line="1" w:lineRule="exact"/>
        <w:rPr>
          <w:rFonts w:ascii="Arial" w:cs="Arial" w:eastAsia="Arial" w:hAnsi="Arial"/>
          <w:sz w:val="15"/>
          <w:szCs w:val="15"/>
          <w:color w:val="auto"/>
        </w:rPr>
      </w:pPr>
    </w:p>
    <w:p>
      <w:pPr>
        <w:ind w:left="5"/>
        <w:spacing w:after="0" w:line="225" w:lineRule="auto"/>
        <w:rPr>
          <w:rFonts w:ascii="Arial" w:cs="Arial" w:eastAsia="Arial" w:hAnsi="Arial"/>
          <w:sz w:val="15"/>
          <w:szCs w:val="15"/>
          <w:color w:val="auto"/>
        </w:rPr>
      </w:pPr>
      <w:r>
        <w:rPr>
          <w:rFonts w:ascii="Arial" w:cs="Arial" w:eastAsia="Arial" w:hAnsi="Arial"/>
          <w:sz w:val="15"/>
          <w:szCs w:val="15"/>
          <w:color w:val="auto"/>
        </w:rPr>
        <w:t> </w:t>
      </w:r>
    </w:p>
    <w:p>
      <w:pPr>
        <w:ind w:left="5"/>
        <w:spacing w:after="0" w:line="225" w:lineRule="auto"/>
        <w:rPr>
          <w:rFonts w:ascii="Arial" w:cs="Arial" w:eastAsia="Arial" w:hAnsi="Arial"/>
          <w:sz w:val="15"/>
          <w:szCs w:val="15"/>
          <w:color w:val="auto"/>
        </w:rPr>
      </w:pPr>
      <w:r>
        <w:rPr>
          <w:rFonts w:ascii="Arial" w:cs="Arial" w:eastAsia="Arial" w:hAnsi="Arial"/>
          <w:sz w:val="15"/>
          <w:szCs w:val="15"/>
          <w:b w:val="1"/>
          <w:bCs w:val="1"/>
          <w:color w:val="auto"/>
        </w:rPr>
        <w:t>Education</w:t>
      </w:r>
    </w:p>
    <w:p>
      <w:pPr>
        <w:ind w:left="5"/>
        <w:spacing w:after="0" w:line="225" w:lineRule="auto"/>
        <w:rPr>
          <w:rFonts w:ascii="Arial" w:cs="Arial" w:eastAsia="Arial" w:hAnsi="Arial"/>
          <w:sz w:val="15"/>
          <w:szCs w:val="15"/>
          <w:color w:val="auto"/>
        </w:rPr>
      </w:pPr>
      <w:r>
        <w:rPr>
          <w:rFonts w:ascii="Arial" w:cs="Arial" w:eastAsia="Arial" w:hAnsi="Arial"/>
          <w:sz w:val="15"/>
          <w:szCs w:val="15"/>
          <w:color w:val="auto"/>
        </w:rPr>
        <w:t> </w:t>
      </w:r>
    </w:p>
    <w:p>
      <w:pPr>
        <w:jc w:val="both"/>
        <w:ind w:left="5" w:right="599"/>
        <w:spacing w:after="0" w:line="225" w:lineRule="auto"/>
        <w:rPr>
          <w:rFonts w:ascii="Arial" w:cs="Arial" w:eastAsia="Arial" w:hAnsi="Arial"/>
          <w:sz w:val="15"/>
          <w:szCs w:val="15"/>
          <w:color w:val="auto"/>
        </w:rPr>
      </w:pPr>
      <w:r>
        <w:rPr>
          <w:rFonts w:ascii="Arial" w:cs="Arial" w:eastAsia="Arial" w:hAnsi="Arial"/>
          <w:sz w:val="15"/>
          <w:szCs w:val="15"/>
          <w:color w:val="auto"/>
        </w:rPr>
        <w:t>Ms. Prange earned her Bachelor of Science in Business Administration with honors from the University of Florida and has completed executive education coursework at UCLA Anderson School of Business and Smith College.</w:t>
      </w:r>
    </w:p>
    <w:p>
      <w:pPr>
        <w:ind w:left="5"/>
        <w:spacing w:after="0" w:line="225" w:lineRule="auto"/>
        <w:rPr>
          <w:rFonts w:ascii="Arial" w:cs="Arial" w:eastAsia="Arial" w:hAnsi="Arial"/>
          <w:sz w:val="15"/>
          <w:szCs w:val="15"/>
          <w:color w:val="auto"/>
        </w:rPr>
      </w:pPr>
      <w:r>
        <w:rPr>
          <w:rFonts w:ascii="Arial" w:cs="Arial" w:eastAsia="Arial" w:hAnsi="Arial"/>
          <w:sz w:val="15"/>
          <w:szCs w:val="15"/>
          <w:color w:val="auto"/>
        </w:rPr>
        <w:t> </w:t>
      </w:r>
    </w:p>
    <w:p>
      <w:pPr>
        <w:ind w:left="5"/>
        <w:spacing w:after="0" w:line="225" w:lineRule="auto"/>
        <w:rPr>
          <w:rFonts w:ascii="Arial" w:cs="Arial" w:eastAsia="Arial" w:hAnsi="Arial"/>
          <w:sz w:val="15"/>
          <w:szCs w:val="15"/>
          <w:color w:val="auto"/>
        </w:rPr>
      </w:pPr>
      <w:r>
        <w:rPr>
          <w:rFonts w:ascii="Arial" w:cs="Arial" w:eastAsia="Arial" w:hAnsi="Arial"/>
          <w:sz w:val="15"/>
          <w:szCs w:val="15"/>
          <w:b w:val="1"/>
          <w:bCs w:val="1"/>
          <w:color w:val="auto"/>
        </w:rPr>
        <w:t>Qualifications, Skills and Experience</w:t>
      </w:r>
    </w:p>
    <w:p>
      <w:pPr>
        <w:ind w:left="5"/>
        <w:spacing w:after="0" w:line="225" w:lineRule="auto"/>
        <w:rPr>
          <w:rFonts w:ascii="Arial" w:cs="Arial" w:eastAsia="Arial" w:hAnsi="Arial"/>
          <w:sz w:val="15"/>
          <w:szCs w:val="15"/>
          <w:color w:val="auto"/>
        </w:rPr>
      </w:pPr>
      <w:r>
        <w:rPr>
          <w:rFonts w:ascii="Arial" w:cs="Arial" w:eastAsia="Arial" w:hAnsi="Arial"/>
          <w:sz w:val="15"/>
          <w:szCs w:val="15"/>
          <w:color w:val="auto"/>
        </w:rPr>
        <w:t> </w:t>
      </w:r>
    </w:p>
    <w:p>
      <w:pPr>
        <w:ind w:left="5" w:right="639"/>
        <w:spacing w:after="0" w:line="233" w:lineRule="auto"/>
        <w:rPr>
          <w:rFonts w:ascii="Arial" w:cs="Arial" w:eastAsia="Arial" w:hAnsi="Arial"/>
          <w:sz w:val="15"/>
          <w:szCs w:val="15"/>
          <w:color w:val="auto"/>
        </w:rPr>
      </w:pPr>
      <w:r>
        <w:rPr>
          <w:rFonts w:ascii="Arial" w:cs="Arial" w:eastAsia="Arial" w:hAnsi="Arial"/>
          <w:sz w:val="15"/>
          <w:szCs w:val="15"/>
          <w:color w:val="auto"/>
        </w:rPr>
        <w:t>Ms. Prange brings to the Board her public company governance experience and leadership experience in the medical industry, as well as extensive global business, strategy and innovation, payer and medical reimbursement, risk management, ESG and regulatory and compliance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-1550670</wp:posOffset>
            </wp:positionH>
            <wp:positionV relativeFrom="paragraph">
              <wp:posOffset>1171575</wp:posOffset>
            </wp:positionV>
            <wp:extent cx="534924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889" w:lineRule="exact"/>
        <w:rPr>
          <w:sz w:val="20"/>
          <w:szCs w:val="20"/>
          <w:color w:val="auto"/>
        </w:rPr>
      </w:pPr>
    </w:p>
    <w:p>
      <w:pPr>
        <w:sectPr>
          <w:pgSz w:w="11900" w:h="16838" w:orient="portrait"/>
          <w:cols w:equalWidth="0" w:num="2">
            <w:col w:w="2160" w:space="575"/>
            <w:col w:w="6284"/>
          </w:cols>
          <w:pgMar w:left="1440" w:top="114" w:right="1440" w:bottom="1440" w:gutter="0" w:footer="0" w:header="0"/>
          <w:type w:val="continuous"/>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138430</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6"/>
          <w:szCs w:val="16"/>
          <w:color w:val="342C82"/>
        </w:rPr>
        <w:t>Proposal 1: Election of directors</w:t>
      </w:r>
    </w:p>
    <w:p>
      <w:pPr>
        <w:spacing w:after="0" w:line="159" w:lineRule="exact"/>
        <w:rPr>
          <w:sz w:val="20"/>
          <w:szCs w:val="20"/>
          <w:color w:val="auto"/>
        </w:rPr>
      </w:pPr>
    </w:p>
    <w:p>
      <w:pPr>
        <w:ind w:left="300"/>
        <w:spacing w:after="0"/>
        <w:rPr>
          <w:sz w:val="20"/>
          <w:szCs w:val="20"/>
          <w:color w:val="auto"/>
        </w:rPr>
      </w:pPr>
      <w:r>
        <w:rPr>
          <w:rFonts w:ascii="Arial" w:cs="Arial" w:eastAsia="Arial" w:hAnsi="Arial"/>
          <w:sz w:val="25"/>
          <w:szCs w:val="25"/>
          <w:color w:val="auto"/>
        </w:rPr>
        <w:t>David J. Albritton</w:t>
      </w:r>
    </w:p>
    <w:p>
      <w:pPr>
        <w:spacing w:after="0" w:line="163" w:lineRule="exact"/>
        <w:rPr>
          <w:sz w:val="20"/>
          <w:szCs w:val="20"/>
          <w:color w:val="auto"/>
        </w:rPr>
      </w:pPr>
    </w:p>
    <w:p>
      <w:pPr>
        <w:ind w:left="300"/>
        <w:spacing w:after="0"/>
        <w:rPr>
          <w:sz w:val="20"/>
          <w:szCs w:val="20"/>
          <w:color w:val="auto"/>
        </w:rPr>
      </w:pPr>
      <w:r>
        <w:rPr>
          <w:rFonts w:ascii="Arial" w:cs="Arial" w:eastAsia="Arial" w:hAnsi="Arial"/>
          <w:sz w:val="15"/>
          <w:szCs w:val="15"/>
          <w:color w:val="auto"/>
        </w:rPr>
        <w:t>Founder and Chief Executive Officer, Nineteen88 Strategies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46990</wp:posOffset>
            </wp:positionV>
            <wp:extent cx="534924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80"/>
        <w:spacing w:after="0"/>
        <w:rPr>
          <w:sz w:val="20"/>
          <w:szCs w:val="20"/>
          <w:color w:val="auto"/>
        </w:rPr>
      </w:pPr>
      <w:r>
        <w:rPr>
          <w:rFonts w:ascii="Arial" w:cs="Arial" w:eastAsia="Arial" w:hAnsi="Arial"/>
          <w:sz w:val="15"/>
          <w:szCs w:val="15"/>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-1332230</wp:posOffset>
            </wp:positionV>
            <wp:extent cx="1303020" cy="12344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03020" cy="123444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5"/>
          <w:szCs w:val="15"/>
          <w:color w:val="auto"/>
        </w:rPr>
        <w:t> </w:t>
      </w:r>
    </w:p>
    <w:p>
      <w:pPr>
        <w:spacing w:after="0" w:line="55" w:lineRule="exact"/>
        <w:rPr>
          <w:sz w:val="20"/>
          <w:szCs w:val="20"/>
          <w:color w:val="auto"/>
        </w:rPr>
      </w:pPr>
    </w:p>
    <w:p>
      <w:pPr>
        <w:ind w:left="520"/>
        <w:spacing w:after="0"/>
        <w:rPr>
          <w:sz w:val="20"/>
          <w:szCs w:val="20"/>
          <w:color w:val="auto"/>
        </w:rPr>
      </w:pPr>
      <w:r>
        <w:rPr>
          <w:rFonts w:ascii="Arial" w:cs="Arial" w:eastAsia="Arial" w:hAnsi="Arial"/>
          <w:sz w:val="15"/>
          <w:szCs w:val="15"/>
          <w:b w:val="1"/>
          <w:bCs w:val="1"/>
          <w:color w:val="auto"/>
        </w:rPr>
        <w:t xml:space="preserve">Age: </w:t>
      </w:r>
      <w:r>
        <w:rPr>
          <w:rFonts w:ascii="Arial" w:cs="Arial" w:eastAsia="Arial" w:hAnsi="Arial"/>
          <w:sz w:val="15"/>
          <w:szCs w:val="15"/>
          <w:color w:val="auto"/>
        </w:rPr>
        <w:t>58</w:t>
      </w:r>
    </w:p>
    <w:p>
      <w:pPr>
        <w:ind w:left="520"/>
        <w:spacing w:after="0" w:line="233" w:lineRule="auto"/>
        <w:rPr>
          <w:sz w:val="20"/>
          <w:szCs w:val="20"/>
          <w:color w:val="auto"/>
        </w:rPr>
      </w:pPr>
      <w:r>
        <w:rPr>
          <w:rFonts w:ascii="Arial" w:cs="Arial" w:eastAsia="Arial" w:hAnsi="Arial"/>
          <w:sz w:val="15"/>
          <w:szCs w:val="15"/>
          <w:color w:val="auto"/>
        </w:rPr>
        <w:t> </w:t>
      </w:r>
    </w:p>
    <w:p>
      <w:pPr>
        <w:ind w:left="520"/>
        <w:spacing w:after="0" w:line="225" w:lineRule="auto"/>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2022</w:t>
      </w:r>
    </w:p>
    <w:p>
      <w:pPr>
        <w:ind w:left="520"/>
        <w:spacing w:after="0" w:line="225" w:lineRule="auto"/>
        <w:rPr>
          <w:sz w:val="20"/>
          <w:szCs w:val="20"/>
          <w:color w:val="auto"/>
        </w:rPr>
      </w:pPr>
      <w:r>
        <w:rPr>
          <w:rFonts w:ascii="Arial" w:cs="Arial" w:eastAsia="Arial" w:hAnsi="Arial"/>
          <w:sz w:val="15"/>
          <w:szCs w:val="15"/>
          <w:color w:val="auto"/>
        </w:rPr>
        <w:t> </w:t>
      </w:r>
    </w:p>
    <w:p>
      <w:pPr>
        <w:ind w:left="520"/>
        <w:spacing w:after="0" w:line="226" w:lineRule="auto"/>
        <w:rPr>
          <w:sz w:val="20"/>
          <w:szCs w:val="20"/>
          <w:color w:val="auto"/>
        </w:rPr>
      </w:pPr>
      <w:r>
        <w:rPr>
          <w:rFonts w:ascii="Arial" w:cs="Arial" w:eastAsia="Arial" w:hAnsi="Arial"/>
          <w:sz w:val="15"/>
          <w:szCs w:val="15"/>
          <w:b w:val="1"/>
          <w:bCs w:val="1"/>
          <w:color w:val="auto"/>
        </w:rPr>
        <w:t xml:space="preserve">Independent: </w:t>
      </w:r>
      <w:r>
        <w:rPr>
          <w:rFonts w:ascii="Arial" w:cs="Arial" w:eastAsia="Arial" w:hAnsi="Arial"/>
          <w:sz w:val="15"/>
          <w:szCs w:val="15"/>
          <w:color w:val="auto"/>
        </w:rPr>
        <w:t>Yes</w:t>
      </w:r>
    </w:p>
    <w:p>
      <w:pPr>
        <w:ind w:left="520"/>
        <w:spacing w:after="0" w:line="225" w:lineRule="auto"/>
        <w:rPr>
          <w:sz w:val="20"/>
          <w:szCs w:val="20"/>
          <w:color w:val="auto"/>
        </w:rPr>
      </w:pPr>
      <w:r>
        <w:rPr>
          <w:rFonts w:ascii="Arial" w:cs="Arial" w:eastAsia="Arial" w:hAnsi="Arial"/>
          <w:sz w:val="15"/>
          <w:szCs w:val="15"/>
          <w:color w:val="auto"/>
        </w:rPr>
        <w:t> </w:t>
      </w:r>
    </w:p>
    <w:p>
      <w:pPr>
        <w:ind w:left="520"/>
        <w:spacing w:after="0" w:line="226" w:lineRule="auto"/>
        <w:rPr>
          <w:sz w:val="20"/>
          <w:szCs w:val="20"/>
          <w:color w:val="auto"/>
        </w:rPr>
      </w:pPr>
      <w:r>
        <w:rPr>
          <w:rFonts w:ascii="Arial" w:cs="Arial" w:eastAsia="Arial" w:hAnsi="Arial"/>
          <w:sz w:val="15"/>
          <w:szCs w:val="15"/>
          <w:b w:val="1"/>
          <w:bCs w:val="1"/>
          <w:color w:val="auto"/>
        </w:rPr>
        <w:t>Committees:</w:t>
      </w:r>
    </w:p>
    <w:p>
      <w:pPr>
        <w:ind w:left="720" w:hanging="199"/>
        <w:spacing w:after="0" w:line="241" w:lineRule="auto"/>
        <w:tabs>
          <w:tab w:leader="none" w:pos="700" w:val="left"/>
        </w:tabs>
        <w:rPr>
          <w:sz w:val="20"/>
          <w:szCs w:val="20"/>
          <w:color w:val="auto"/>
        </w:rPr>
      </w:pPr>
      <w:r>
        <w:rPr>
          <w:rFonts w:ascii="Arial" w:cs="Arial" w:eastAsia="Arial" w:hAnsi="Arial"/>
          <w:sz w:val="14"/>
          <w:szCs w:val="14"/>
          <w:color w:val="auto"/>
        </w:rPr>
        <w:t>• </w:t>
        <w:tab/>
        <w:t>Corporate Governance and Nominating</w:t>
      </w:r>
    </w:p>
    <w:p>
      <w:pPr>
        <w:spacing w:after="0" w:line="1" w:lineRule="exact"/>
        <w:rPr>
          <w:sz w:val="20"/>
          <w:szCs w:val="20"/>
          <w:color w:val="auto"/>
        </w:rPr>
      </w:pPr>
    </w:p>
    <w:p>
      <w:pPr>
        <w:ind w:left="740" w:right="220" w:hanging="222"/>
        <w:spacing w:after="0" w:line="279" w:lineRule="auto"/>
        <w:rPr>
          <w:sz w:val="20"/>
          <w:szCs w:val="20"/>
          <w:color w:val="auto"/>
        </w:rPr>
      </w:pPr>
      <w:r>
        <w:rPr>
          <w:rFonts w:ascii="Arial" w:cs="Arial" w:eastAsia="Arial" w:hAnsi="Arial"/>
          <w:sz w:val="14"/>
          <w:szCs w:val="14"/>
          <w:color w:val="auto"/>
        </w:rPr>
        <w:t>•  Technology, Quality and Regulatory</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right="539"/>
        <w:spacing w:after="0" w:line="228" w:lineRule="auto"/>
        <w:rPr>
          <w:sz w:val="20"/>
          <w:szCs w:val="20"/>
          <w:color w:val="auto"/>
        </w:rPr>
      </w:pPr>
      <w:r>
        <w:rPr>
          <w:rFonts w:ascii="Arial" w:cs="Arial" w:eastAsia="Arial" w:hAnsi="Arial"/>
          <w:sz w:val="15"/>
          <w:szCs w:val="15"/>
          <w:color w:val="auto"/>
        </w:rPr>
        <w:t>Mr. Albritton is the founder and Chief Executive Officer of Nineteen88 Strategies, an executive coaching and consulting firm. He has also served as Managing Director of CRA Admired Leadership, a private consultancy firm specializing in leadership development, strategic communication, and custom research, since January of 2024. Prior to that, Mr. Albritton served most recently as Vice President, Communications, Worldwide Public Sector and Vertical Industries, at Amazon Web Services, and previously spent five years at GM, most recently as President for GM Defense.</w:t>
      </w:r>
    </w:p>
    <w:p>
      <w:pPr>
        <w:spacing w:after="0" w:line="1" w:lineRule="exact"/>
        <w:rPr>
          <w:sz w:val="20"/>
          <w:szCs w:val="20"/>
          <w:color w:val="auto"/>
        </w:rPr>
      </w:pPr>
    </w:p>
    <w:p>
      <w:pPr>
        <w:ind w:right="399"/>
        <w:spacing w:after="0"/>
        <w:rPr>
          <w:sz w:val="20"/>
          <w:szCs w:val="20"/>
          <w:color w:val="auto"/>
        </w:rPr>
      </w:pPr>
      <w:r>
        <w:rPr>
          <w:rFonts w:ascii="Arial" w:cs="Arial" w:eastAsia="Arial" w:hAnsi="Arial"/>
          <w:sz w:val="15"/>
          <w:szCs w:val="15"/>
          <w:color w:val="auto"/>
        </w:rPr>
        <w:t>Mr. Albritton began at GM following the sale of Exelis Inc. (“Exelis”) to Harris Corporation in 2015. He was Exelis’ Vice President and Chief Communications Officer, a role he assumed upon its spinoff from ITT Corporation in 2011. He joined Exelis, then ITT Defense &amp; Information Solutions, in November 2008 as the Vice President of Communications. Prior to that, he was Director of Media Relations in the Global Business Development and Government Relations office for Raytheon Company and has also held senior communications positions with United Way of America, Hewlett-Packard Company/Compaq Computer Corporation and Sears, Roebuck and Co.  </w:t>
      </w:r>
    </w:p>
    <w:p>
      <w:pPr>
        <w:spacing w:after="0" w:line="78" w:lineRule="exact"/>
        <w:rPr>
          <w:sz w:val="20"/>
          <w:szCs w:val="20"/>
          <w:color w:val="auto"/>
        </w:rPr>
      </w:pPr>
    </w:p>
    <w:p>
      <w:pPr>
        <w:ind w:right="399"/>
        <w:spacing w:after="0"/>
        <w:rPr>
          <w:sz w:val="20"/>
          <w:szCs w:val="20"/>
          <w:color w:val="auto"/>
        </w:rPr>
      </w:pPr>
      <w:r>
        <w:rPr>
          <w:rFonts w:ascii="Arial" w:cs="Arial" w:eastAsia="Arial" w:hAnsi="Arial"/>
          <w:sz w:val="15"/>
          <w:szCs w:val="15"/>
          <w:color w:val="auto"/>
        </w:rPr>
        <w:t>Early in his career, Mr. Albritton spent ten years as an officer in the U.S. Navy and served in the Pentagon as an official Navy Spokesman on the Navy News Desk and as the Flag Lieutenant/Aide for the U.S. Navy’s Chief of Information. He also served aboard USS Portland (LSD 37) during Operations Desert Shield and Desert Storm.  </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Education</w:t>
      </w:r>
    </w:p>
    <w:p>
      <w:pPr>
        <w:spacing w:after="0" w:line="225" w:lineRule="auto"/>
        <w:rPr>
          <w:sz w:val="20"/>
          <w:szCs w:val="20"/>
          <w:color w:val="auto"/>
        </w:rPr>
      </w:pPr>
      <w:r>
        <w:rPr>
          <w:rFonts w:ascii="Arial" w:cs="Arial" w:eastAsia="Arial" w:hAnsi="Arial"/>
          <w:sz w:val="15"/>
          <w:szCs w:val="15"/>
          <w:color w:val="auto"/>
        </w:rPr>
        <w:t> </w:t>
      </w:r>
    </w:p>
    <w:p>
      <w:pPr>
        <w:spacing w:after="0" w:line="225" w:lineRule="auto"/>
        <w:rPr>
          <w:sz w:val="20"/>
          <w:szCs w:val="20"/>
          <w:color w:val="auto"/>
        </w:rPr>
      </w:pPr>
      <w:r>
        <w:rPr>
          <w:rFonts w:ascii="Arial" w:cs="Arial" w:eastAsia="Arial" w:hAnsi="Arial"/>
          <w:sz w:val="15"/>
          <w:szCs w:val="15"/>
          <w:color w:val="auto"/>
        </w:rPr>
        <w:t>Mr. Albritton holds a Bachelor of Science in General Engineering from the U.S. Naval</w:t>
      </w:r>
    </w:p>
    <w:p>
      <w:pPr>
        <w:spacing w:after="0" w:line="226" w:lineRule="auto"/>
        <w:rPr>
          <w:sz w:val="20"/>
          <w:szCs w:val="20"/>
          <w:color w:val="auto"/>
        </w:rPr>
      </w:pPr>
      <w:r>
        <w:rPr>
          <w:rFonts w:ascii="Arial" w:cs="Arial" w:eastAsia="Arial" w:hAnsi="Arial"/>
          <w:sz w:val="15"/>
          <w:szCs w:val="15"/>
          <w:color w:val="auto"/>
        </w:rPr>
        <w:t>Academy in Annapolis, MD, as well as a Master of Science in Management from the</w:t>
      </w:r>
    </w:p>
    <w:p>
      <w:pPr>
        <w:spacing w:after="0" w:line="225" w:lineRule="auto"/>
        <w:rPr>
          <w:sz w:val="20"/>
          <w:szCs w:val="20"/>
          <w:color w:val="auto"/>
        </w:rPr>
      </w:pPr>
      <w:r>
        <w:rPr>
          <w:rFonts w:ascii="Arial" w:cs="Arial" w:eastAsia="Arial" w:hAnsi="Arial"/>
          <w:sz w:val="15"/>
          <w:szCs w:val="15"/>
          <w:color w:val="auto"/>
        </w:rPr>
        <w:t>Naval Postgraduate School in Monterey, CA. He has also completed executive</w:t>
      </w:r>
    </w:p>
    <w:p>
      <w:pPr>
        <w:spacing w:after="0" w:line="226" w:lineRule="auto"/>
        <w:rPr>
          <w:sz w:val="20"/>
          <w:szCs w:val="20"/>
          <w:color w:val="auto"/>
        </w:rPr>
      </w:pPr>
      <w:r>
        <w:rPr>
          <w:rFonts w:ascii="Arial" w:cs="Arial" w:eastAsia="Arial" w:hAnsi="Arial"/>
          <w:sz w:val="15"/>
          <w:szCs w:val="15"/>
          <w:color w:val="auto"/>
        </w:rPr>
        <w:t>education courses at Harvard University, Stanford University and the Wharton School</w:t>
      </w:r>
    </w:p>
    <w:p>
      <w:pPr>
        <w:spacing w:after="0" w:line="225" w:lineRule="auto"/>
        <w:rPr>
          <w:sz w:val="20"/>
          <w:szCs w:val="20"/>
          <w:color w:val="auto"/>
        </w:rPr>
      </w:pPr>
      <w:r>
        <w:rPr>
          <w:rFonts w:ascii="Arial" w:cs="Arial" w:eastAsia="Arial" w:hAnsi="Arial"/>
          <w:sz w:val="15"/>
          <w:szCs w:val="15"/>
          <w:color w:val="auto"/>
        </w:rPr>
        <w:t>of Business of University of Pennsylvania. He received his International Coaching</w:t>
      </w:r>
    </w:p>
    <w:p>
      <w:pPr>
        <w:spacing w:after="0" w:line="225" w:lineRule="auto"/>
        <w:rPr>
          <w:sz w:val="20"/>
          <w:szCs w:val="20"/>
          <w:color w:val="auto"/>
        </w:rPr>
      </w:pPr>
      <w:r>
        <w:rPr>
          <w:rFonts w:ascii="Arial" w:cs="Arial" w:eastAsia="Arial" w:hAnsi="Arial"/>
          <w:sz w:val="15"/>
          <w:szCs w:val="15"/>
          <w:color w:val="auto"/>
        </w:rPr>
        <w:t>Federation (ICF)-certified executive coach training through Georgetown University’s</w:t>
      </w:r>
    </w:p>
    <w:p>
      <w:pPr>
        <w:spacing w:after="0" w:line="226" w:lineRule="auto"/>
        <w:rPr>
          <w:sz w:val="20"/>
          <w:szCs w:val="20"/>
          <w:color w:val="auto"/>
        </w:rPr>
      </w:pPr>
      <w:r>
        <w:rPr>
          <w:rFonts w:ascii="Arial" w:cs="Arial" w:eastAsia="Arial" w:hAnsi="Arial"/>
          <w:sz w:val="15"/>
          <w:szCs w:val="15"/>
          <w:color w:val="auto"/>
        </w:rPr>
        <w:t>Institute for Transformational Leadership.</w:t>
      </w:r>
    </w:p>
    <w:p>
      <w:pPr>
        <w:spacing w:after="0" w:line="225" w:lineRule="auto"/>
        <w:rPr>
          <w:sz w:val="20"/>
          <w:szCs w:val="20"/>
          <w:color w:val="auto"/>
        </w:rPr>
      </w:pPr>
      <w:r>
        <w:rPr>
          <w:rFonts w:ascii="Arial" w:cs="Arial" w:eastAsia="Arial" w:hAnsi="Arial"/>
          <w:sz w:val="15"/>
          <w:szCs w:val="15"/>
          <w:color w:val="auto"/>
        </w:rPr>
        <w:t> </w:t>
      </w:r>
    </w:p>
    <w:p>
      <w:pPr>
        <w:spacing w:after="0" w:line="226" w:lineRule="auto"/>
        <w:rPr>
          <w:sz w:val="20"/>
          <w:szCs w:val="20"/>
          <w:color w:val="auto"/>
        </w:rPr>
      </w:pPr>
      <w:r>
        <w:rPr>
          <w:rFonts w:ascii="Arial" w:cs="Arial" w:eastAsia="Arial" w:hAnsi="Arial"/>
          <w:sz w:val="15"/>
          <w:szCs w:val="15"/>
          <w:b w:val="1"/>
          <w:bCs w:val="1"/>
          <w:color w:val="auto"/>
        </w:rPr>
        <w:t>Qualifications, Skills and Experience</w:t>
      </w:r>
    </w:p>
    <w:p>
      <w:pPr>
        <w:spacing w:after="0" w:line="225" w:lineRule="auto"/>
        <w:rPr>
          <w:sz w:val="20"/>
          <w:szCs w:val="20"/>
          <w:color w:val="auto"/>
        </w:rPr>
      </w:pPr>
      <w:r>
        <w:rPr>
          <w:rFonts w:ascii="Arial" w:cs="Arial" w:eastAsia="Arial" w:hAnsi="Arial"/>
          <w:sz w:val="15"/>
          <w:szCs w:val="15"/>
          <w:color w:val="auto"/>
        </w:rPr>
        <w:t> </w:t>
      </w:r>
    </w:p>
    <w:p>
      <w:pPr>
        <w:ind w:right="399"/>
        <w:spacing w:after="0" w:line="236" w:lineRule="auto"/>
        <w:rPr>
          <w:sz w:val="20"/>
          <w:szCs w:val="20"/>
          <w:color w:val="auto"/>
        </w:rPr>
      </w:pPr>
      <w:r>
        <w:rPr>
          <w:rFonts w:ascii="Arial" w:cs="Arial" w:eastAsia="Arial" w:hAnsi="Arial"/>
          <w:sz w:val="15"/>
          <w:szCs w:val="15"/>
          <w:color w:val="auto"/>
        </w:rPr>
        <w:t>Mr. Albritton brings to the Board his extensive experience in executive leadership, global business, strategy and innovation, cybersecurity and crisis management, as well as his communications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-1553845</wp:posOffset>
            </wp:positionH>
            <wp:positionV relativeFrom="paragraph">
              <wp:posOffset>90805</wp:posOffset>
            </wp:positionV>
            <wp:extent cx="534924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80" w:space="460"/>
            <w:col w:w="6279"/>
          </w:cols>
          <w:pgMar w:left="1440" w:top="114" w:right="1440" w:bottom="1440" w:gutter="0" w:footer="0" w:header="0"/>
          <w:type w:val="continuous"/>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146685</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jc w:val="right"/>
        <w:ind w:right="299"/>
        <w:spacing w:after="0"/>
        <w:rPr>
          <w:sz w:val="20"/>
          <w:szCs w:val="20"/>
          <w:color w:val="auto"/>
        </w:rPr>
      </w:pPr>
      <w:r>
        <w:rPr>
          <w:rFonts w:ascii="Arial" w:cs="Arial" w:eastAsia="Arial" w:hAnsi="Arial"/>
          <w:sz w:val="16"/>
          <w:szCs w:val="16"/>
          <w:color w:val="342C82"/>
        </w:rPr>
        <w:t>Proposal 1: Election of directors</w:t>
      </w:r>
    </w:p>
    <w:p>
      <w:pPr>
        <w:spacing w:after="0" w:line="159" w:lineRule="exact"/>
        <w:rPr>
          <w:sz w:val="20"/>
          <w:szCs w:val="20"/>
          <w:color w:val="auto"/>
        </w:rPr>
      </w:pPr>
    </w:p>
    <w:p>
      <w:pPr>
        <w:ind w:left="300"/>
        <w:spacing w:after="0"/>
        <w:rPr>
          <w:sz w:val="20"/>
          <w:szCs w:val="20"/>
          <w:color w:val="auto"/>
        </w:rPr>
      </w:pPr>
      <w:r>
        <w:rPr>
          <w:rFonts w:ascii="Arial" w:cs="Arial" w:eastAsia="Arial" w:hAnsi="Arial"/>
          <w:sz w:val="25"/>
          <w:szCs w:val="25"/>
          <w:color w:val="auto"/>
        </w:rPr>
        <w:t>Carrie L. Anderson</w:t>
      </w:r>
    </w:p>
    <w:p>
      <w:pPr>
        <w:spacing w:after="0" w:line="163" w:lineRule="exact"/>
        <w:rPr>
          <w:sz w:val="20"/>
          <w:szCs w:val="20"/>
          <w:color w:val="auto"/>
        </w:rPr>
      </w:pPr>
    </w:p>
    <w:p>
      <w:pPr>
        <w:ind w:left="300"/>
        <w:spacing w:after="0"/>
        <w:rPr>
          <w:sz w:val="20"/>
          <w:szCs w:val="20"/>
          <w:color w:val="auto"/>
        </w:rPr>
      </w:pPr>
      <w:r>
        <w:rPr>
          <w:rFonts w:ascii="Arial" w:cs="Arial" w:eastAsia="Arial" w:hAnsi="Arial"/>
          <w:sz w:val="15"/>
          <w:szCs w:val="15"/>
          <w:color w:val="auto"/>
        </w:rPr>
        <w:t>Executive Vice President and Chief Financial Officer, The Campbell’s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46990</wp:posOffset>
            </wp:positionV>
            <wp:extent cx="534924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80"/>
        <w:spacing w:after="0"/>
        <w:rPr>
          <w:sz w:val="20"/>
          <w:szCs w:val="20"/>
          <w:color w:val="auto"/>
        </w:rPr>
      </w:pPr>
      <w:r>
        <w:rPr>
          <w:rFonts w:ascii="Arial" w:cs="Arial" w:eastAsia="Arial" w:hAnsi="Arial"/>
          <w:sz w:val="15"/>
          <w:szCs w:val="15"/>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-1341120</wp:posOffset>
            </wp:positionV>
            <wp:extent cx="1303020" cy="12433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03020" cy="124333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5"/>
          <w:szCs w:val="15"/>
          <w:color w:val="auto"/>
        </w:rPr>
        <w:t> </w:t>
      </w:r>
    </w:p>
    <w:p>
      <w:pPr>
        <w:spacing w:after="0" w:line="55" w:lineRule="exact"/>
        <w:rPr>
          <w:sz w:val="20"/>
          <w:szCs w:val="20"/>
          <w:color w:val="auto"/>
        </w:rPr>
      </w:pPr>
    </w:p>
    <w:p>
      <w:pPr>
        <w:ind w:left="520"/>
        <w:spacing w:after="0"/>
        <w:rPr>
          <w:sz w:val="20"/>
          <w:szCs w:val="20"/>
          <w:color w:val="auto"/>
        </w:rPr>
      </w:pPr>
      <w:r>
        <w:rPr>
          <w:rFonts w:ascii="Arial" w:cs="Arial" w:eastAsia="Arial" w:hAnsi="Arial"/>
          <w:sz w:val="15"/>
          <w:szCs w:val="15"/>
          <w:b w:val="1"/>
          <w:bCs w:val="1"/>
          <w:color w:val="auto"/>
        </w:rPr>
        <w:t xml:space="preserve">Age: </w:t>
      </w:r>
      <w:r>
        <w:rPr>
          <w:rFonts w:ascii="Arial" w:cs="Arial" w:eastAsia="Arial" w:hAnsi="Arial"/>
          <w:sz w:val="15"/>
          <w:szCs w:val="15"/>
          <w:color w:val="auto"/>
        </w:rPr>
        <w:t>56</w:t>
      </w:r>
    </w:p>
    <w:p>
      <w:pPr>
        <w:ind w:left="520"/>
        <w:spacing w:after="0" w:line="233" w:lineRule="auto"/>
        <w:rPr>
          <w:sz w:val="20"/>
          <w:szCs w:val="20"/>
          <w:color w:val="auto"/>
        </w:rPr>
      </w:pPr>
      <w:r>
        <w:rPr>
          <w:rFonts w:ascii="Arial" w:cs="Arial" w:eastAsia="Arial" w:hAnsi="Arial"/>
          <w:sz w:val="15"/>
          <w:szCs w:val="15"/>
          <w:color w:val="auto"/>
        </w:rPr>
        <w:t> </w:t>
      </w:r>
    </w:p>
    <w:p>
      <w:pPr>
        <w:ind w:left="520"/>
        <w:spacing w:after="0" w:line="225" w:lineRule="auto"/>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2022</w:t>
      </w:r>
    </w:p>
    <w:p>
      <w:pPr>
        <w:ind w:left="520"/>
        <w:spacing w:after="0" w:line="225" w:lineRule="auto"/>
        <w:rPr>
          <w:sz w:val="20"/>
          <w:szCs w:val="20"/>
          <w:color w:val="auto"/>
        </w:rPr>
      </w:pPr>
      <w:r>
        <w:rPr>
          <w:rFonts w:ascii="Arial" w:cs="Arial" w:eastAsia="Arial" w:hAnsi="Arial"/>
          <w:sz w:val="15"/>
          <w:szCs w:val="15"/>
          <w:color w:val="auto"/>
        </w:rPr>
        <w:t> </w:t>
      </w:r>
    </w:p>
    <w:p>
      <w:pPr>
        <w:ind w:left="520"/>
        <w:spacing w:after="0" w:line="226" w:lineRule="auto"/>
        <w:rPr>
          <w:sz w:val="20"/>
          <w:szCs w:val="20"/>
          <w:color w:val="auto"/>
        </w:rPr>
      </w:pPr>
      <w:r>
        <w:rPr>
          <w:rFonts w:ascii="Arial" w:cs="Arial" w:eastAsia="Arial" w:hAnsi="Arial"/>
          <w:sz w:val="15"/>
          <w:szCs w:val="15"/>
          <w:b w:val="1"/>
          <w:bCs w:val="1"/>
          <w:color w:val="auto"/>
        </w:rPr>
        <w:t xml:space="preserve">Independent: </w:t>
      </w:r>
      <w:r>
        <w:rPr>
          <w:rFonts w:ascii="Arial" w:cs="Arial" w:eastAsia="Arial" w:hAnsi="Arial"/>
          <w:sz w:val="15"/>
          <w:szCs w:val="15"/>
          <w:color w:val="auto"/>
        </w:rPr>
        <w:t>Yes</w:t>
      </w:r>
    </w:p>
    <w:p>
      <w:pPr>
        <w:ind w:left="520"/>
        <w:spacing w:after="0" w:line="225" w:lineRule="auto"/>
        <w:rPr>
          <w:sz w:val="20"/>
          <w:szCs w:val="20"/>
          <w:color w:val="auto"/>
        </w:rPr>
      </w:pPr>
      <w:r>
        <w:rPr>
          <w:rFonts w:ascii="Arial" w:cs="Arial" w:eastAsia="Arial" w:hAnsi="Arial"/>
          <w:sz w:val="15"/>
          <w:szCs w:val="15"/>
          <w:color w:val="auto"/>
        </w:rPr>
        <w:t> </w:t>
      </w:r>
    </w:p>
    <w:p>
      <w:pPr>
        <w:ind w:left="520"/>
        <w:spacing w:after="0" w:line="226" w:lineRule="auto"/>
        <w:rPr>
          <w:sz w:val="20"/>
          <w:szCs w:val="20"/>
          <w:color w:val="auto"/>
        </w:rPr>
      </w:pPr>
      <w:r>
        <w:rPr>
          <w:rFonts w:ascii="Arial" w:cs="Arial" w:eastAsia="Arial" w:hAnsi="Arial"/>
          <w:sz w:val="15"/>
          <w:szCs w:val="15"/>
          <w:b w:val="1"/>
          <w:bCs w:val="1"/>
          <w:color w:val="auto"/>
        </w:rPr>
        <w:t>Committees:</w:t>
      </w:r>
    </w:p>
    <w:p>
      <w:pPr>
        <w:ind w:left="520"/>
        <w:spacing w:after="0" w:line="225" w:lineRule="auto"/>
        <w:rPr>
          <w:sz w:val="20"/>
          <w:szCs w:val="20"/>
          <w:color w:val="auto"/>
        </w:rPr>
      </w:pPr>
      <w:r>
        <w:rPr>
          <w:rFonts w:ascii="Arial" w:cs="Arial" w:eastAsia="Arial" w:hAnsi="Arial"/>
          <w:sz w:val="15"/>
          <w:szCs w:val="15"/>
          <w:color w:val="auto"/>
        </w:rPr>
        <w:t>•   Audit</w:t>
      </w:r>
    </w:p>
    <w:p>
      <w:pPr>
        <w:ind w:left="740" w:hanging="222"/>
        <w:spacing w:after="0" w:line="279" w:lineRule="auto"/>
        <w:rPr>
          <w:sz w:val="20"/>
          <w:szCs w:val="20"/>
          <w:color w:val="auto"/>
        </w:rPr>
      </w:pPr>
      <w:r>
        <w:rPr>
          <w:rFonts w:ascii="Arial" w:cs="Arial" w:eastAsia="Arial" w:hAnsi="Arial"/>
          <w:sz w:val="14"/>
          <w:szCs w:val="14"/>
          <w:color w:val="auto"/>
        </w:rPr>
        <w:t>•  Corporate Governance and Nominating</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Ms. Anderson is the Executive Vice President and Chief Financial Officer for The</w:t>
      </w:r>
    </w:p>
    <w:p>
      <w:pPr>
        <w:spacing w:after="0" w:line="230" w:lineRule="auto"/>
        <w:rPr>
          <w:sz w:val="20"/>
          <w:szCs w:val="20"/>
          <w:color w:val="auto"/>
        </w:rPr>
      </w:pPr>
      <w:r>
        <w:rPr>
          <w:rFonts w:ascii="Arial" w:cs="Arial" w:eastAsia="Arial" w:hAnsi="Arial"/>
          <w:sz w:val="15"/>
          <w:szCs w:val="15"/>
          <w:color w:val="auto"/>
        </w:rPr>
        <w:t>Campbell’s Company (NASDAQ: CPB) (“Campbell’s”). Prior to joining Campbell’s in</w:t>
      </w:r>
    </w:p>
    <w:p>
      <w:pPr>
        <w:spacing w:after="0" w:line="225" w:lineRule="auto"/>
        <w:rPr>
          <w:sz w:val="20"/>
          <w:szCs w:val="20"/>
          <w:color w:val="auto"/>
        </w:rPr>
      </w:pPr>
      <w:r>
        <w:rPr>
          <w:rFonts w:ascii="Arial" w:cs="Arial" w:eastAsia="Arial" w:hAnsi="Arial"/>
          <w:sz w:val="15"/>
          <w:szCs w:val="15"/>
          <w:color w:val="auto"/>
        </w:rPr>
        <w:t>2023, Ms. Anderson served as Executive Vice President and Chief Financial Officer for</w:t>
      </w:r>
    </w:p>
    <w:p>
      <w:pPr>
        <w:spacing w:after="0" w:line="226" w:lineRule="auto"/>
        <w:rPr>
          <w:sz w:val="20"/>
          <w:szCs w:val="20"/>
          <w:color w:val="auto"/>
        </w:rPr>
      </w:pPr>
      <w:r>
        <w:rPr>
          <w:rFonts w:ascii="Arial" w:cs="Arial" w:eastAsia="Arial" w:hAnsi="Arial"/>
          <w:sz w:val="15"/>
          <w:szCs w:val="15"/>
          <w:color w:val="auto"/>
        </w:rPr>
        <w:t>Integra LifeSciences Holdings Corporation (NASDAQ: IART) (“Integra”). Prior to joining</w:t>
      </w:r>
    </w:p>
    <w:p>
      <w:pPr>
        <w:spacing w:after="0" w:line="225" w:lineRule="auto"/>
        <w:rPr>
          <w:sz w:val="20"/>
          <w:szCs w:val="20"/>
          <w:color w:val="auto"/>
        </w:rPr>
      </w:pPr>
      <w:r>
        <w:rPr>
          <w:rFonts w:ascii="Arial" w:cs="Arial" w:eastAsia="Arial" w:hAnsi="Arial"/>
          <w:sz w:val="15"/>
          <w:szCs w:val="15"/>
          <w:color w:val="auto"/>
        </w:rPr>
        <w:t>Integra in June 2019, she was Vice President and Controller of Dover Corporation</w:t>
      </w:r>
    </w:p>
    <w:p>
      <w:pPr>
        <w:spacing w:after="0" w:line="225" w:lineRule="auto"/>
        <w:rPr>
          <w:sz w:val="20"/>
          <w:szCs w:val="20"/>
          <w:color w:val="auto"/>
        </w:rPr>
      </w:pPr>
      <w:r>
        <w:rPr>
          <w:rFonts w:ascii="Arial" w:cs="Arial" w:eastAsia="Arial" w:hAnsi="Arial"/>
          <w:sz w:val="15"/>
          <w:szCs w:val="15"/>
          <w:color w:val="auto"/>
        </w:rPr>
        <w:t>(“Dover”). Previously, she was Chief Financial Officer of Dover’s Engineered Systems</w:t>
      </w:r>
    </w:p>
    <w:p>
      <w:pPr>
        <w:spacing w:after="0" w:line="226" w:lineRule="auto"/>
        <w:rPr>
          <w:sz w:val="20"/>
          <w:szCs w:val="20"/>
          <w:color w:val="auto"/>
        </w:rPr>
      </w:pPr>
      <w:r>
        <w:rPr>
          <w:rFonts w:ascii="Arial" w:cs="Arial" w:eastAsia="Arial" w:hAnsi="Arial"/>
          <w:sz w:val="15"/>
          <w:szCs w:val="15"/>
          <w:color w:val="auto"/>
        </w:rPr>
        <w:t>and initially joined Dover in October 2011 as Chief Financial Officer of Dover Printing</w:t>
      </w:r>
    </w:p>
    <w:p>
      <w:pPr>
        <w:spacing w:after="0" w:line="225" w:lineRule="auto"/>
        <w:rPr>
          <w:sz w:val="20"/>
          <w:szCs w:val="20"/>
          <w:color w:val="auto"/>
        </w:rPr>
      </w:pPr>
      <w:r>
        <w:rPr>
          <w:rFonts w:ascii="Arial" w:cs="Arial" w:eastAsia="Arial" w:hAnsi="Arial"/>
          <w:sz w:val="15"/>
          <w:szCs w:val="15"/>
          <w:color w:val="auto"/>
        </w:rPr>
        <w:t>and Identification. Prior to Dover, Ms. Anderson spent six years as Vice President and</w:t>
      </w:r>
    </w:p>
    <w:p>
      <w:pPr>
        <w:spacing w:after="0" w:line="226" w:lineRule="auto"/>
        <w:rPr>
          <w:sz w:val="20"/>
          <w:szCs w:val="20"/>
          <w:color w:val="auto"/>
        </w:rPr>
      </w:pPr>
      <w:r>
        <w:rPr>
          <w:rFonts w:ascii="Arial" w:cs="Arial" w:eastAsia="Arial" w:hAnsi="Arial"/>
          <w:sz w:val="15"/>
          <w:szCs w:val="15"/>
          <w:color w:val="auto"/>
        </w:rPr>
        <w:t>Chief Financial Officer of Delphi Product &amp; Service Solutions, a division of Delphi</w:t>
      </w:r>
    </w:p>
    <w:p>
      <w:pPr>
        <w:spacing w:after="0" w:line="225" w:lineRule="auto"/>
        <w:rPr>
          <w:sz w:val="20"/>
          <w:szCs w:val="20"/>
          <w:color w:val="auto"/>
        </w:rPr>
      </w:pPr>
      <w:r>
        <w:rPr>
          <w:rFonts w:ascii="Arial" w:cs="Arial" w:eastAsia="Arial" w:hAnsi="Arial"/>
          <w:sz w:val="15"/>
          <w:szCs w:val="15"/>
          <w:color w:val="auto"/>
        </w:rPr>
        <w:t>Corporation. While at Delphi, she also held finance leadership positions at three other</w:t>
      </w:r>
    </w:p>
    <w:p>
      <w:pPr>
        <w:spacing w:after="0" w:line="226" w:lineRule="auto"/>
        <w:rPr>
          <w:sz w:val="20"/>
          <w:szCs w:val="20"/>
          <w:color w:val="auto"/>
        </w:rPr>
      </w:pPr>
      <w:r>
        <w:rPr>
          <w:rFonts w:ascii="Arial" w:cs="Arial" w:eastAsia="Arial" w:hAnsi="Arial"/>
          <w:sz w:val="15"/>
          <w:szCs w:val="15"/>
          <w:color w:val="auto"/>
        </w:rPr>
        <w:t>global operating divisions of Delphi. Ms. Anderson started her career with The General</w:t>
      </w:r>
    </w:p>
    <w:p>
      <w:pPr>
        <w:spacing w:after="0" w:line="225" w:lineRule="auto"/>
        <w:rPr>
          <w:sz w:val="20"/>
          <w:szCs w:val="20"/>
          <w:color w:val="auto"/>
        </w:rPr>
      </w:pPr>
      <w:r>
        <w:rPr>
          <w:rFonts w:ascii="Arial" w:cs="Arial" w:eastAsia="Arial" w:hAnsi="Arial"/>
          <w:sz w:val="15"/>
          <w:szCs w:val="15"/>
          <w:color w:val="auto"/>
        </w:rPr>
        <w:t>Motors Company.</w:t>
      </w:r>
    </w:p>
    <w:p>
      <w:pPr>
        <w:spacing w:after="0" w:line="225" w:lineRule="auto"/>
        <w:rPr>
          <w:sz w:val="20"/>
          <w:szCs w:val="20"/>
          <w:color w:val="auto"/>
        </w:rPr>
      </w:pPr>
      <w:r>
        <w:rPr>
          <w:rFonts w:ascii="Arial" w:cs="Arial" w:eastAsia="Arial" w:hAnsi="Arial"/>
          <w:sz w:val="15"/>
          <w:szCs w:val="15"/>
          <w:color w:val="auto"/>
        </w:rPr>
        <w:t> </w:t>
      </w:r>
    </w:p>
    <w:p>
      <w:pPr>
        <w:spacing w:after="0" w:line="226" w:lineRule="auto"/>
        <w:rPr>
          <w:sz w:val="20"/>
          <w:szCs w:val="20"/>
          <w:color w:val="auto"/>
        </w:rPr>
      </w:pPr>
      <w:r>
        <w:rPr>
          <w:rFonts w:ascii="Arial" w:cs="Arial" w:eastAsia="Arial" w:hAnsi="Arial"/>
          <w:sz w:val="15"/>
          <w:szCs w:val="15"/>
          <w:b w:val="1"/>
          <w:bCs w:val="1"/>
          <w:color w:val="auto"/>
        </w:rPr>
        <w:t>Education</w:t>
      </w:r>
    </w:p>
    <w:p>
      <w:pPr>
        <w:spacing w:after="0" w:line="225" w:lineRule="auto"/>
        <w:rPr>
          <w:sz w:val="20"/>
          <w:szCs w:val="20"/>
          <w:color w:val="auto"/>
        </w:rPr>
      </w:pPr>
      <w:r>
        <w:rPr>
          <w:rFonts w:ascii="Arial" w:cs="Arial" w:eastAsia="Arial" w:hAnsi="Arial"/>
          <w:sz w:val="15"/>
          <w:szCs w:val="15"/>
          <w:color w:val="auto"/>
        </w:rPr>
        <w:t> </w:t>
      </w:r>
    </w:p>
    <w:p>
      <w:pPr>
        <w:ind w:right="379"/>
        <w:spacing w:after="0" w:line="225" w:lineRule="auto"/>
        <w:rPr>
          <w:sz w:val="20"/>
          <w:szCs w:val="20"/>
          <w:color w:val="auto"/>
        </w:rPr>
      </w:pPr>
      <w:r>
        <w:rPr>
          <w:rFonts w:ascii="Arial" w:cs="Arial" w:eastAsia="Arial" w:hAnsi="Arial"/>
          <w:sz w:val="15"/>
          <w:szCs w:val="15"/>
          <w:color w:val="auto"/>
        </w:rPr>
        <w:t>Ms. Anderson holds a Bachelor of Science in chemical engineering from Purdue University and earned her Master of Business Administration from Ball State University.  </w:t>
      </w:r>
    </w:p>
    <w:p>
      <w:pPr>
        <w:spacing w:after="0" w:line="226" w:lineRule="auto"/>
        <w:rPr>
          <w:sz w:val="20"/>
          <w:szCs w:val="20"/>
          <w:color w:val="auto"/>
        </w:rPr>
      </w:pPr>
      <w:r>
        <w:rPr>
          <w:rFonts w:ascii="Arial" w:cs="Arial" w:eastAsia="Arial" w:hAnsi="Arial"/>
          <w:sz w:val="15"/>
          <w:szCs w:val="15"/>
          <w:b w:val="1"/>
          <w:bCs w:val="1"/>
          <w:color w:val="auto"/>
        </w:rPr>
        <w:t>Qualifications, Skills and Experience</w:t>
      </w:r>
    </w:p>
    <w:p>
      <w:pPr>
        <w:spacing w:after="0" w:line="226" w:lineRule="auto"/>
        <w:rPr>
          <w:sz w:val="20"/>
          <w:szCs w:val="20"/>
          <w:color w:val="auto"/>
        </w:rPr>
      </w:pPr>
      <w:r>
        <w:rPr>
          <w:rFonts w:ascii="Arial" w:cs="Arial" w:eastAsia="Arial" w:hAnsi="Arial"/>
          <w:sz w:val="15"/>
          <w:szCs w:val="15"/>
          <w:color w:val="auto"/>
        </w:rPr>
        <w:t> </w:t>
      </w:r>
    </w:p>
    <w:p>
      <w:pPr>
        <w:ind w:right="479"/>
        <w:spacing w:after="0" w:line="233" w:lineRule="auto"/>
        <w:rPr>
          <w:sz w:val="20"/>
          <w:szCs w:val="20"/>
          <w:color w:val="auto"/>
        </w:rPr>
      </w:pPr>
      <w:r>
        <w:rPr>
          <w:rFonts w:ascii="Arial" w:cs="Arial" w:eastAsia="Arial" w:hAnsi="Arial"/>
          <w:sz w:val="15"/>
          <w:szCs w:val="15"/>
          <w:color w:val="auto"/>
        </w:rPr>
        <w:t>Ms. Anderson brings to the Board her financial expertise, life sciences experience and experience working with large, diversified global manufacturing companies, as well as her extensive experience in executive leadership, strategy and innovation, risk and crisis management, consumer/retail, ESG and experience with institutional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-1553845</wp:posOffset>
            </wp:positionH>
            <wp:positionV relativeFrom="paragraph">
              <wp:posOffset>142875</wp:posOffset>
            </wp:positionV>
            <wp:extent cx="534924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322" w:lineRule="exact"/>
        <w:rPr>
          <w:sz w:val="20"/>
          <w:szCs w:val="20"/>
          <w:color w:val="auto"/>
        </w:rPr>
      </w:pPr>
    </w:p>
    <w:p>
      <w:pPr>
        <w:sectPr>
          <w:pgSz w:w="11900" w:h="16838" w:orient="portrait"/>
          <w:cols w:equalWidth="0" w:num="2">
            <w:col w:w="2280" w:space="460"/>
            <w:col w:w="6279"/>
          </w:cols>
          <w:pgMar w:left="1440" w:top="114" w:right="1440" w:bottom="1440" w:gutter="0" w:footer="0" w:header="0"/>
          <w:type w:val="continuous"/>
        </w:sectPr>
      </w:pP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146685</wp:posOffset>
            </wp:positionV>
            <wp:extent cx="6995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6"/>
          <w:szCs w:val="16"/>
          <w:color w:val="342C82"/>
        </w:rPr>
        <w:t>Proposal 1: Election of directors</w:t>
      </w:r>
    </w:p>
    <w:p>
      <w:pPr>
        <w:spacing w:after="0" w:line="159" w:lineRule="exact"/>
        <w:rPr>
          <w:sz w:val="20"/>
          <w:szCs w:val="20"/>
          <w:color w:val="auto"/>
        </w:rPr>
      </w:pPr>
    </w:p>
    <w:p>
      <w:pPr>
        <w:ind w:left="300"/>
        <w:spacing w:after="0"/>
        <w:rPr>
          <w:sz w:val="20"/>
          <w:szCs w:val="20"/>
          <w:color w:val="auto"/>
        </w:rPr>
      </w:pPr>
      <w:r>
        <w:rPr>
          <w:rFonts w:ascii="Arial" w:cs="Arial" w:eastAsia="Arial" w:hAnsi="Arial"/>
          <w:sz w:val="25"/>
          <w:szCs w:val="25"/>
          <w:color w:val="auto"/>
        </w:rPr>
        <w:t>Christopher R. Reidy</w:t>
      </w:r>
    </w:p>
    <w:p>
      <w:pPr>
        <w:spacing w:after="0" w:line="123" w:lineRule="exact"/>
        <w:rPr>
          <w:sz w:val="20"/>
          <w:szCs w:val="20"/>
          <w:color w:val="auto"/>
        </w:rPr>
      </w:pPr>
    </w:p>
    <w:p>
      <w:pPr>
        <w:ind w:left="300"/>
        <w:spacing w:after="0"/>
        <w:rPr>
          <w:sz w:val="20"/>
          <w:szCs w:val="20"/>
          <w:color w:val="auto"/>
        </w:rPr>
      </w:pPr>
      <w:r>
        <w:rPr>
          <w:rFonts w:ascii="Arial" w:cs="Arial" w:eastAsia="Arial" w:hAnsi="Arial"/>
          <w:sz w:val="15"/>
          <w:szCs w:val="15"/>
          <w:color w:val="auto"/>
        </w:rPr>
        <w:t>Retired Executive Vice President, Chief Administrative Officer and Chief Financial Officer, Becton, Dickinson and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55880</wp:posOffset>
            </wp:positionV>
            <wp:extent cx="534924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80"/>
        <w:spacing w:after="0"/>
        <w:rPr>
          <w:sz w:val="20"/>
          <w:szCs w:val="20"/>
          <w:color w:val="auto"/>
        </w:rPr>
      </w:pPr>
      <w:r>
        <w:rPr>
          <w:rFonts w:ascii="Arial" w:cs="Arial" w:eastAsia="Arial" w:hAnsi="Arial"/>
          <w:sz w:val="15"/>
          <w:szCs w:val="15"/>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-1341120</wp:posOffset>
            </wp:positionV>
            <wp:extent cx="1303020" cy="12433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303020" cy="124333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5"/>
          <w:szCs w:val="15"/>
          <w:color w:val="auto"/>
        </w:rPr>
        <w:t> </w:t>
      </w:r>
    </w:p>
    <w:p>
      <w:pPr>
        <w:spacing w:after="0" w:line="41" w:lineRule="exact"/>
        <w:rPr>
          <w:sz w:val="20"/>
          <w:szCs w:val="20"/>
          <w:color w:val="auto"/>
        </w:rPr>
      </w:pPr>
    </w:p>
    <w:p>
      <w:pPr>
        <w:ind w:left="520"/>
        <w:spacing w:after="0"/>
        <w:rPr>
          <w:sz w:val="20"/>
          <w:szCs w:val="20"/>
          <w:color w:val="auto"/>
        </w:rPr>
      </w:pPr>
      <w:r>
        <w:rPr>
          <w:rFonts w:ascii="Arial" w:cs="Arial" w:eastAsia="Arial" w:hAnsi="Arial"/>
          <w:sz w:val="15"/>
          <w:szCs w:val="15"/>
          <w:b w:val="1"/>
          <w:bCs w:val="1"/>
          <w:color w:val="auto"/>
        </w:rPr>
        <w:t>Age: 68</w:t>
      </w:r>
    </w:p>
    <w:p>
      <w:pPr>
        <w:ind w:left="520"/>
        <w:spacing w:after="0" w:line="233" w:lineRule="auto"/>
        <w:rPr>
          <w:sz w:val="20"/>
          <w:szCs w:val="20"/>
          <w:color w:val="auto"/>
        </w:rPr>
      </w:pPr>
      <w:r>
        <w:rPr>
          <w:rFonts w:ascii="Arial" w:cs="Arial" w:eastAsia="Arial" w:hAnsi="Arial"/>
          <w:sz w:val="15"/>
          <w:szCs w:val="15"/>
          <w:b w:val="1"/>
          <w:bCs w:val="1"/>
          <w:color w:val="auto"/>
        </w:rPr>
        <w:t> </w:t>
      </w:r>
    </w:p>
    <w:p>
      <w:pPr>
        <w:ind w:left="520"/>
        <w:spacing w:after="0" w:line="225" w:lineRule="auto"/>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2022</w:t>
      </w:r>
    </w:p>
    <w:p>
      <w:pPr>
        <w:ind w:left="520"/>
        <w:spacing w:after="0" w:line="225" w:lineRule="auto"/>
        <w:rPr>
          <w:sz w:val="20"/>
          <w:szCs w:val="20"/>
          <w:color w:val="auto"/>
        </w:rPr>
      </w:pPr>
      <w:r>
        <w:rPr>
          <w:rFonts w:ascii="Arial" w:cs="Arial" w:eastAsia="Arial" w:hAnsi="Arial"/>
          <w:sz w:val="15"/>
          <w:szCs w:val="15"/>
          <w:color w:val="auto"/>
        </w:rPr>
        <w:t> </w:t>
      </w:r>
    </w:p>
    <w:p>
      <w:pPr>
        <w:ind w:left="520"/>
        <w:spacing w:after="0" w:line="226" w:lineRule="auto"/>
        <w:rPr>
          <w:sz w:val="20"/>
          <w:szCs w:val="20"/>
          <w:color w:val="auto"/>
        </w:rPr>
      </w:pPr>
      <w:r>
        <w:rPr>
          <w:rFonts w:ascii="Arial" w:cs="Arial" w:eastAsia="Arial" w:hAnsi="Arial"/>
          <w:sz w:val="15"/>
          <w:szCs w:val="15"/>
          <w:b w:val="1"/>
          <w:bCs w:val="1"/>
          <w:color w:val="auto"/>
        </w:rPr>
        <w:t xml:space="preserve">Independent: </w:t>
      </w:r>
      <w:r>
        <w:rPr>
          <w:rFonts w:ascii="Arial" w:cs="Arial" w:eastAsia="Arial" w:hAnsi="Arial"/>
          <w:sz w:val="15"/>
          <w:szCs w:val="15"/>
          <w:color w:val="auto"/>
        </w:rPr>
        <w:t>No</w:t>
      </w:r>
    </w:p>
    <w:p>
      <w:pPr>
        <w:ind w:left="520"/>
        <w:spacing w:after="0" w:line="225" w:lineRule="auto"/>
        <w:rPr>
          <w:sz w:val="20"/>
          <w:szCs w:val="20"/>
          <w:color w:val="auto"/>
        </w:rPr>
      </w:pPr>
      <w:r>
        <w:rPr>
          <w:rFonts w:ascii="Arial" w:cs="Arial" w:eastAsia="Arial" w:hAnsi="Arial"/>
          <w:sz w:val="15"/>
          <w:szCs w:val="15"/>
          <w:color w:val="auto"/>
        </w:rPr>
        <w:t> </w:t>
      </w:r>
    </w:p>
    <w:p>
      <w:pPr>
        <w:ind w:left="520"/>
        <w:spacing w:after="0" w:line="226" w:lineRule="auto"/>
        <w:rPr>
          <w:sz w:val="20"/>
          <w:szCs w:val="20"/>
          <w:color w:val="auto"/>
        </w:rPr>
      </w:pPr>
      <w:r>
        <w:rPr>
          <w:rFonts w:ascii="Arial" w:cs="Arial" w:eastAsia="Arial" w:hAnsi="Arial"/>
          <w:sz w:val="15"/>
          <w:szCs w:val="15"/>
          <w:b w:val="1"/>
          <w:bCs w:val="1"/>
          <w:color w:val="auto"/>
        </w:rPr>
        <w:t>Committees:</w:t>
      </w:r>
    </w:p>
    <w:p>
      <w:pPr>
        <w:ind w:left="740" w:hanging="222"/>
        <w:spacing w:after="0" w:line="225" w:lineRule="auto"/>
        <w:rPr>
          <w:sz w:val="20"/>
          <w:szCs w:val="20"/>
          <w:color w:val="auto"/>
        </w:rPr>
      </w:pPr>
      <w:r>
        <w:rPr>
          <w:rFonts w:ascii="Arial" w:cs="Arial" w:eastAsia="Arial" w:hAnsi="Arial"/>
          <w:sz w:val="15"/>
          <w:szCs w:val="15"/>
          <w:color w:val="auto"/>
        </w:rPr>
        <w:t>•  Technology, Quality and Regulatory (Chair)</w:t>
      </w:r>
    </w:p>
    <w:p>
      <w:pPr>
        <w:ind w:left="740"/>
        <w:spacing w:after="0" w:line="226" w:lineRule="auto"/>
        <w:rPr>
          <w:sz w:val="20"/>
          <w:szCs w:val="20"/>
          <w:color w:val="auto"/>
        </w:rPr>
      </w:pPr>
      <w:r>
        <w:rPr>
          <w:rFonts w:ascii="Arial" w:cs="Arial" w:eastAsia="Arial" w:hAnsi="Arial"/>
          <w:sz w:val="15"/>
          <w:szCs w:val="15"/>
          <w:color w:val="auto"/>
        </w:rPr>
        <w:t> </w:t>
      </w:r>
    </w:p>
    <w:p>
      <w:pPr>
        <w:ind w:left="520"/>
        <w:spacing w:after="0" w:line="225" w:lineRule="auto"/>
        <w:rPr>
          <w:sz w:val="20"/>
          <w:szCs w:val="20"/>
          <w:color w:val="auto"/>
        </w:rPr>
      </w:pPr>
      <w:r>
        <w:rPr>
          <w:rFonts w:ascii="Arial" w:cs="Arial" w:eastAsia="Arial" w:hAnsi="Arial"/>
          <w:sz w:val="15"/>
          <w:szCs w:val="15"/>
          <w:b w:val="1"/>
          <w:bCs w:val="1"/>
          <w:color w:val="auto"/>
        </w:rPr>
        <w:t>Other Public</w:t>
      </w:r>
    </w:p>
    <w:p>
      <w:pPr>
        <w:ind w:left="520"/>
        <w:spacing w:after="0" w:line="226" w:lineRule="auto"/>
        <w:rPr>
          <w:sz w:val="20"/>
          <w:szCs w:val="20"/>
          <w:color w:val="auto"/>
        </w:rPr>
      </w:pPr>
      <w:r>
        <w:rPr>
          <w:rFonts w:ascii="Arial" w:cs="Arial" w:eastAsia="Arial" w:hAnsi="Arial"/>
          <w:sz w:val="15"/>
          <w:szCs w:val="15"/>
          <w:b w:val="1"/>
          <w:bCs w:val="1"/>
          <w:color w:val="auto"/>
        </w:rPr>
        <w:t>Directorships:</w:t>
      </w:r>
    </w:p>
    <w:p>
      <w:pPr>
        <w:ind w:left="720" w:right="280" w:hanging="199"/>
        <w:spacing w:after="0" w:line="279" w:lineRule="auto"/>
        <w:tabs>
          <w:tab w:leader="none" w:pos="700" w:val="left"/>
        </w:tabs>
        <w:rPr>
          <w:sz w:val="20"/>
          <w:szCs w:val="20"/>
          <w:color w:val="auto"/>
        </w:rPr>
      </w:pPr>
      <w:r>
        <w:rPr>
          <w:rFonts w:ascii="Arial" w:cs="Arial" w:eastAsia="Arial" w:hAnsi="Arial"/>
          <w:sz w:val="14"/>
          <w:szCs w:val="14"/>
          <w:color w:val="auto"/>
        </w:rPr>
        <w:t>• </w:t>
        <w:tab/>
        <w:t>Encompass Health Corporation</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color w:val="auto"/>
        </w:rPr>
        <w:t>Mr. Reidy retired from BD in 2022, where he served as Executive Vice President, Chief</w:t>
      </w:r>
    </w:p>
    <w:p>
      <w:pPr>
        <w:spacing w:after="0" w:line="230" w:lineRule="auto"/>
        <w:rPr>
          <w:sz w:val="20"/>
          <w:szCs w:val="20"/>
          <w:color w:val="auto"/>
        </w:rPr>
      </w:pPr>
      <w:r>
        <w:rPr>
          <w:rFonts w:ascii="Arial" w:cs="Arial" w:eastAsia="Arial" w:hAnsi="Arial"/>
          <w:sz w:val="15"/>
          <w:szCs w:val="15"/>
          <w:color w:val="auto"/>
        </w:rPr>
        <w:t>Administrative Officer. He served as Executive Vice President, Chief Financial Officer</w:t>
      </w:r>
    </w:p>
    <w:p>
      <w:pPr>
        <w:spacing w:after="0" w:line="225" w:lineRule="auto"/>
        <w:rPr>
          <w:sz w:val="20"/>
          <w:szCs w:val="20"/>
          <w:color w:val="auto"/>
        </w:rPr>
      </w:pPr>
      <w:r>
        <w:rPr>
          <w:rFonts w:ascii="Arial" w:cs="Arial" w:eastAsia="Arial" w:hAnsi="Arial"/>
          <w:sz w:val="15"/>
          <w:szCs w:val="15"/>
          <w:color w:val="auto"/>
        </w:rPr>
        <w:t>of BD from July 2013 to September 2021. Prior to BD, Mr. Reidy served at ADP</w:t>
      </w:r>
    </w:p>
    <w:p>
      <w:pPr>
        <w:spacing w:after="0" w:line="226" w:lineRule="auto"/>
        <w:rPr>
          <w:sz w:val="20"/>
          <w:szCs w:val="20"/>
          <w:color w:val="auto"/>
        </w:rPr>
      </w:pPr>
      <w:r>
        <w:rPr>
          <w:rFonts w:ascii="Arial" w:cs="Arial" w:eastAsia="Arial" w:hAnsi="Arial"/>
          <w:sz w:val="15"/>
          <w:szCs w:val="15"/>
          <w:color w:val="auto"/>
        </w:rPr>
        <w:t>Corporation as Corporate Vice President and Chief Financial Officer for six years. Prior</w:t>
      </w:r>
    </w:p>
    <w:p>
      <w:pPr>
        <w:spacing w:after="0" w:line="225" w:lineRule="auto"/>
        <w:rPr>
          <w:sz w:val="20"/>
          <w:szCs w:val="20"/>
          <w:color w:val="auto"/>
        </w:rPr>
      </w:pPr>
      <w:r>
        <w:rPr>
          <w:rFonts w:ascii="Arial" w:cs="Arial" w:eastAsia="Arial" w:hAnsi="Arial"/>
          <w:sz w:val="15"/>
          <w:szCs w:val="15"/>
          <w:color w:val="auto"/>
        </w:rPr>
        <w:t>to ADP, Mr. Reidy served as Chief Financial Officer at NBA Properties, Inc., Vice</w:t>
      </w:r>
    </w:p>
    <w:p>
      <w:pPr>
        <w:spacing w:after="0" w:line="225" w:lineRule="auto"/>
        <w:rPr>
          <w:sz w:val="20"/>
          <w:szCs w:val="20"/>
          <w:color w:val="auto"/>
        </w:rPr>
      </w:pPr>
      <w:r>
        <w:rPr>
          <w:rFonts w:ascii="Arial" w:cs="Arial" w:eastAsia="Arial" w:hAnsi="Arial"/>
          <w:sz w:val="15"/>
          <w:szCs w:val="15"/>
          <w:color w:val="auto"/>
        </w:rPr>
        <w:t>President, Controller, Chief Accounting Officer and held division-level Chief Financial</w:t>
      </w:r>
    </w:p>
    <w:p>
      <w:pPr>
        <w:spacing w:after="0" w:line="226" w:lineRule="auto"/>
        <w:rPr>
          <w:sz w:val="20"/>
          <w:szCs w:val="20"/>
          <w:color w:val="auto"/>
        </w:rPr>
      </w:pPr>
      <w:r>
        <w:rPr>
          <w:rFonts w:ascii="Arial" w:cs="Arial" w:eastAsia="Arial" w:hAnsi="Arial"/>
          <w:sz w:val="15"/>
          <w:szCs w:val="15"/>
          <w:color w:val="auto"/>
        </w:rPr>
        <w:t>Officer roles at AT&amp;T Corporation and was an audit partner at Deloitte &amp; Touche LLP.</w:t>
      </w:r>
    </w:p>
    <w:p>
      <w:pPr>
        <w:spacing w:after="0" w:line="225" w:lineRule="auto"/>
        <w:rPr>
          <w:sz w:val="20"/>
          <w:szCs w:val="20"/>
          <w:color w:val="auto"/>
        </w:rPr>
      </w:pPr>
      <w:r>
        <w:rPr>
          <w:rFonts w:ascii="Arial" w:cs="Arial" w:eastAsia="Arial" w:hAnsi="Arial"/>
          <w:sz w:val="15"/>
          <w:szCs w:val="15"/>
          <w:color w:val="auto"/>
        </w:rPr>
        <w:t>Mr. Reidy currently serves on the Board of Directors of Encompass Health Corporation</w:t>
      </w:r>
    </w:p>
    <w:p>
      <w:pPr>
        <w:spacing w:after="0" w:line="226" w:lineRule="auto"/>
        <w:rPr>
          <w:sz w:val="20"/>
          <w:szCs w:val="20"/>
          <w:color w:val="auto"/>
        </w:rPr>
      </w:pPr>
      <w:r>
        <w:rPr>
          <w:rFonts w:ascii="Arial" w:cs="Arial" w:eastAsia="Arial" w:hAnsi="Arial"/>
          <w:sz w:val="15"/>
          <w:szCs w:val="15"/>
          <w:color w:val="auto"/>
        </w:rPr>
        <w:t>(NYSE: EHC) and is the Chair of its Audit Committee and a member of its Nominating</w:t>
      </w:r>
    </w:p>
    <w:p>
      <w:pPr>
        <w:spacing w:after="0" w:line="225" w:lineRule="auto"/>
        <w:rPr>
          <w:sz w:val="20"/>
          <w:szCs w:val="20"/>
          <w:color w:val="auto"/>
        </w:rPr>
      </w:pPr>
      <w:r>
        <w:rPr>
          <w:rFonts w:ascii="Arial" w:cs="Arial" w:eastAsia="Arial" w:hAnsi="Arial"/>
          <w:sz w:val="15"/>
          <w:szCs w:val="15"/>
          <w:color w:val="auto"/>
        </w:rPr>
        <w:t>and Governance Committee. He also sits on the Board of Directors of the Atlantic</w:t>
      </w:r>
    </w:p>
    <w:p>
      <w:pPr>
        <w:spacing w:after="0" w:line="226" w:lineRule="auto"/>
        <w:rPr>
          <w:sz w:val="20"/>
          <w:szCs w:val="20"/>
          <w:color w:val="auto"/>
        </w:rPr>
      </w:pPr>
      <w:r>
        <w:rPr>
          <w:rFonts w:ascii="Arial" w:cs="Arial" w:eastAsia="Arial" w:hAnsi="Arial"/>
          <w:sz w:val="15"/>
          <w:szCs w:val="15"/>
          <w:color w:val="auto"/>
        </w:rPr>
        <w:t>Health System and is a member of its Executive Committee and Chair of its Finance &amp;</w:t>
      </w:r>
    </w:p>
    <w:p>
      <w:pPr>
        <w:spacing w:after="0" w:line="225" w:lineRule="auto"/>
        <w:rPr>
          <w:sz w:val="20"/>
          <w:szCs w:val="20"/>
          <w:color w:val="auto"/>
        </w:rPr>
      </w:pPr>
      <w:r>
        <w:rPr>
          <w:rFonts w:ascii="Arial" w:cs="Arial" w:eastAsia="Arial" w:hAnsi="Arial"/>
          <w:sz w:val="15"/>
          <w:szCs w:val="15"/>
          <w:color w:val="auto"/>
        </w:rPr>
        <w:t>Investment Committee.</w:t>
      </w:r>
    </w:p>
    <w:p>
      <w:pPr>
        <w:spacing w:after="0" w:line="225" w:lineRule="auto"/>
        <w:rPr>
          <w:sz w:val="20"/>
          <w:szCs w:val="20"/>
          <w:color w:val="auto"/>
        </w:rPr>
      </w:pPr>
      <w:r>
        <w:rPr>
          <w:rFonts w:ascii="Arial" w:cs="Arial" w:eastAsia="Arial" w:hAnsi="Arial"/>
          <w:sz w:val="15"/>
          <w:szCs w:val="15"/>
          <w:color w:val="auto"/>
        </w:rPr>
        <w:t> </w:t>
      </w:r>
    </w:p>
    <w:p>
      <w:pPr>
        <w:spacing w:after="0" w:line="226" w:lineRule="auto"/>
        <w:rPr>
          <w:sz w:val="20"/>
          <w:szCs w:val="20"/>
          <w:color w:val="auto"/>
        </w:rPr>
      </w:pPr>
      <w:r>
        <w:rPr>
          <w:rFonts w:ascii="Arial" w:cs="Arial" w:eastAsia="Arial" w:hAnsi="Arial"/>
          <w:sz w:val="15"/>
          <w:szCs w:val="15"/>
          <w:b w:val="1"/>
          <w:bCs w:val="1"/>
          <w:color w:val="auto"/>
        </w:rPr>
        <w:t>Education</w:t>
      </w:r>
    </w:p>
    <w:p>
      <w:pPr>
        <w:spacing w:after="0" w:line="225" w:lineRule="auto"/>
        <w:rPr>
          <w:sz w:val="20"/>
          <w:szCs w:val="20"/>
          <w:color w:val="auto"/>
        </w:rPr>
      </w:pPr>
      <w:r>
        <w:rPr>
          <w:rFonts w:ascii="Arial" w:cs="Arial" w:eastAsia="Arial" w:hAnsi="Arial"/>
          <w:sz w:val="15"/>
          <w:szCs w:val="15"/>
          <w:color w:val="auto"/>
        </w:rPr>
        <w:t> </w:t>
      </w:r>
    </w:p>
    <w:p>
      <w:pPr>
        <w:spacing w:after="0" w:line="226" w:lineRule="auto"/>
        <w:rPr>
          <w:sz w:val="20"/>
          <w:szCs w:val="20"/>
          <w:color w:val="auto"/>
        </w:rPr>
      </w:pPr>
      <w:r>
        <w:rPr>
          <w:rFonts w:ascii="Arial" w:cs="Arial" w:eastAsia="Arial" w:hAnsi="Arial"/>
          <w:sz w:val="15"/>
          <w:szCs w:val="15"/>
          <w:color w:val="auto"/>
        </w:rPr>
        <w:t>Mr. Reidy, a certified public accountant, earned a Bachelor’s degree in Accounting from</w:t>
      </w:r>
    </w:p>
    <w:p>
      <w:pPr>
        <w:spacing w:after="0" w:line="225" w:lineRule="auto"/>
        <w:rPr>
          <w:sz w:val="20"/>
          <w:szCs w:val="20"/>
          <w:color w:val="auto"/>
        </w:rPr>
      </w:pPr>
      <w:r>
        <w:rPr>
          <w:rFonts w:ascii="Arial" w:cs="Arial" w:eastAsia="Arial" w:hAnsi="Arial"/>
          <w:sz w:val="15"/>
          <w:szCs w:val="15"/>
          <w:color w:val="auto"/>
        </w:rPr>
        <w:t>St. Francis College and a Master of Business Administration from Harvard Business</w:t>
      </w:r>
    </w:p>
    <w:p>
      <w:pPr>
        <w:spacing w:after="0" w:line="225" w:lineRule="auto"/>
        <w:rPr>
          <w:sz w:val="20"/>
          <w:szCs w:val="20"/>
          <w:color w:val="auto"/>
        </w:rPr>
      </w:pPr>
      <w:r>
        <w:rPr>
          <w:rFonts w:ascii="Arial" w:cs="Arial" w:eastAsia="Arial" w:hAnsi="Arial"/>
          <w:sz w:val="15"/>
          <w:szCs w:val="15"/>
          <w:color w:val="auto"/>
        </w:rPr>
        <w:t>School.</w:t>
      </w:r>
    </w:p>
    <w:p>
      <w:pPr>
        <w:spacing w:after="0" w:line="226" w:lineRule="auto"/>
        <w:rPr>
          <w:sz w:val="20"/>
          <w:szCs w:val="20"/>
          <w:color w:val="auto"/>
        </w:rPr>
      </w:pPr>
      <w:r>
        <w:rPr>
          <w:rFonts w:ascii="Arial" w:cs="Arial" w:eastAsia="Arial" w:hAnsi="Arial"/>
          <w:sz w:val="15"/>
          <w:szCs w:val="15"/>
          <w:color w:val="auto"/>
        </w:rPr>
        <w:t> </w:t>
      </w:r>
    </w:p>
    <w:p>
      <w:pPr>
        <w:spacing w:after="0" w:line="225" w:lineRule="auto"/>
        <w:rPr>
          <w:sz w:val="20"/>
          <w:szCs w:val="20"/>
          <w:color w:val="auto"/>
        </w:rPr>
      </w:pPr>
      <w:r>
        <w:rPr>
          <w:rFonts w:ascii="Arial" w:cs="Arial" w:eastAsia="Arial" w:hAnsi="Arial"/>
          <w:sz w:val="15"/>
          <w:szCs w:val="15"/>
          <w:b w:val="1"/>
          <w:bCs w:val="1"/>
          <w:color w:val="auto"/>
        </w:rPr>
        <w:t>Qualifications, Skills and Experience</w:t>
      </w:r>
    </w:p>
    <w:p>
      <w:pPr>
        <w:spacing w:after="0" w:line="226" w:lineRule="auto"/>
        <w:rPr>
          <w:sz w:val="20"/>
          <w:szCs w:val="20"/>
          <w:color w:val="auto"/>
        </w:rPr>
      </w:pPr>
      <w:r>
        <w:rPr>
          <w:rFonts w:ascii="Arial" w:cs="Arial" w:eastAsia="Arial" w:hAnsi="Arial"/>
          <w:sz w:val="15"/>
          <w:szCs w:val="15"/>
          <w:color w:val="auto"/>
        </w:rPr>
        <w:t> </w:t>
      </w:r>
    </w:p>
    <w:p>
      <w:pPr>
        <w:ind w:right="479"/>
        <w:spacing w:after="0" w:line="232" w:lineRule="auto"/>
        <w:rPr>
          <w:sz w:val="20"/>
          <w:szCs w:val="20"/>
          <w:color w:val="auto"/>
        </w:rPr>
      </w:pPr>
      <w:r>
        <w:rPr>
          <w:rFonts w:ascii="Arial" w:cs="Arial" w:eastAsia="Arial" w:hAnsi="Arial"/>
          <w:sz w:val="15"/>
          <w:szCs w:val="15"/>
          <w:color w:val="auto"/>
        </w:rPr>
        <w:t>Mr. Reidy brings to the Board his financial expertise and leadership experience in the medical device industry, as well as extensive experience with medical device technology, global business, operations and manufacturing, strategy and innovation, payer and medical reimbursement, risk and crisis management, consumer/retail, ESG and institutional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-1553845</wp:posOffset>
            </wp:positionH>
            <wp:positionV relativeFrom="paragraph">
              <wp:posOffset>347345</wp:posOffset>
            </wp:positionV>
            <wp:extent cx="534924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631" w:lineRule="exact"/>
        <w:rPr>
          <w:sz w:val="20"/>
          <w:szCs w:val="20"/>
          <w:color w:val="auto"/>
        </w:rPr>
      </w:pPr>
    </w:p>
    <w:p>
      <w:pPr>
        <w:sectPr>
          <w:pgSz w:w="11900" w:h="16838" w:orient="portrait"/>
          <w:cols w:equalWidth="0" w:num="2">
            <w:col w:w="2300" w:space="440"/>
            <w:col w:w="6279"/>
          </w:cols>
          <w:pgMar w:left="1440" w:top="114" w:right="1440" w:bottom="1440" w:gutter="0" w:footer="0" w:header="0"/>
          <w:type w:val="continuous"/>
        </w:sectPr>
      </w:pP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123825</wp:posOffset>
            </wp:positionV>
            <wp:extent cx="69951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jc w:val="right"/>
        <w:ind w:right="299"/>
        <w:spacing w:after="0"/>
        <w:rPr>
          <w:sz w:val="20"/>
          <w:szCs w:val="20"/>
          <w:color w:val="auto"/>
        </w:rPr>
      </w:pPr>
      <w:r>
        <w:rPr>
          <w:rFonts w:ascii="Arial" w:cs="Arial" w:eastAsia="Arial" w:hAnsi="Arial"/>
          <w:sz w:val="16"/>
          <w:szCs w:val="16"/>
          <w:color w:val="342C82"/>
        </w:rPr>
        <w:t>Proposal 1: Election of directors</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29"/>
          <w:szCs w:val="29"/>
          <w:color w:val="342C82"/>
        </w:rPr>
        <w:t>Board refreshment and diversity</w:t>
      </w:r>
    </w:p>
    <w:p>
      <w:pPr>
        <w:spacing w:after="0" w:line="130" w:lineRule="exact"/>
        <w:rPr>
          <w:sz w:val="20"/>
          <w:szCs w:val="20"/>
          <w:color w:val="auto"/>
        </w:rPr>
      </w:pPr>
    </w:p>
    <w:p>
      <w:pPr>
        <w:ind w:left="300" w:right="339"/>
        <w:spacing w:after="0" w:line="254" w:lineRule="auto"/>
        <w:rPr>
          <w:sz w:val="20"/>
          <w:szCs w:val="20"/>
          <w:color w:val="auto"/>
        </w:rPr>
      </w:pPr>
      <w:r>
        <w:rPr>
          <w:rFonts w:ascii="Arial" w:cs="Arial" w:eastAsia="Arial" w:hAnsi="Arial"/>
          <w:sz w:val="16"/>
          <w:szCs w:val="16"/>
          <w:color w:val="auto"/>
        </w:rPr>
        <w:t>The Board regularly assesses its composition to ensure it has the right mix of skills and experiences in light of Embecta’s strategy and the current and future needs of the Board. The Governance Committee undertakes a robust review before recommending the renomination of any sitting director, including a director’s effectiveness during the past year and the needs of the Board going forward in the context of Embecta’s strategy. Our Corporate Governance Principles state that Board members should not expect that, once elected, they will necessarily be renominated to the Board.</w:t>
      </w:r>
    </w:p>
    <w:p>
      <w:pPr>
        <w:spacing w:after="0" w:line="128" w:lineRule="exact"/>
        <w:rPr>
          <w:sz w:val="20"/>
          <w:szCs w:val="20"/>
          <w:color w:val="auto"/>
        </w:rPr>
      </w:pPr>
    </w:p>
    <w:p>
      <w:pPr>
        <w:ind w:left="300" w:right="359"/>
        <w:spacing w:after="0" w:line="253" w:lineRule="auto"/>
        <w:rPr>
          <w:sz w:val="20"/>
          <w:szCs w:val="20"/>
          <w:color w:val="auto"/>
        </w:rPr>
      </w:pPr>
      <w:r>
        <w:rPr>
          <w:rFonts w:ascii="Arial" w:cs="Arial" w:eastAsia="Arial" w:hAnsi="Arial"/>
          <w:sz w:val="16"/>
          <w:szCs w:val="16"/>
          <w:color w:val="auto"/>
        </w:rPr>
        <w:t>The Board also believes that having members with a diverse mix of viewpoints, insights and perspectives is critical to board effectiveness, and seeks to have the Board composed of directors that collectively possess a wide range of relevant business and financial expertise, industry knowledge, management experience and prominence in areas of importance to Embecta. The Board believes that gender, minority and LGBTQ+ representation is an important element in achieving the broad range of perspectives that the Board seeks among its members and is also important for promoting the culture of inclusion and diversity at Embecta. To that end, it is the policy of the Board that diverse candidates be included in any candidate pool from which new directors are selected.</w:t>
      </w:r>
    </w:p>
    <w:p>
      <w:pPr>
        <w:spacing w:after="0" w:line="348" w:lineRule="exact"/>
        <w:rPr>
          <w:sz w:val="20"/>
          <w:szCs w:val="20"/>
          <w:color w:val="auto"/>
        </w:rPr>
      </w:pPr>
    </w:p>
    <w:p>
      <w:pPr>
        <w:ind w:left="300"/>
        <w:spacing w:after="0"/>
        <w:rPr>
          <w:sz w:val="20"/>
          <w:szCs w:val="20"/>
          <w:color w:val="auto"/>
        </w:rPr>
      </w:pPr>
      <w:r>
        <w:rPr>
          <w:rFonts w:ascii="Arial" w:cs="Arial" w:eastAsia="Arial" w:hAnsi="Arial"/>
          <w:sz w:val="25"/>
          <w:szCs w:val="25"/>
          <w:color w:val="342C82"/>
        </w:rPr>
        <w:t>Director nomination process</w:t>
      </w:r>
    </w:p>
    <w:p>
      <w:pPr>
        <w:spacing w:after="0" w:line="262" w:lineRule="exact"/>
        <w:rPr>
          <w:sz w:val="20"/>
          <w:szCs w:val="20"/>
          <w:color w:val="auto"/>
        </w:rPr>
      </w:pPr>
    </w:p>
    <w:p>
      <w:pPr>
        <w:ind w:left="300"/>
        <w:spacing w:after="0"/>
        <w:rPr>
          <w:sz w:val="20"/>
          <w:szCs w:val="20"/>
          <w:color w:val="auto"/>
        </w:rPr>
      </w:pPr>
      <w:r>
        <w:rPr>
          <w:rFonts w:ascii="Arial" w:cs="Arial" w:eastAsia="Arial" w:hAnsi="Arial"/>
          <w:sz w:val="22"/>
          <w:szCs w:val="22"/>
          <w:color w:val="342C82"/>
        </w:rPr>
        <w:t>Role of the Governance Committee</w:t>
      </w:r>
    </w:p>
    <w:p>
      <w:pPr>
        <w:sectPr>
          <w:pgSz w:w="11900" w:h="16838" w:orient="portrait"/>
          <w:cols w:equalWidth="0" w:num="1">
            <w:col w:w="9019"/>
          </w:cols>
          <w:pgMar w:left="1440" w:top="114" w:right="1440" w:bottom="1440" w:gutter="0" w:footer="0" w:header="0"/>
        </w:sectPr>
      </w:pPr>
    </w:p>
    <w:p>
      <w:pPr>
        <w:spacing w:after="0" w:line="135" w:lineRule="exact"/>
        <w:rPr>
          <w:sz w:val="20"/>
          <w:szCs w:val="20"/>
          <w:color w:val="auto"/>
        </w:rPr>
      </w:pPr>
    </w:p>
    <w:p>
      <w:pPr>
        <w:ind w:left="300"/>
        <w:spacing w:after="0"/>
        <w:rPr>
          <w:sz w:val="20"/>
          <w:szCs w:val="20"/>
          <w:color w:val="auto"/>
        </w:rPr>
      </w:pPr>
      <w:r>
        <w:rPr>
          <w:rFonts w:ascii="Arial" w:cs="Arial" w:eastAsia="Arial" w:hAnsi="Arial"/>
          <w:sz w:val="54"/>
          <w:szCs w:val="54"/>
          <w:color w:val="auto"/>
        </w:rPr>
        <w:t>1</w:t>
      </w:r>
    </w:p>
    <w:p>
      <w:pPr>
        <w:spacing w:after="0" w:line="45" w:lineRule="exact"/>
        <w:rPr>
          <w:sz w:val="20"/>
          <w:szCs w:val="20"/>
          <w:color w:val="auto"/>
        </w:rPr>
      </w:pPr>
    </w:p>
    <w:p>
      <w:pPr>
        <w:ind w:left="300" w:right="100"/>
        <w:spacing w:after="0" w:line="261" w:lineRule="auto"/>
        <w:rPr>
          <w:sz w:val="20"/>
          <w:szCs w:val="20"/>
          <w:color w:val="auto"/>
        </w:rPr>
      </w:pPr>
      <w:r>
        <w:rPr>
          <w:rFonts w:ascii="Arial" w:cs="Arial" w:eastAsia="Arial" w:hAnsi="Arial"/>
          <w:sz w:val="16"/>
          <w:szCs w:val="16"/>
          <w:b w:val="1"/>
          <w:bCs w:val="1"/>
          <w:color w:val="auto"/>
        </w:rPr>
        <w:t>Review of the Composition of the Board</w:t>
      </w:r>
    </w:p>
    <w:p>
      <w:pPr>
        <w:spacing w:after="0" w:line="138" w:lineRule="exact"/>
        <w:rPr>
          <w:sz w:val="20"/>
          <w:szCs w:val="20"/>
          <w:color w:val="auto"/>
        </w:rPr>
      </w:pPr>
    </w:p>
    <w:p>
      <w:pPr>
        <w:ind w:left="300"/>
        <w:spacing w:after="0"/>
        <w:rPr>
          <w:sz w:val="20"/>
          <w:szCs w:val="20"/>
          <w:color w:val="auto"/>
        </w:rPr>
      </w:pPr>
      <w:r>
        <w:rPr>
          <w:rFonts w:ascii="Arial" w:cs="Arial" w:eastAsia="Arial" w:hAnsi="Arial"/>
          <w:sz w:val="54"/>
          <w:szCs w:val="54"/>
          <w:color w:val="auto"/>
        </w:rPr>
        <w:t>2</w:t>
      </w:r>
    </w:p>
    <w:p>
      <w:pPr>
        <w:spacing w:after="0" w:line="45" w:lineRule="exact"/>
        <w:rPr>
          <w:sz w:val="20"/>
          <w:szCs w:val="20"/>
          <w:color w:val="auto"/>
        </w:rPr>
      </w:pPr>
    </w:p>
    <w:p>
      <w:pPr>
        <w:ind w:left="300"/>
        <w:spacing w:after="0" w:line="261" w:lineRule="auto"/>
        <w:rPr>
          <w:sz w:val="20"/>
          <w:szCs w:val="20"/>
          <w:color w:val="auto"/>
        </w:rPr>
      </w:pPr>
      <w:r>
        <w:rPr>
          <w:rFonts w:ascii="Arial" w:cs="Arial" w:eastAsia="Arial" w:hAnsi="Arial"/>
          <w:sz w:val="16"/>
          <w:szCs w:val="16"/>
          <w:b w:val="1"/>
          <w:bCs w:val="1"/>
          <w:color w:val="auto"/>
        </w:rPr>
        <w:t>Consideration of Referrals from Various Sources</w:t>
      </w:r>
    </w:p>
    <w:p>
      <w:pPr>
        <w:spacing w:after="0" w:line="200" w:lineRule="exact"/>
        <w:rPr>
          <w:sz w:val="20"/>
          <w:szCs w:val="20"/>
          <w:color w:val="auto"/>
        </w:rPr>
      </w:pPr>
    </w:p>
    <w:p>
      <w:pPr>
        <w:spacing w:after="0" w:line="383" w:lineRule="exact"/>
        <w:rPr>
          <w:sz w:val="20"/>
          <w:szCs w:val="20"/>
          <w:color w:val="auto"/>
        </w:rPr>
      </w:pPr>
    </w:p>
    <w:p>
      <w:pPr>
        <w:ind w:left="300"/>
        <w:spacing w:after="0"/>
        <w:rPr>
          <w:sz w:val="20"/>
          <w:szCs w:val="20"/>
          <w:color w:val="auto"/>
        </w:rPr>
      </w:pPr>
      <w:r>
        <w:rPr>
          <w:rFonts w:ascii="Arial" w:cs="Arial" w:eastAsia="Arial" w:hAnsi="Arial"/>
          <w:sz w:val="54"/>
          <w:szCs w:val="54"/>
          <w:color w:val="auto"/>
        </w:rPr>
        <w:t>3</w:t>
      </w:r>
    </w:p>
    <w:p>
      <w:pPr>
        <w:spacing w:after="0" w:line="45"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Consideration of</w:t>
      </w:r>
    </w:p>
    <w:p>
      <w:pPr>
        <w:spacing w:after="0" w:line="5"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Director</w:t>
      </w:r>
    </w:p>
    <w:p>
      <w:pPr>
        <w:spacing w:after="0" w:line="5"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Qualifications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00"/>
        <w:spacing w:after="0"/>
        <w:rPr>
          <w:sz w:val="20"/>
          <w:szCs w:val="20"/>
          <w:color w:val="auto"/>
        </w:rPr>
      </w:pPr>
      <w:r>
        <w:rPr>
          <w:rFonts w:ascii="Arial" w:cs="Arial" w:eastAsia="Arial" w:hAnsi="Arial"/>
          <w:sz w:val="54"/>
          <w:szCs w:val="54"/>
          <w:color w:val="auto"/>
        </w:rPr>
        <w:t>4</w:t>
      </w:r>
    </w:p>
    <w:p>
      <w:pPr>
        <w:spacing w:after="0" w:line="45" w:lineRule="exact"/>
        <w:rPr>
          <w:sz w:val="20"/>
          <w:szCs w:val="20"/>
          <w:color w:val="auto"/>
        </w:rPr>
      </w:pPr>
    </w:p>
    <w:p>
      <w:pPr>
        <w:ind w:left="300" w:right="60"/>
        <w:spacing w:after="0" w:line="261" w:lineRule="auto"/>
        <w:rPr>
          <w:sz w:val="20"/>
          <w:szCs w:val="20"/>
          <w:color w:val="auto"/>
        </w:rPr>
      </w:pPr>
      <w:r>
        <w:rPr>
          <w:rFonts w:ascii="Arial" w:cs="Arial" w:eastAsia="Arial" w:hAnsi="Arial"/>
          <w:sz w:val="16"/>
          <w:szCs w:val="16"/>
          <w:b w:val="1"/>
          <w:bCs w:val="1"/>
          <w:color w:val="auto"/>
        </w:rPr>
        <w:t>Assessment and Nomination of Candidates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right="419"/>
        <w:spacing w:after="0" w:line="244" w:lineRule="auto"/>
        <w:rPr>
          <w:sz w:val="20"/>
          <w:szCs w:val="20"/>
          <w:color w:val="auto"/>
        </w:rPr>
      </w:pPr>
      <w:r>
        <w:rPr>
          <w:rFonts w:ascii="Arial" w:cs="Arial" w:eastAsia="Arial" w:hAnsi="Arial"/>
          <w:sz w:val="15"/>
          <w:szCs w:val="15"/>
          <w:color w:val="auto"/>
        </w:rPr>
        <w:t>The Governance Committee reviews potential director candidates and recommends nominees for director to the full Board for its consideration based on the Governance Committee’s assessment of the overall composition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491490</wp:posOffset>
            </wp:positionV>
            <wp:extent cx="41833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1833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339"/>
        <w:spacing w:after="0" w:line="236" w:lineRule="auto"/>
        <w:rPr>
          <w:sz w:val="20"/>
          <w:szCs w:val="20"/>
          <w:color w:val="auto"/>
        </w:rPr>
      </w:pPr>
      <w:r>
        <w:rPr>
          <w:rFonts w:ascii="Arial" w:cs="Arial" w:eastAsia="Arial" w:hAnsi="Arial"/>
          <w:sz w:val="15"/>
          <w:szCs w:val="15"/>
          <w:color w:val="auto"/>
        </w:rPr>
        <w:t>It is the Governance Committee’s policy to consider referrals of prospective director nominees from other Board members and management, as well as stockholders and other external sources, such as retained executive search firms. The Governance Committee seeks to identify a diverse range of qualified candidates and utilizes the same criteria for evaluating candidates, irrespective of their source.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243840</wp:posOffset>
            </wp:positionV>
            <wp:extent cx="41833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183380" cy="825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right="439"/>
        <w:spacing w:after="0" w:line="236" w:lineRule="auto"/>
        <w:rPr>
          <w:sz w:val="20"/>
          <w:szCs w:val="20"/>
          <w:color w:val="auto"/>
        </w:rPr>
      </w:pPr>
      <w:r>
        <w:rPr>
          <w:rFonts w:ascii="Arial" w:cs="Arial" w:eastAsia="Arial" w:hAnsi="Arial"/>
          <w:sz w:val="15"/>
          <w:szCs w:val="15"/>
          <w:color w:val="auto"/>
        </w:rPr>
        <w:t>When considering potential director candidates, the Governance Committee will seek individuals with backgrounds and qualities that, when combined with those of Embecta’s other directors, provide a blend of skills and experience that will further enhance the Board’s effectiveness. The Governance Committee believes that any nominee for director that it recommends must meet the following minimum qualifications:</w:t>
      </w:r>
    </w:p>
    <w:p>
      <w:pPr>
        <w:spacing w:after="0" w:line="56" w:lineRule="exact"/>
        <w:rPr>
          <w:sz w:val="20"/>
          <w:szCs w:val="20"/>
          <w:color w:val="auto"/>
        </w:rPr>
      </w:pPr>
    </w:p>
    <w:p>
      <w:pPr>
        <w:ind w:left="200" w:right="439" w:hanging="206"/>
        <w:spacing w:after="0" w:line="264" w:lineRule="auto"/>
        <w:rPr>
          <w:sz w:val="20"/>
          <w:szCs w:val="20"/>
          <w:color w:val="auto"/>
        </w:rPr>
      </w:pPr>
      <w:r>
        <w:rPr>
          <w:rFonts w:ascii="Arial" w:cs="Arial" w:eastAsia="Arial" w:hAnsi="Arial"/>
          <w:sz w:val="15"/>
          <w:szCs w:val="15"/>
          <w:color w:val="342C82"/>
        </w:rPr>
        <w:t>•</w:t>
      </w:r>
      <w:r>
        <w:rPr>
          <w:rFonts w:ascii="Arial" w:cs="Arial" w:eastAsia="Arial" w:hAnsi="Arial"/>
          <w:sz w:val="15"/>
          <w:szCs w:val="15"/>
          <w:color w:val="000000"/>
        </w:rPr>
        <w:t xml:space="preserve">  Candidates should be persons of high integrity who possess independence, forthrightness,</w:t>
      </w:r>
      <w:r>
        <w:rPr>
          <w:rFonts w:ascii="Arial" w:cs="Arial" w:eastAsia="Arial" w:hAnsi="Arial"/>
          <w:sz w:val="15"/>
          <w:szCs w:val="15"/>
          <w:color w:val="342C82"/>
        </w:rPr>
        <w:t xml:space="preserve"> </w:t>
      </w:r>
      <w:r>
        <w:rPr>
          <w:rFonts w:ascii="Arial" w:cs="Arial" w:eastAsia="Arial" w:hAnsi="Arial"/>
          <w:sz w:val="15"/>
          <w:szCs w:val="15"/>
          <w:color w:val="000000"/>
        </w:rPr>
        <w:t>inquisitiveness, good judgment and strong analytical skills.</w:t>
      </w:r>
    </w:p>
    <w:p>
      <w:pPr>
        <w:spacing w:after="0" w:line="39" w:lineRule="exact"/>
        <w:rPr>
          <w:sz w:val="20"/>
          <w:szCs w:val="20"/>
          <w:color w:val="auto"/>
        </w:rPr>
      </w:pPr>
    </w:p>
    <w:p>
      <w:pPr>
        <w:ind w:left="200" w:right="379" w:hanging="206"/>
        <w:spacing w:after="0" w:line="264" w:lineRule="auto"/>
        <w:rPr>
          <w:sz w:val="20"/>
          <w:szCs w:val="20"/>
          <w:color w:val="auto"/>
        </w:rPr>
      </w:pPr>
      <w:r>
        <w:rPr>
          <w:rFonts w:ascii="Arial" w:cs="Arial" w:eastAsia="Arial" w:hAnsi="Arial"/>
          <w:sz w:val="15"/>
          <w:szCs w:val="15"/>
          <w:color w:val="342C82"/>
        </w:rPr>
        <w:t>•</w:t>
      </w:r>
      <w:r>
        <w:rPr>
          <w:rFonts w:ascii="Arial" w:cs="Arial" w:eastAsia="Arial" w:hAnsi="Arial"/>
          <w:sz w:val="15"/>
          <w:szCs w:val="15"/>
          <w:color w:val="000000"/>
        </w:rPr>
        <w:t xml:space="preserve">  Candidates should demonstrate a commitment to devote the time required for Board duties,</w:t>
      </w:r>
      <w:r>
        <w:rPr>
          <w:rFonts w:ascii="Arial" w:cs="Arial" w:eastAsia="Arial" w:hAnsi="Arial"/>
          <w:sz w:val="15"/>
          <w:szCs w:val="15"/>
          <w:color w:val="342C82"/>
        </w:rPr>
        <w:t xml:space="preserve"> </w:t>
      </w:r>
      <w:r>
        <w:rPr>
          <w:rFonts w:ascii="Arial" w:cs="Arial" w:eastAsia="Arial" w:hAnsi="Arial"/>
          <w:sz w:val="15"/>
          <w:szCs w:val="15"/>
          <w:color w:val="000000"/>
        </w:rPr>
        <w:t>including, but not limited to, attendance at meetings.</w:t>
      </w:r>
    </w:p>
    <w:p>
      <w:pPr>
        <w:spacing w:after="0" w:line="26" w:lineRule="exact"/>
        <w:rPr>
          <w:sz w:val="20"/>
          <w:szCs w:val="20"/>
          <w:color w:val="auto"/>
        </w:rPr>
      </w:pPr>
    </w:p>
    <w:p>
      <w:pPr>
        <w:ind w:left="200" w:right="559" w:hanging="206"/>
        <w:spacing w:after="0" w:line="264" w:lineRule="auto"/>
        <w:rPr>
          <w:sz w:val="20"/>
          <w:szCs w:val="20"/>
          <w:color w:val="auto"/>
        </w:rPr>
      </w:pPr>
      <w:r>
        <w:rPr>
          <w:rFonts w:ascii="Arial" w:cs="Arial" w:eastAsia="Arial" w:hAnsi="Arial"/>
          <w:sz w:val="15"/>
          <w:szCs w:val="15"/>
          <w:color w:val="342C82"/>
        </w:rPr>
        <w:t>•</w:t>
      </w:r>
      <w:r>
        <w:rPr>
          <w:rFonts w:ascii="Arial" w:cs="Arial" w:eastAsia="Arial" w:hAnsi="Arial"/>
          <w:sz w:val="15"/>
          <w:szCs w:val="15"/>
          <w:color w:val="000000"/>
        </w:rPr>
        <w:t xml:space="preserve">  Candidates should be team-oriented and committed to the interests of all stockholders as</w:t>
      </w:r>
      <w:r>
        <w:rPr>
          <w:rFonts w:ascii="Arial" w:cs="Arial" w:eastAsia="Arial" w:hAnsi="Arial"/>
          <w:sz w:val="15"/>
          <w:szCs w:val="15"/>
          <w:color w:val="342C82"/>
        </w:rPr>
        <w:t xml:space="preserve"> </w:t>
      </w:r>
      <w:r>
        <w:rPr>
          <w:rFonts w:ascii="Arial" w:cs="Arial" w:eastAsia="Arial" w:hAnsi="Arial"/>
          <w:sz w:val="15"/>
          <w:szCs w:val="15"/>
          <w:color w:val="000000"/>
        </w:rPr>
        <w:t>opposed to those of any particular constituency.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52705</wp:posOffset>
            </wp:positionV>
            <wp:extent cx="41833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183380" cy="8255"/>
                    </a:xfrm>
                    <a:prstGeom prst="rect">
                      <a:avLst/>
                    </a:prstGeom>
                    <a:noFill/>
                  </pic:spPr>
                </pic:pic>
              </a:graphicData>
            </a:graphic>
          </wp:anchor>
        </w:drawing>
      </w:r>
    </w:p>
    <w:p>
      <w:pPr>
        <w:spacing w:after="0" w:line="181" w:lineRule="exact"/>
        <w:rPr>
          <w:sz w:val="20"/>
          <w:szCs w:val="20"/>
          <w:color w:val="auto"/>
        </w:rPr>
      </w:pPr>
    </w:p>
    <w:p>
      <w:pPr>
        <w:ind w:right="319"/>
        <w:spacing w:after="0" w:line="236" w:lineRule="auto"/>
        <w:rPr>
          <w:sz w:val="20"/>
          <w:szCs w:val="20"/>
          <w:color w:val="auto"/>
        </w:rPr>
      </w:pPr>
      <w:r>
        <w:rPr>
          <w:rFonts w:ascii="Arial" w:cs="Arial" w:eastAsia="Arial" w:hAnsi="Arial"/>
          <w:sz w:val="15"/>
          <w:szCs w:val="15"/>
          <w:color w:val="auto"/>
        </w:rPr>
        <w:t>The Governance Committee assesses the characteristics and performance of incumbent director nominees against the above criteria as well, and, to the extent applicable, considers the impact of any change in the principal occupations of such directors during the last year. Upon completion of its assessment, the Governance Committee reports its recommendations for nominations to the full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-1236345</wp:posOffset>
            </wp:positionH>
            <wp:positionV relativeFrom="paragraph">
              <wp:posOffset>235585</wp:posOffset>
            </wp:positionV>
            <wp:extent cx="534924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565" w:lineRule="exact"/>
        <w:rPr>
          <w:sz w:val="20"/>
          <w:szCs w:val="20"/>
          <w:color w:val="auto"/>
        </w:rPr>
      </w:pPr>
    </w:p>
    <w:p>
      <w:pPr>
        <w:sectPr>
          <w:pgSz w:w="11900" w:h="16838" w:orient="portrait"/>
          <w:cols w:equalWidth="0" w:num="2">
            <w:col w:w="1580" w:space="660"/>
            <w:col w:w="6779"/>
          </w:cols>
          <w:pgMar w:left="1440" w:top="114" w:right="1440" w:bottom="1440" w:gutter="0" w:footer="0" w:header="0"/>
          <w:type w:val="continuous"/>
        </w:sectPr>
      </w:pP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146685</wp:posOffset>
            </wp:positionV>
            <wp:extent cx="6995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6"/>
          <w:szCs w:val="16"/>
          <w:color w:val="342C82"/>
        </w:rPr>
        <w:t>Proposal 1: Election of directors</w:t>
      </w:r>
    </w:p>
    <w:p>
      <w:pPr>
        <w:spacing w:after="0" w:line="113" w:lineRule="exact"/>
        <w:rPr>
          <w:sz w:val="20"/>
          <w:szCs w:val="20"/>
          <w:color w:val="auto"/>
        </w:rPr>
      </w:pPr>
    </w:p>
    <w:p>
      <w:pPr>
        <w:ind w:left="300" w:right="339"/>
        <w:spacing w:after="0" w:line="250" w:lineRule="auto"/>
        <w:rPr>
          <w:sz w:val="20"/>
          <w:szCs w:val="20"/>
          <w:color w:val="auto"/>
        </w:rPr>
      </w:pPr>
      <w:r>
        <w:rPr>
          <w:rFonts w:ascii="Arial" w:cs="Arial" w:eastAsia="Arial" w:hAnsi="Arial"/>
          <w:sz w:val="16"/>
          <w:szCs w:val="16"/>
          <w:color w:val="auto"/>
        </w:rPr>
        <w:t>Our CoI provides that until the 2026 annual stockholder meeting, Embecta’s Board will be divided into three classes, with each class consisting, as nearly as may be possible, of one-third of the total number of directors. Our Board currently consists of nine members, each serving as either Class I, Class II or Class III directors. The Class III directors are Messrs. Robert (Bob) J. Hombach and Devdatt (Dev) Kurdikar and LTG (Ret.) David F. Melcher, each of whom is currently serving a term expiring at the 2025 Annual Meeting and has been nominated for a term expiring at the 2026 annual stockholder meeting at the 2025 Annual Meeting. Mr. David J. Albritton, Ms. Carrie L. Anderson and Mr. Christopher R. Reidy, the Class I directors, and Dr. Milton M. Morris, Dr. Claire Pomeroy and Ms. Karen N. Prange, the Class II directors, are each currently serving a term expiring at the 2026 annual stockholder meeting. Commencing with the 2026 annual stockholder meeting, directors will be elected annually and for a term of office to expire at the next annual stockholder meeting, and the Board will thereafter no longer be divided into classes.</w:t>
      </w:r>
    </w:p>
    <w:p>
      <w:pPr>
        <w:spacing w:after="0" w:line="204" w:lineRule="exact"/>
        <w:rPr>
          <w:sz w:val="20"/>
          <w:szCs w:val="20"/>
          <w:color w:val="auto"/>
        </w:rPr>
      </w:pPr>
    </w:p>
    <w:p>
      <w:pPr>
        <w:ind w:left="300"/>
        <w:spacing w:after="0"/>
        <w:rPr>
          <w:sz w:val="20"/>
          <w:szCs w:val="20"/>
          <w:color w:val="auto"/>
        </w:rPr>
      </w:pPr>
      <w:r>
        <w:rPr>
          <w:rFonts w:ascii="Arial" w:cs="Arial" w:eastAsia="Arial" w:hAnsi="Arial"/>
          <w:sz w:val="22"/>
          <w:szCs w:val="22"/>
          <w:color w:val="342C82"/>
        </w:rPr>
        <w:t>Stockholder recommendations</w:t>
      </w:r>
    </w:p>
    <w:p>
      <w:pPr>
        <w:spacing w:after="0" w:line="137" w:lineRule="exact"/>
        <w:rPr>
          <w:sz w:val="20"/>
          <w:szCs w:val="20"/>
          <w:color w:val="auto"/>
        </w:rPr>
      </w:pPr>
    </w:p>
    <w:p>
      <w:pPr>
        <w:ind w:left="300" w:right="459"/>
        <w:spacing w:after="0" w:line="266" w:lineRule="auto"/>
        <w:rPr>
          <w:sz w:val="20"/>
          <w:szCs w:val="20"/>
          <w:color w:val="auto"/>
        </w:rPr>
      </w:pPr>
      <w:r>
        <w:rPr>
          <w:rFonts w:ascii="Arial" w:cs="Arial" w:eastAsia="Arial" w:hAnsi="Arial"/>
          <w:sz w:val="16"/>
          <w:szCs w:val="16"/>
          <w:color w:val="auto"/>
        </w:rPr>
        <w:t>To recommend a director nominee candidate for consideration by the Governance Committee, a stockholder should submit a written statement of the qualifications of the proposed nominee, including full name and address, to the Corporate Secretary, Embecta Corp., 300 Kimball Drive, Ste 300, Parsippany, New Jersey 07054.</w:t>
      </w:r>
    </w:p>
    <w:p>
      <w:pPr>
        <w:spacing w:after="0" w:line="186" w:lineRule="exact"/>
        <w:rPr>
          <w:sz w:val="20"/>
          <w:szCs w:val="20"/>
          <w:color w:val="auto"/>
        </w:rPr>
      </w:pPr>
    </w:p>
    <w:p>
      <w:pPr>
        <w:ind w:left="300"/>
        <w:spacing w:after="0"/>
        <w:rPr>
          <w:sz w:val="20"/>
          <w:szCs w:val="20"/>
          <w:color w:val="auto"/>
        </w:rPr>
      </w:pPr>
      <w:r>
        <w:rPr>
          <w:rFonts w:ascii="Arial" w:cs="Arial" w:eastAsia="Arial" w:hAnsi="Arial"/>
          <w:sz w:val="22"/>
          <w:szCs w:val="22"/>
          <w:color w:val="342C82"/>
        </w:rPr>
        <w:t>Proxy access nominations</w:t>
      </w:r>
    </w:p>
    <w:p>
      <w:pPr>
        <w:spacing w:after="0" w:line="137" w:lineRule="exact"/>
        <w:rPr>
          <w:sz w:val="20"/>
          <w:szCs w:val="20"/>
          <w:color w:val="auto"/>
        </w:rPr>
      </w:pPr>
    </w:p>
    <w:p>
      <w:pPr>
        <w:ind w:left="300" w:right="439"/>
        <w:spacing w:after="0" w:line="256" w:lineRule="auto"/>
        <w:rPr>
          <w:sz w:val="20"/>
          <w:szCs w:val="20"/>
          <w:color w:val="auto"/>
        </w:rPr>
      </w:pPr>
      <w:r>
        <w:rPr>
          <w:rFonts w:ascii="Arial" w:cs="Arial" w:eastAsia="Arial" w:hAnsi="Arial"/>
          <w:sz w:val="16"/>
          <w:szCs w:val="16"/>
          <w:color w:val="auto"/>
        </w:rPr>
        <w:t>Embecta has a “proxy access” by-law, which permits eligible stockholders to nominate director candidates for inclusion in Embecta’s proxy statement and proxy card. Our proxy access by-law provides that a stockholder (or a group of up to 20 stockholders) owning 3% or more of Embecta’s outstanding common stock for at least three years can nominate up to two individuals or 20% of the Board, whichever is greater, for election at an annual meeting of stockholders, subject to the relevant requirements in our Amended and Restated By-Laws (“By-Laws”).</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25"/>
          <w:szCs w:val="25"/>
          <w:color w:val="342C82"/>
        </w:rPr>
        <w:t>Director retirement policy; term limits</w:t>
      </w:r>
    </w:p>
    <w:p>
      <w:pPr>
        <w:spacing w:after="0" w:line="139" w:lineRule="exact"/>
        <w:rPr>
          <w:sz w:val="20"/>
          <w:szCs w:val="20"/>
          <w:color w:val="auto"/>
        </w:rPr>
      </w:pPr>
    </w:p>
    <w:p>
      <w:pPr>
        <w:ind w:left="300" w:right="579"/>
        <w:spacing w:after="0" w:line="254" w:lineRule="auto"/>
        <w:rPr>
          <w:sz w:val="20"/>
          <w:szCs w:val="20"/>
          <w:color w:val="auto"/>
        </w:rPr>
      </w:pPr>
      <w:r>
        <w:rPr>
          <w:rFonts w:ascii="Arial" w:cs="Arial" w:eastAsia="Arial" w:hAnsi="Arial"/>
          <w:sz w:val="16"/>
          <w:szCs w:val="16"/>
          <w:color w:val="auto"/>
        </w:rPr>
        <w:t>It is Embecta’s policy that directors must retire from the Board effective at the conclusion of the annual meeting of stockholders following their 75th birthday. Under special circumstances, the Board may approve exceptions to this policy. The Board believes, however, that any exceptions should be rare. Prior to a director’s 72nd birthday, the Governance Committee will begin discussions with the director regarding the director’s tenure and skills, the director’s anticipated future contributions to the Board, and the Board’s composition and needs going forward to determine whether the director’s continued service until the mandatory retirement age of 75 is appropriate.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123825</wp:posOffset>
            </wp:positionV>
            <wp:extent cx="699516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jc w:val="right"/>
        <w:ind w:right="299"/>
        <w:spacing w:after="0"/>
        <w:rPr>
          <w:sz w:val="20"/>
          <w:szCs w:val="20"/>
          <w:color w:val="auto"/>
        </w:rPr>
      </w:pPr>
      <w:r>
        <w:rPr>
          <w:rFonts w:ascii="Arial" w:cs="Arial" w:eastAsia="Arial" w:hAnsi="Arial"/>
          <w:sz w:val="16"/>
          <w:szCs w:val="16"/>
          <w:color w:val="342C82"/>
        </w:rPr>
        <w:t>Proposal 1: Election of directors</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29"/>
          <w:szCs w:val="29"/>
          <w:color w:val="342C82"/>
        </w:rPr>
        <w:t>Corporate governance</w:t>
      </w:r>
    </w:p>
    <w:p>
      <w:pPr>
        <w:spacing w:after="0" w:line="324" w:lineRule="exact"/>
        <w:rPr>
          <w:sz w:val="20"/>
          <w:szCs w:val="20"/>
          <w:color w:val="auto"/>
        </w:rPr>
      </w:pPr>
    </w:p>
    <w:p>
      <w:pPr>
        <w:ind w:left="300"/>
        <w:spacing w:after="0"/>
        <w:rPr>
          <w:sz w:val="20"/>
          <w:szCs w:val="20"/>
          <w:color w:val="auto"/>
        </w:rPr>
      </w:pPr>
      <w:r>
        <w:rPr>
          <w:rFonts w:ascii="Arial" w:cs="Arial" w:eastAsia="Arial" w:hAnsi="Arial"/>
          <w:sz w:val="25"/>
          <w:szCs w:val="25"/>
          <w:color w:val="342C82"/>
        </w:rPr>
        <w:t>The Board and committees of the Board</w:t>
      </w:r>
    </w:p>
    <w:p>
      <w:pPr>
        <w:spacing w:after="0" w:line="126" w:lineRule="exact"/>
        <w:rPr>
          <w:sz w:val="20"/>
          <w:szCs w:val="20"/>
          <w:color w:val="auto"/>
        </w:rPr>
      </w:pPr>
    </w:p>
    <w:p>
      <w:pPr>
        <w:ind w:left="300" w:right="579"/>
        <w:spacing w:after="0" w:line="259" w:lineRule="auto"/>
        <w:rPr>
          <w:sz w:val="20"/>
          <w:szCs w:val="20"/>
          <w:color w:val="auto"/>
        </w:rPr>
      </w:pPr>
      <w:r>
        <w:rPr>
          <w:rFonts w:ascii="Arial" w:cs="Arial" w:eastAsia="Arial" w:hAnsi="Arial"/>
          <w:sz w:val="16"/>
          <w:szCs w:val="16"/>
          <w:color w:val="auto"/>
        </w:rPr>
        <w:t>Embecta is governed by the Board. The Board has established four operating committees (the “Committees”) that meet regularly: the Audit Committee; the Compensation and Management Development Committee (the “Compensation Committee”); the Governance Committee; and the Technology, Quality and Regulatory Committee (the “TQR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36195</wp:posOffset>
            </wp:positionV>
            <wp:extent cx="5349240" cy="16287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349240" cy="1628775"/>
                    </a:xfrm>
                    <a:prstGeom prst="rect">
                      <a:avLst/>
                    </a:prstGeom>
                    <a:noFill/>
                  </pic:spPr>
                </pic:pic>
              </a:graphicData>
            </a:graphic>
          </wp:anchor>
        </w:drawing>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Governance Materials</w:t>
      </w:r>
    </w:p>
    <w:p>
      <w:pPr>
        <w:spacing w:after="0" w:line="194" w:lineRule="exact"/>
        <w:rPr>
          <w:sz w:val="20"/>
          <w:szCs w:val="20"/>
          <w:color w:val="auto"/>
        </w:rPr>
      </w:pPr>
    </w:p>
    <w:p>
      <w:pPr>
        <w:ind w:left="560" w:right="2459"/>
        <w:spacing w:after="0" w:line="266" w:lineRule="auto"/>
        <w:rPr>
          <w:sz w:val="20"/>
          <w:szCs w:val="20"/>
          <w:color w:val="auto"/>
        </w:rPr>
      </w:pPr>
      <w:r>
        <w:rPr>
          <w:rFonts w:ascii="Arial" w:cs="Arial" w:eastAsia="Arial" w:hAnsi="Arial"/>
          <w:sz w:val="16"/>
          <w:szCs w:val="16"/>
          <w:color w:val="auto"/>
        </w:rPr>
        <w:t>The following materials related to corporate governance at Embecta are available at investors.embecta.com/corporate-governance/documents-charters.  </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16"/>
          <w:szCs w:val="16"/>
          <w:color w:val="342C82"/>
        </w:rPr>
        <w:t>•</w:t>
      </w:r>
      <w:r>
        <w:rPr>
          <w:rFonts w:ascii="Arial" w:cs="Arial" w:eastAsia="Arial" w:hAnsi="Arial"/>
          <w:sz w:val="16"/>
          <w:szCs w:val="16"/>
          <w:color w:val="000000"/>
        </w:rPr>
        <w:t xml:space="preserve">  Corporate Governance Principles</w:t>
      </w:r>
    </w:p>
    <w:p>
      <w:pPr>
        <w:spacing w:after="0" w:line="5" w:lineRule="exact"/>
        <w:rPr>
          <w:sz w:val="20"/>
          <w:szCs w:val="20"/>
          <w:color w:val="auto"/>
        </w:rPr>
      </w:pPr>
    </w:p>
    <w:p>
      <w:pPr>
        <w:ind w:left="560"/>
        <w:spacing w:after="0"/>
        <w:rPr>
          <w:sz w:val="20"/>
          <w:szCs w:val="20"/>
          <w:color w:val="auto"/>
        </w:rPr>
      </w:pPr>
      <w:r>
        <w:rPr>
          <w:rFonts w:ascii="Arial" w:cs="Arial" w:eastAsia="Arial" w:hAnsi="Arial"/>
          <w:sz w:val="16"/>
          <w:szCs w:val="16"/>
          <w:color w:val="342C82"/>
        </w:rPr>
        <w:t>•</w:t>
      </w:r>
      <w:r>
        <w:rPr>
          <w:rFonts w:ascii="Arial" w:cs="Arial" w:eastAsia="Arial" w:hAnsi="Arial"/>
          <w:sz w:val="16"/>
          <w:szCs w:val="16"/>
          <w:color w:val="000000"/>
        </w:rPr>
        <w:t xml:space="preserve">  Charters of the Audit, Compensation, Governance and TQR Committees</w:t>
      </w:r>
    </w:p>
    <w:p>
      <w:pPr>
        <w:spacing w:after="0" w:line="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560" w:right="559"/>
        <w:spacing w:after="0" w:line="252" w:lineRule="auto"/>
        <w:rPr>
          <w:sz w:val="20"/>
          <w:szCs w:val="20"/>
          <w:color w:val="auto"/>
        </w:rPr>
      </w:pPr>
      <w:r>
        <w:rPr>
          <w:rFonts w:ascii="Arial" w:cs="Arial" w:eastAsia="Arial" w:hAnsi="Arial"/>
          <w:sz w:val="16"/>
          <w:szCs w:val="16"/>
          <w:color w:val="auto"/>
        </w:rPr>
        <w:t>Printed copies of these documents, Embecta’s 2024 Annual Report of Stockholders, and Embecta’s reports to, and statements filed with or furnished to, the Securities and Exchange Commission (“SEC”) may be obtained, without charge, by contacting the Corporate Secretary, Embecta Corp., 300 Kimball Drive, Ste 300, Parsippany, New Jersey 07054; telephone 201-847-6880 or 862-401-0000.</w:t>
      </w:r>
    </w:p>
    <w:p>
      <w:pPr>
        <w:spacing w:after="0" w:line="200" w:lineRule="exact"/>
        <w:rPr>
          <w:sz w:val="20"/>
          <w:szCs w:val="20"/>
          <w:color w:val="auto"/>
        </w:rPr>
      </w:pPr>
    </w:p>
    <w:p>
      <w:pPr>
        <w:spacing w:after="0" w:line="231" w:lineRule="exact"/>
        <w:rPr>
          <w:sz w:val="20"/>
          <w:szCs w:val="20"/>
          <w:color w:val="auto"/>
        </w:rPr>
      </w:pPr>
    </w:p>
    <w:p>
      <w:pPr>
        <w:ind w:left="300"/>
        <w:spacing w:after="0"/>
        <w:rPr>
          <w:sz w:val="20"/>
          <w:szCs w:val="20"/>
          <w:color w:val="auto"/>
        </w:rPr>
      </w:pPr>
      <w:r>
        <w:rPr>
          <w:rFonts w:ascii="Arial" w:cs="Arial" w:eastAsia="Arial" w:hAnsi="Arial"/>
          <w:sz w:val="25"/>
          <w:szCs w:val="25"/>
          <w:color w:val="342C82"/>
        </w:rPr>
        <w:t>Committee membership and function</w:t>
      </w:r>
    </w:p>
    <w:p>
      <w:pPr>
        <w:spacing w:after="0" w:line="139" w:lineRule="exact"/>
        <w:rPr>
          <w:sz w:val="20"/>
          <w:szCs w:val="20"/>
          <w:color w:val="auto"/>
        </w:rPr>
      </w:pPr>
    </w:p>
    <w:p>
      <w:pPr>
        <w:ind w:left="300" w:right="399"/>
        <w:spacing w:after="0" w:line="286" w:lineRule="auto"/>
        <w:rPr>
          <w:sz w:val="20"/>
          <w:szCs w:val="20"/>
          <w:color w:val="auto"/>
        </w:rPr>
      </w:pPr>
      <w:r>
        <w:rPr>
          <w:rFonts w:ascii="Arial" w:cs="Arial" w:eastAsia="Arial" w:hAnsi="Arial"/>
          <w:sz w:val="16"/>
          <w:szCs w:val="16"/>
          <w:color w:val="auto"/>
        </w:rPr>
        <w:t>Set forth below are the members of each Committee, a summary description of each Committee’s areas of oversight and the number of meetings held by each committee during fiscal year 2024.</w:t>
      </w:r>
    </w:p>
    <w:p>
      <w:pPr>
        <w:spacing w:after="0" w:line="323" w:lineRule="exact"/>
        <w:rPr>
          <w:sz w:val="20"/>
          <w:szCs w:val="20"/>
          <w:color w:val="auto"/>
        </w:rPr>
      </w:pPr>
    </w:p>
    <w:p>
      <w:pPr>
        <w:ind w:left="300"/>
        <w:spacing w:after="0"/>
        <w:rPr>
          <w:sz w:val="20"/>
          <w:szCs w:val="20"/>
          <w:color w:val="auto"/>
        </w:rPr>
      </w:pPr>
      <w:r>
        <w:rPr>
          <w:rFonts w:ascii="Arial" w:cs="Arial" w:eastAsia="Arial" w:hAnsi="Arial"/>
          <w:sz w:val="25"/>
          <w:szCs w:val="25"/>
          <w:color w:val="342C82"/>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106045</wp:posOffset>
            </wp:positionV>
            <wp:extent cx="534924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spacing w:after="0" w:line="310"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auto"/>
        </w:rPr>
        <w:t>Members</w:t>
      </w:r>
    </w:p>
    <w:p>
      <w:pPr>
        <w:ind w:left="540"/>
        <w:spacing w:after="0" w:line="233" w:lineRule="auto"/>
        <w:rPr>
          <w:sz w:val="20"/>
          <w:szCs w:val="20"/>
          <w:color w:val="auto"/>
        </w:rPr>
      </w:pPr>
      <w:r>
        <w:rPr>
          <w:rFonts w:ascii="Arial" w:cs="Arial" w:eastAsia="Arial" w:hAnsi="Arial"/>
          <w:sz w:val="15"/>
          <w:szCs w:val="15"/>
          <w:color w:val="auto"/>
        </w:rPr>
        <w:t> </w:t>
      </w:r>
    </w:p>
    <w:p>
      <w:pPr>
        <w:ind w:left="540"/>
        <w:spacing w:after="0"/>
        <w:rPr>
          <w:sz w:val="20"/>
          <w:szCs w:val="20"/>
          <w:color w:val="auto"/>
        </w:rPr>
      </w:pPr>
      <w:r>
        <w:rPr>
          <w:rFonts w:ascii="Arial" w:cs="Arial" w:eastAsia="Arial" w:hAnsi="Arial"/>
          <w:sz w:val="15"/>
          <w:szCs w:val="15"/>
          <w:color w:val="auto"/>
        </w:rPr>
        <w:t xml:space="preserve">Bob J. Hombach </w:t>
      </w:r>
      <w:r>
        <w:rPr>
          <w:rFonts w:ascii="Arial" w:cs="Arial" w:eastAsia="Arial" w:hAnsi="Arial"/>
          <w:sz w:val="15"/>
          <w:szCs w:val="15"/>
          <w:b w:val="1"/>
          <w:bCs w:val="1"/>
          <w:color w:val="auto"/>
        </w:rPr>
        <w:t>(Chair)</w:t>
      </w:r>
      <w:r>
        <w:rPr>
          <w:rFonts w:ascii="Arial" w:cs="Arial" w:eastAsia="Arial" w:hAnsi="Arial"/>
          <w:sz w:val="15"/>
          <w:szCs w:val="15"/>
          <w:color w:val="auto"/>
        </w:rPr>
        <w:t xml:space="preserve"> Karen N. Prange Carrie L. Anderson  </w:t>
      </w:r>
    </w:p>
    <w:p>
      <w:pPr>
        <w:spacing w:after="0" w:line="120"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auto"/>
        </w:rPr>
        <w:t>Meetings in 2024:</w:t>
      </w:r>
    </w:p>
    <w:p>
      <w:pPr>
        <w:ind w:left="540"/>
        <w:spacing w:after="0" w:line="225" w:lineRule="auto"/>
        <w:rPr>
          <w:sz w:val="20"/>
          <w:szCs w:val="20"/>
          <w:color w:val="auto"/>
        </w:rPr>
      </w:pPr>
      <w:r>
        <w:rPr>
          <w:rFonts w:ascii="Arial" w:cs="Arial" w:eastAsia="Arial" w:hAnsi="Arial"/>
          <w:sz w:val="15"/>
          <w:szCs w:val="15"/>
          <w:color w:val="auto"/>
        </w:rPr>
        <w:t> </w:t>
      </w:r>
    </w:p>
    <w:p>
      <w:pPr>
        <w:ind w:left="540"/>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Principal Responsibilities:</w:t>
      </w:r>
    </w:p>
    <w:p>
      <w:pPr>
        <w:spacing w:after="0" w:line="233" w:lineRule="auto"/>
        <w:rPr>
          <w:sz w:val="20"/>
          <w:szCs w:val="20"/>
          <w:color w:val="auto"/>
        </w:rPr>
      </w:pPr>
      <w:r>
        <w:rPr>
          <w:rFonts w:ascii="Arial" w:cs="Arial" w:eastAsia="Arial" w:hAnsi="Arial"/>
          <w:sz w:val="15"/>
          <w:szCs w:val="15"/>
          <w:color w:val="auto"/>
        </w:rPr>
        <w:t> </w:t>
      </w:r>
    </w:p>
    <w:p>
      <w:pPr>
        <w:ind w:left="200" w:right="479" w:hanging="206"/>
        <w:spacing w:after="0" w:line="244" w:lineRule="auto"/>
        <w:rPr>
          <w:sz w:val="20"/>
          <w:szCs w:val="20"/>
          <w:color w:val="auto"/>
        </w:rPr>
      </w:pPr>
      <w:r>
        <w:rPr>
          <w:rFonts w:ascii="Arial" w:cs="Arial" w:eastAsia="Arial" w:hAnsi="Arial"/>
          <w:sz w:val="15"/>
          <w:szCs w:val="15"/>
          <w:color w:val="342C82"/>
        </w:rPr>
        <w:t>•</w:t>
      </w:r>
      <w:r>
        <w:rPr>
          <w:rFonts w:ascii="Arial" w:cs="Arial" w:eastAsia="Arial" w:hAnsi="Arial"/>
          <w:sz w:val="15"/>
          <w:szCs w:val="15"/>
          <w:color w:val="000000"/>
        </w:rPr>
        <w:t xml:space="preserve">  Retains and reviews the qualifications, independence and performance of Embecta’s</w:t>
      </w:r>
      <w:r>
        <w:rPr>
          <w:rFonts w:ascii="Arial" w:cs="Arial" w:eastAsia="Arial" w:hAnsi="Arial"/>
          <w:sz w:val="15"/>
          <w:szCs w:val="15"/>
          <w:color w:val="342C82"/>
        </w:rPr>
        <w:t xml:space="preserve"> </w:t>
      </w:r>
      <w:r>
        <w:rPr>
          <w:rFonts w:ascii="Arial" w:cs="Arial" w:eastAsia="Arial" w:hAnsi="Arial"/>
          <w:sz w:val="15"/>
          <w:szCs w:val="15"/>
          <w:color w:val="000000"/>
        </w:rPr>
        <w:t>independent auditors.</w:t>
      </w:r>
    </w:p>
    <w:p>
      <w:pPr>
        <w:spacing w:after="0" w:line="40" w:lineRule="exact"/>
        <w:rPr>
          <w:sz w:val="20"/>
          <w:szCs w:val="20"/>
          <w:color w:val="auto"/>
        </w:rPr>
      </w:pPr>
    </w:p>
    <w:p>
      <w:pPr>
        <w:ind w:left="200" w:right="639" w:hanging="206"/>
        <w:spacing w:after="0" w:line="236" w:lineRule="auto"/>
        <w:rPr>
          <w:sz w:val="20"/>
          <w:szCs w:val="20"/>
          <w:color w:val="auto"/>
        </w:rPr>
      </w:pPr>
      <w:r>
        <w:rPr>
          <w:rFonts w:ascii="Arial" w:cs="Arial" w:eastAsia="Arial" w:hAnsi="Arial"/>
          <w:sz w:val="15"/>
          <w:szCs w:val="15"/>
          <w:color w:val="342C82"/>
        </w:rPr>
        <w:t>•</w:t>
      </w:r>
      <w:r>
        <w:rPr>
          <w:rFonts w:ascii="Arial" w:cs="Arial" w:eastAsia="Arial" w:hAnsi="Arial"/>
          <w:sz w:val="15"/>
          <w:szCs w:val="15"/>
          <w:color w:val="000000"/>
        </w:rPr>
        <w:t xml:space="preserve">  Reviews Embecta’s public financial disclosures and financial statements, and its</w:t>
      </w:r>
      <w:r>
        <w:rPr>
          <w:rFonts w:ascii="Arial" w:cs="Arial" w:eastAsia="Arial" w:hAnsi="Arial"/>
          <w:sz w:val="15"/>
          <w:szCs w:val="15"/>
          <w:color w:val="342C82"/>
        </w:rPr>
        <w:t xml:space="preserve"> </w:t>
      </w:r>
      <w:r>
        <w:rPr>
          <w:rFonts w:ascii="Arial" w:cs="Arial" w:eastAsia="Arial" w:hAnsi="Arial"/>
          <w:sz w:val="15"/>
          <w:szCs w:val="15"/>
          <w:color w:val="000000"/>
        </w:rPr>
        <w:t>accounting principles, policies and practices; the scope and results of the annual audit by the independent auditors; Embecta’s internal audit process; and the effectiveness of Embecta’s internal controls over financial reporting and disclosure controls and procedures.</w:t>
      </w:r>
    </w:p>
    <w:p>
      <w:pPr>
        <w:spacing w:after="0" w:line="29" w:lineRule="exact"/>
        <w:rPr>
          <w:sz w:val="20"/>
          <w:szCs w:val="20"/>
          <w:color w:val="auto"/>
        </w:rPr>
      </w:pPr>
    </w:p>
    <w:p>
      <w:pPr>
        <w:ind w:left="200" w:right="419" w:hanging="206"/>
        <w:spacing w:after="0" w:line="244" w:lineRule="auto"/>
        <w:rPr>
          <w:sz w:val="20"/>
          <w:szCs w:val="20"/>
          <w:color w:val="auto"/>
        </w:rPr>
      </w:pPr>
      <w:r>
        <w:rPr>
          <w:rFonts w:ascii="Arial" w:cs="Arial" w:eastAsia="Arial" w:hAnsi="Arial"/>
          <w:sz w:val="15"/>
          <w:szCs w:val="15"/>
          <w:color w:val="342C82"/>
        </w:rPr>
        <w:t>•</w:t>
      </w:r>
      <w:r>
        <w:rPr>
          <w:rFonts w:ascii="Arial" w:cs="Arial" w:eastAsia="Arial" w:hAnsi="Arial"/>
          <w:sz w:val="15"/>
          <w:szCs w:val="15"/>
          <w:color w:val="000000"/>
        </w:rPr>
        <w:t xml:space="preserve">  Reviews Embecta’s guidelines and policies relating to enterprise risk assessment and</w:t>
      </w:r>
      <w:r>
        <w:rPr>
          <w:rFonts w:ascii="Arial" w:cs="Arial" w:eastAsia="Arial" w:hAnsi="Arial"/>
          <w:sz w:val="15"/>
          <w:szCs w:val="15"/>
          <w:color w:val="342C82"/>
        </w:rPr>
        <w:t xml:space="preserve"> </w:t>
      </w:r>
      <w:r>
        <w:rPr>
          <w:rFonts w:ascii="Arial" w:cs="Arial" w:eastAsia="Arial" w:hAnsi="Arial"/>
          <w:sz w:val="15"/>
          <w:szCs w:val="15"/>
          <w:color w:val="000000"/>
        </w:rPr>
        <w:t>management, including financial risk and cybersecurity and data privacy risk exposures.</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342C82"/>
        </w:rPr>
        <w:t>•</w:t>
      </w:r>
      <w:r>
        <w:rPr>
          <w:rFonts w:ascii="Arial" w:cs="Arial" w:eastAsia="Arial" w:hAnsi="Arial"/>
          <w:sz w:val="15"/>
          <w:szCs w:val="15"/>
          <w:color w:val="000000"/>
        </w:rPr>
        <w:t xml:space="preserve">   Oversees Embecta’s ethics and enterprise compliance programs.</w:t>
      </w:r>
    </w:p>
    <w:p>
      <w:pPr>
        <w:spacing w:after="0" w:line="71" w:lineRule="exact"/>
        <w:rPr>
          <w:sz w:val="20"/>
          <w:szCs w:val="20"/>
          <w:color w:val="auto"/>
        </w:rPr>
      </w:pPr>
    </w:p>
    <w:p>
      <w:pPr>
        <w:ind w:left="200" w:right="679" w:hanging="206"/>
        <w:spacing w:after="0" w:line="264" w:lineRule="auto"/>
        <w:rPr>
          <w:sz w:val="20"/>
          <w:szCs w:val="20"/>
          <w:color w:val="auto"/>
        </w:rPr>
      </w:pPr>
      <w:r>
        <w:rPr>
          <w:rFonts w:ascii="Arial" w:cs="Arial" w:eastAsia="Arial" w:hAnsi="Arial"/>
          <w:sz w:val="15"/>
          <w:szCs w:val="15"/>
          <w:color w:val="342C82"/>
        </w:rPr>
        <w:t>•</w:t>
      </w:r>
      <w:r>
        <w:rPr>
          <w:rFonts w:ascii="Arial" w:cs="Arial" w:eastAsia="Arial" w:hAnsi="Arial"/>
          <w:sz w:val="15"/>
          <w:szCs w:val="15"/>
          <w:color w:val="000000"/>
        </w:rPr>
        <w:t xml:space="preserve">  Reviews financial strategies regarding currency, interest rate exposure and use of</w:t>
      </w:r>
      <w:r>
        <w:rPr>
          <w:rFonts w:ascii="Arial" w:cs="Arial" w:eastAsia="Arial" w:hAnsi="Arial"/>
          <w:sz w:val="15"/>
          <w:szCs w:val="15"/>
          <w:color w:val="342C82"/>
        </w:rPr>
        <w:t xml:space="preserve"> </w:t>
      </w:r>
      <w:r>
        <w:rPr>
          <w:rFonts w:ascii="Arial" w:cs="Arial" w:eastAsia="Arial" w:hAnsi="Arial"/>
          <w:sz w:val="15"/>
          <w:szCs w:val="15"/>
          <w:color w:val="000000"/>
        </w:rPr>
        <w:t>derivatives, and reviews Embecta’s insurance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-1477645</wp:posOffset>
            </wp:positionH>
            <wp:positionV relativeFrom="paragraph">
              <wp:posOffset>69850</wp:posOffset>
            </wp:positionV>
            <wp:extent cx="534924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00" w:space="420"/>
            <w:col w:w="6399"/>
          </w:cols>
          <w:pgMar w:left="1440" w:top="114" w:right="1440" w:bottom="1440" w:gutter="0" w:footer="0" w:header="0"/>
          <w:type w:val="continuous"/>
        </w:sectPr>
      </w:pPr>
    </w:p>
    <w:p>
      <w:pPr>
        <w:spacing w:after="0" w:line="126" w:lineRule="exact"/>
        <w:rPr>
          <w:sz w:val="20"/>
          <w:szCs w:val="20"/>
          <w:color w:val="auto"/>
        </w:rPr>
      </w:pPr>
    </w:p>
    <w:p>
      <w:pPr>
        <w:ind w:left="300" w:right="539"/>
        <w:spacing w:after="0" w:line="266" w:lineRule="auto"/>
        <w:rPr>
          <w:sz w:val="20"/>
          <w:szCs w:val="20"/>
          <w:color w:val="auto"/>
        </w:rPr>
      </w:pPr>
      <w:r>
        <w:rPr>
          <w:rFonts w:ascii="Arial" w:cs="Arial" w:eastAsia="Arial" w:hAnsi="Arial"/>
          <w:sz w:val="16"/>
          <w:szCs w:val="16"/>
          <w:color w:val="auto"/>
        </w:rPr>
        <w:t>The Board has determined that each member of the Audit Committee meets Nasdaq’s independence and financial literacy requirements for audit committee members. The Board also has determined that each of Mr. Hombach, Ms. Prange and Ms. Anderson qualifies as an “audit committee financial expert” under the rules of the SEC.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132080</wp:posOffset>
            </wp:positionV>
            <wp:extent cx="69951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6"/>
          <w:szCs w:val="16"/>
          <w:color w:val="342C82"/>
        </w:rPr>
        <w:t>Proposal 1: Election of directors</w:t>
      </w:r>
    </w:p>
    <w:p>
      <w:pPr>
        <w:spacing w:after="0" w:line="159" w:lineRule="exact"/>
        <w:rPr>
          <w:sz w:val="20"/>
          <w:szCs w:val="20"/>
          <w:color w:val="auto"/>
        </w:rPr>
      </w:pPr>
    </w:p>
    <w:p>
      <w:pPr>
        <w:ind w:left="300"/>
        <w:spacing w:after="0"/>
        <w:rPr>
          <w:sz w:val="20"/>
          <w:szCs w:val="20"/>
          <w:color w:val="auto"/>
        </w:rPr>
      </w:pPr>
      <w:r>
        <w:rPr>
          <w:rFonts w:ascii="Arial" w:cs="Arial" w:eastAsia="Arial" w:hAnsi="Arial"/>
          <w:sz w:val="25"/>
          <w:szCs w:val="25"/>
          <w:color w:val="342C82"/>
        </w:rPr>
        <w:t>Compensation and Management Development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80645</wp:posOffset>
            </wp:positionV>
            <wp:extent cx="534924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spacing w:after="0" w:line="269"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auto"/>
        </w:rPr>
        <w:t>Members</w:t>
      </w:r>
    </w:p>
    <w:p>
      <w:pPr>
        <w:ind w:left="540"/>
        <w:spacing w:after="0" w:line="233" w:lineRule="auto"/>
        <w:rPr>
          <w:sz w:val="20"/>
          <w:szCs w:val="20"/>
          <w:color w:val="auto"/>
        </w:rPr>
      </w:pPr>
      <w:r>
        <w:rPr>
          <w:rFonts w:ascii="Arial" w:cs="Arial" w:eastAsia="Arial" w:hAnsi="Arial"/>
          <w:sz w:val="15"/>
          <w:szCs w:val="15"/>
          <w:color w:val="auto"/>
        </w:rPr>
        <w:t> </w:t>
      </w:r>
    </w:p>
    <w:p>
      <w:pPr>
        <w:ind w:left="540"/>
        <w:spacing w:after="0" w:line="225" w:lineRule="auto"/>
        <w:rPr>
          <w:sz w:val="20"/>
          <w:szCs w:val="20"/>
          <w:color w:val="auto"/>
        </w:rPr>
      </w:pPr>
      <w:r>
        <w:rPr>
          <w:rFonts w:ascii="Arial" w:cs="Arial" w:eastAsia="Arial" w:hAnsi="Arial"/>
          <w:sz w:val="15"/>
          <w:szCs w:val="15"/>
          <w:color w:val="auto"/>
        </w:rPr>
        <w:t xml:space="preserve">Karen N. Prange </w:t>
      </w:r>
      <w:r>
        <w:rPr>
          <w:rFonts w:ascii="Arial" w:cs="Arial" w:eastAsia="Arial" w:hAnsi="Arial"/>
          <w:sz w:val="15"/>
          <w:szCs w:val="15"/>
          <w:b w:val="1"/>
          <w:bCs w:val="1"/>
          <w:color w:val="auto"/>
        </w:rPr>
        <w:t>(Chair)</w:t>
      </w:r>
    </w:p>
    <w:p>
      <w:pPr>
        <w:ind w:left="540"/>
        <w:spacing w:after="0" w:line="225" w:lineRule="auto"/>
        <w:rPr>
          <w:sz w:val="20"/>
          <w:szCs w:val="20"/>
          <w:color w:val="auto"/>
        </w:rPr>
      </w:pPr>
      <w:r>
        <w:rPr>
          <w:rFonts w:ascii="Arial" w:cs="Arial" w:eastAsia="Arial" w:hAnsi="Arial"/>
          <w:sz w:val="15"/>
          <w:szCs w:val="15"/>
          <w:color w:val="auto"/>
        </w:rPr>
        <w:t>Bob J. Hombach</w:t>
      </w:r>
    </w:p>
    <w:p>
      <w:pPr>
        <w:ind w:left="540"/>
        <w:spacing w:after="0" w:line="226" w:lineRule="auto"/>
        <w:rPr>
          <w:sz w:val="20"/>
          <w:szCs w:val="20"/>
          <w:color w:val="auto"/>
        </w:rPr>
      </w:pPr>
      <w:r>
        <w:rPr>
          <w:rFonts w:ascii="Arial" w:cs="Arial" w:eastAsia="Arial" w:hAnsi="Arial"/>
          <w:sz w:val="15"/>
          <w:szCs w:val="15"/>
          <w:color w:val="auto"/>
        </w:rPr>
        <w:t>Dr. Milton M. Morris</w:t>
      </w:r>
    </w:p>
    <w:p>
      <w:pPr>
        <w:ind w:left="540"/>
        <w:spacing w:after="0" w:line="225" w:lineRule="auto"/>
        <w:rPr>
          <w:sz w:val="20"/>
          <w:szCs w:val="20"/>
          <w:color w:val="auto"/>
        </w:rPr>
      </w:pPr>
      <w:r>
        <w:rPr>
          <w:rFonts w:ascii="Arial" w:cs="Arial" w:eastAsia="Arial" w:hAnsi="Arial"/>
          <w:sz w:val="15"/>
          <w:szCs w:val="15"/>
          <w:color w:val="auto"/>
        </w:rPr>
        <w:t> </w:t>
      </w:r>
    </w:p>
    <w:p>
      <w:pPr>
        <w:ind w:left="540"/>
        <w:spacing w:after="0" w:line="226" w:lineRule="auto"/>
        <w:rPr>
          <w:sz w:val="20"/>
          <w:szCs w:val="20"/>
          <w:color w:val="auto"/>
        </w:rPr>
      </w:pPr>
      <w:r>
        <w:rPr>
          <w:rFonts w:ascii="Arial" w:cs="Arial" w:eastAsia="Arial" w:hAnsi="Arial"/>
          <w:sz w:val="15"/>
          <w:szCs w:val="15"/>
          <w:b w:val="1"/>
          <w:bCs w:val="1"/>
          <w:color w:val="auto"/>
        </w:rPr>
        <w:t>Meetings in 2024:</w:t>
      </w:r>
    </w:p>
    <w:p>
      <w:pPr>
        <w:ind w:left="540"/>
        <w:spacing w:after="0" w:line="225" w:lineRule="auto"/>
        <w:rPr>
          <w:sz w:val="20"/>
          <w:szCs w:val="20"/>
          <w:color w:val="auto"/>
        </w:rPr>
      </w:pPr>
      <w:r>
        <w:rPr>
          <w:rFonts w:ascii="Arial" w:cs="Arial" w:eastAsia="Arial" w:hAnsi="Arial"/>
          <w:sz w:val="15"/>
          <w:szCs w:val="15"/>
          <w:color w:val="auto"/>
        </w:rPr>
        <w:t> </w:t>
      </w:r>
    </w:p>
    <w:p>
      <w:pPr>
        <w:ind w:left="540"/>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Principal Responsibilities:</w:t>
      </w:r>
    </w:p>
    <w:p>
      <w:pPr>
        <w:spacing w:after="0" w:line="233" w:lineRule="auto"/>
        <w:rPr>
          <w:sz w:val="20"/>
          <w:szCs w:val="20"/>
          <w:color w:val="auto"/>
        </w:rPr>
      </w:pPr>
      <w:r>
        <w:rPr>
          <w:rFonts w:ascii="Arial" w:cs="Arial" w:eastAsia="Arial" w:hAnsi="Arial"/>
          <w:sz w:val="15"/>
          <w:szCs w:val="15"/>
          <w:color w:val="auto"/>
        </w:rPr>
        <w:t> </w:t>
      </w:r>
    </w:p>
    <w:p>
      <w:pPr>
        <w:jc w:val="both"/>
        <w:ind w:left="200" w:right="519" w:hanging="206"/>
        <w:spacing w:after="0" w:line="236" w:lineRule="auto"/>
        <w:rPr>
          <w:sz w:val="20"/>
          <w:szCs w:val="20"/>
          <w:color w:val="auto"/>
        </w:rPr>
      </w:pPr>
      <w:r>
        <w:rPr>
          <w:rFonts w:ascii="Arial" w:cs="Arial" w:eastAsia="Arial" w:hAnsi="Arial"/>
          <w:sz w:val="15"/>
          <w:szCs w:val="15"/>
          <w:color w:val="342C82"/>
        </w:rPr>
        <w:t>•</w:t>
      </w:r>
      <w:r>
        <w:rPr>
          <w:rFonts w:ascii="Arial" w:cs="Arial" w:eastAsia="Arial" w:hAnsi="Arial"/>
          <w:sz w:val="15"/>
          <w:szCs w:val="15"/>
          <w:color w:val="000000"/>
        </w:rPr>
        <w:t xml:space="preserve">  Reviews Embecta’s compensation and benefits practices and policies, recommends</w:t>
      </w:r>
      <w:r>
        <w:rPr>
          <w:rFonts w:ascii="Arial" w:cs="Arial" w:eastAsia="Arial" w:hAnsi="Arial"/>
          <w:sz w:val="15"/>
          <w:szCs w:val="15"/>
          <w:color w:val="342C82"/>
        </w:rPr>
        <w:t xml:space="preserve"> </w:t>
      </w:r>
      <w:r>
        <w:rPr>
          <w:rFonts w:ascii="Arial" w:cs="Arial" w:eastAsia="Arial" w:hAnsi="Arial"/>
          <w:sz w:val="15"/>
          <w:szCs w:val="15"/>
          <w:color w:val="000000"/>
        </w:rPr>
        <w:t>the compensation of Embecta’s CEO to the independent members of the Board and approves the compensation of Embecta’s other executive officers.</w:t>
      </w:r>
    </w:p>
    <w:p>
      <w:pPr>
        <w:spacing w:after="0" w:line="31" w:lineRule="exact"/>
        <w:rPr>
          <w:sz w:val="20"/>
          <w:szCs w:val="20"/>
          <w:color w:val="auto"/>
        </w:rPr>
      </w:pPr>
    </w:p>
    <w:p>
      <w:pPr>
        <w:ind w:left="200" w:right="459" w:hanging="206"/>
        <w:spacing w:after="0" w:line="264" w:lineRule="auto"/>
        <w:rPr>
          <w:sz w:val="20"/>
          <w:szCs w:val="20"/>
          <w:color w:val="auto"/>
        </w:rPr>
      </w:pPr>
      <w:r>
        <w:rPr>
          <w:rFonts w:ascii="Arial" w:cs="Arial" w:eastAsia="Arial" w:hAnsi="Arial"/>
          <w:sz w:val="15"/>
          <w:szCs w:val="15"/>
          <w:color w:val="342C82"/>
        </w:rPr>
        <w:t>•</w:t>
      </w:r>
      <w:r>
        <w:rPr>
          <w:rFonts w:ascii="Arial" w:cs="Arial" w:eastAsia="Arial" w:hAnsi="Arial"/>
          <w:sz w:val="15"/>
          <w:szCs w:val="15"/>
          <w:color w:val="000000"/>
        </w:rPr>
        <w:t xml:space="preserve">  Approves all employment, severance and change in control arrangements applicable</w:t>
      </w:r>
      <w:r>
        <w:rPr>
          <w:rFonts w:ascii="Arial" w:cs="Arial" w:eastAsia="Arial" w:hAnsi="Arial"/>
          <w:sz w:val="15"/>
          <w:szCs w:val="15"/>
          <w:color w:val="342C82"/>
        </w:rPr>
        <w:t xml:space="preserve"> </w:t>
      </w:r>
      <w:r>
        <w:rPr>
          <w:rFonts w:ascii="Arial" w:cs="Arial" w:eastAsia="Arial" w:hAnsi="Arial"/>
          <w:sz w:val="15"/>
          <w:szCs w:val="15"/>
          <w:color w:val="000000"/>
        </w:rPr>
        <w:t>to our executive officers.</w:t>
      </w:r>
    </w:p>
    <w:p>
      <w:pPr>
        <w:spacing w:after="0" w:line="26" w:lineRule="exact"/>
        <w:rPr>
          <w:sz w:val="20"/>
          <w:szCs w:val="20"/>
          <w:color w:val="auto"/>
        </w:rPr>
      </w:pPr>
    </w:p>
    <w:p>
      <w:pPr>
        <w:ind w:left="200" w:right="1219" w:hanging="206"/>
        <w:spacing w:after="0" w:line="264" w:lineRule="auto"/>
        <w:rPr>
          <w:sz w:val="20"/>
          <w:szCs w:val="20"/>
          <w:color w:val="auto"/>
        </w:rPr>
      </w:pPr>
      <w:r>
        <w:rPr>
          <w:rFonts w:ascii="Arial" w:cs="Arial" w:eastAsia="Arial" w:hAnsi="Arial"/>
          <w:sz w:val="15"/>
          <w:szCs w:val="15"/>
          <w:color w:val="342C82"/>
        </w:rPr>
        <w:t>•</w:t>
      </w:r>
      <w:r>
        <w:rPr>
          <w:rFonts w:ascii="Arial" w:cs="Arial" w:eastAsia="Arial" w:hAnsi="Arial"/>
          <w:sz w:val="15"/>
          <w:szCs w:val="15"/>
          <w:color w:val="000000"/>
        </w:rPr>
        <w:t xml:space="preserve">  Serves as the granting and administrative committee for Embecta’s equity</w:t>
      </w:r>
      <w:r>
        <w:rPr>
          <w:rFonts w:ascii="Arial" w:cs="Arial" w:eastAsia="Arial" w:hAnsi="Arial"/>
          <w:sz w:val="15"/>
          <w:szCs w:val="15"/>
          <w:color w:val="342C82"/>
        </w:rPr>
        <w:t xml:space="preserve"> </w:t>
      </w:r>
      <w:r>
        <w:rPr>
          <w:rFonts w:ascii="Arial" w:cs="Arial" w:eastAsia="Arial" w:hAnsi="Arial"/>
          <w:sz w:val="15"/>
          <w:szCs w:val="15"/>
          <w:color w:val="000000"/>
        </w:rPr>
        <w:t>compensation plans.</w:t>
      </w:r>
    </w:p>
    <w:p>
      <w:pPr>
        <w:spacing w:after="0" w:line="12" w:lineRule="exact"/>
        <w:rPr>
          <w:sz w:val="20"/>
          <w:szCs w:val="20"/>
          <w:color w:val="auto"/>
        </w:rPr>
      </w:pPr>
    </w:p>
    <w:p>
      <w:pPr>
        <w:ind w:left="200" w:right="699" w:hanging="206"/>
        <w:spacing w:after="0" w:line="244" w:lineRule="auto"/>
        <w:rPr>
          <w:sz w:val="20"/>
          <w:szCs w:val="20"/>
          <w:color w:val="auto"/>
        </w:rPr>
      </w:pPr>
      <w:r>
        <w:rPr>
          <w:rFonts w:ascii="Arial" w:cs="Arial" w:eastAsia="Arial" w:hAnsi="Arial"/>
          <w:sz w:val="15"/>
          <w:szCs w:val="15"/>
          <w:color w:val="342C82"/>
        </w:rPr>
        <w:t>•</w:t>
      </w:r>
      <w:r>
        <w:rPr>
          <w:rFonts w:ascii="Arial" w:cs="Arial" w:eastAsia="Arial" w:hAnsi="Arial"/>
          <w:sz w:val="15"/>
          <w:szCs w:val="15"/>
          <w:color w:val="000000"/>
        </w:rPr>
        <w:t xml:space="preserve">  Oversees Embecta’s policies and strategies relating to senior management</w:t>
      </w:r>
      <w:r>
        <w:rPr>
          <w:rFonts w:ascii="Arial" w:cs="Arial" w:eastAsia="Arial" w:hAnsi="Arial"/>
          <w:sz w:val="15"/>
          <w:szCs w:val="15"/>
          <w:color w:val="342C82"/>
        </w:rPr>
        <w:t xml:space="preserve"> </w:t>
      </w:r>
      <w:r>
        <w:rPr>
          <w:rFonts w:ascii="Arial" w:cs="Arial" w:eastAsia="Arial" w:hAnsi="Arial"/>
          <w:sz w:val="15"/>
          <w:szCs w:val="15"/>
          <w:color w:val="000000"/>
        </w:rPr>
        <w:t>succession, pay equity, inclusion and diversity and human capital management in general.</w:t>
      </w:r>
    </w:p>
    <w:p>
      <w:pPr>
        <w:spacing w:after="0" w:line="27" w:lineRule="exact"/>
        <w:rPr>
          <w:sz w:val="20"/>
          <w:szCs w:val="20"/>
          <w:color w:val="auto"/>
        </w:rPr>
      </w:pPr>
    </w:p>
    <w:p>
      <w:pPr>
        <w:ind w:left="200" w:right="459" w:hanging="206"/>
        <w:spacing w:after="0" w:line="264" w:lineRule="auto"/>
        <w:rPr>
          <w:sz w:val="20"/>
          <w:szCs w:val="20"/>
          <w:color w:val="auto"/>
        </w:rPr>
      </w:pPr>
      <w:r>
        <w:rPr>
          <w:rFonts w:ascii="Arial" w:cs="Arial" w:eastAsia="Arial" w:hAnsi="Arial"/>
          <w:sz w:val="15"/>
          <w:szCs w:val="15"/>
          <w:color w:val="342C82"/>
        </w:rPr>
        <w:t>•</w:t>
      </w:r>
      <w:r>
        <w:rPr>
          <w:rFonts w:ascii="Arial" w:cs="Arial" w:eastAsia="Arial" w:hAnsi="Arial"/>
          <w:sz w:val="15"/>
          <w:szCs w:val="15"/>
          <w:color w:val="000000"/>
        </w:rPr>
        <w:t xml:space="preserve">  Reviews initiatives designed to accelerate development and readiness of current and</w:t>
      </w:r>
      <w:r>
        <w:rPr>
          <w:rFonts w:ascii="Arial" w:cs="Arial" w:eastAsia="Arial" w:hAnsi="Arial"/>
          <w:sz w:val="15"/>
          <w:szCs w:val="15"/>
          <w:color w:val="342C82"/>
        </w:rPr>
        <w:t xml:space="preserve"> </w:t>
      </w:r>
      <w:r>
        <w:rPr>
          <w:rFonts w:ascii="Arial" w:cs="Arial" w:eastAsia="Arial" w:hAnsi="Arial"/>
          <w:sz w:val="15"/>
          <w:szCs w:val="15"/>
          <w:color w:val="000000"/>
        </w:rPr>
        <w:t>future senior management.</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342C82"/>
        </w:rPr>
        <w:t>•</w:t>
      </w:r>
      <w:r>
        <w:rPr>
          <w:rFonts w:ascii="Arial" w:cs="Arial" w:eastAsia="Arial" w:hAnsi="Arial"/>
          <w:sz w:val="15"/>
          <w:szCs w:val="15"/>
          <w:color w:val="000000"/>
        </w:rPr>
        <w:t xml:space="preserve">   Oversees certain other Embecta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-1477645</wp:posOffset>
            </wp:positionH>
            <wp:positionV relativeFrom="paragraph">
              <wp:posOffset>107315</wp:posOffset>
            </wp:positionV>
            <wp:extent cx="534924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00" w:space="420"/>
            <w:col w:w="6399"/>
          </w:cols>
          <w:pgMar w:left="1440" w:top="114" w:right="1440" w:bottom="1440" w:gutter="0" w:footer="0" w:header="0"/>
          <w:type w:val="continuous"/>
        </w:sectPr>
      </w:pPr>
    </w:p>
    <w:p>
      <w:pPr>
        <w:spacing w:after="0" w:line="184" w:lineRule="exact"/>
        <w:rPr>
          <w:sz w:val="20"/>
          <w:szCs w:val="20"/>
          <w:color w:val="auto"/>
        </w:rPr>
      </w:pPr>
    </w:p>
    <w:p>
      <w:pPr>
        <w:ind w:left="300" w:right="319"/>
        <w:spacing w:after="0" w:line="266" w:lineRule="auto"/>
        <w:rPr>
          <w:sz w:val="20"/>
          <w:szCs w:val="20"/>
          <w:color w:val="auto"/>
        </w:rPr>
      </w:pPr>
      <w:r>
        <w:rPr>
          <w:rFonts w:ascii="Arial" w:cs="Arial" w:eastAsia="Arial" w:hAnsi="Arial"/>
          <w:sz w:val="16"/>
          <w:szCs w:val="16"/>
          <w:color w:val="auto"/>
        </w:rPr>
        <w:t>The Board has determined that each member of the Compensation Committee meets Nasdaq’s independence requirements for compensation committee members. Each member also qualifies as a “non-employee director” under Section 16 of the Securities Exchange Act of 1934, as amended (the “Exchange Act”).</w:t>
      </w:r>
    </w:p>
    <w:p>
      <w:pPr>
        <w:spacing w:after="0" w:line="145" w:lineRule="exact"/>
        <w:rPr>
          <w:sz w:val="20"/>
          <w:szCs w:val="20"/>
          <w:color w:val="auto"/>
        </w:rPr>
      </w:pPr>
    </w:p>
    <w:p>
      <w:pPr>
        <w:ind w:left="300"/>
        <w:spacing w:after="0"/>
        <w:rPr>
          <w:sz w:val="20"/>
          <w:szCs w:val="20"/>
          <w:color w:val="auto"/>
        </w:rPr>
      </w:pPr>
      <w:r>
        <w:rPr>
          <w:rFonts w:ascii="Arial" w:cs="Arial" w:eastAsia="Arial" w:hAnsi="Arial"/>
          <w:sz w:val="22"/>
          <w:szCs w:val="22"/>
          <w:color w:val="auto"/>
        </w:rPr>
        <w:t>Process for determining executive compensation</w:t>
      </w:r>
    </w:p>
    <w:p>
      <w:pPr>
        <w:spacing w:after="0" w:line="83" w:lineRule="exact"/>
        <w:rPr>
          <w:sz w:val="20"/>
          <w:szCs w:val="20"/>
          <w:color w:val="auto"/>
        </w:rPr>
      </w:pPr>
    </w:p>
    <w:p>
      <w:pPr>
        <w:ind w:left="300" w:right="339"/>
        <w:spacing w:after="0" w:line="254" w:lineRule="auto"/>
        <w:rPr>
          <w:sz w:val="20"/>
          <w:szCs w:val="20"/>
          <w:color w:val="auto"/>
        </w:rPr>
      </w:pPr>
      <w:r>
        <w:rPr>
          <w:rFonts w:ascii="Arial" w:cs="Arial" w:eastAsia="Arial" w:hAnsi="Arial"/>
          <w:sz w:val="16"/>
          <w:szCs w:val="16"/>
          <w:color w:val="auto"/>
        </w:rPr>
        <w:t xml:space="preserve">The Compensation Committee oversees the compensation program for the executive officers named in the Summary Compensation Table on page </w:t>
      </w:r>
      <w:r>
        <w:rPr>
          <w:rFonts w:ascii="Arial" w:cs="Arial" w:eastAsia="Arial" w:hAnsi="Arial"/>
          <w:sz w:val="16"/>
          <w:szCs w:val="16"/>
          <w:u w:val="single" w:color="auto"/>
          <w:color w:val="0000EE"/>
        </w:rPr>
        <w:t>50</w:t>
      </w:r>
      <w:r>
        <w:rPr>
          <w:rFonts w:ascii="Arial" w:cs="Arial" w:eastAsia="Arial" w:hAnsi="Arial"/>
          <w:sz w:val="16"/>
          <w:szCs w:val="16"/>
          <w:color w:val="auto"/>
        </w:rPr>
        <w:t xml:space="preserve"> and for Embecta’s other executive officers. The Compensation Committee recommends compensation actions regarding the CEO to the other independent directors of the Board for approval and has the authority to take compensation actions with respect to Embecta’s other executive officers, as discussed below. The Compensation Committee may not delegate these responsibilities to another Committee or members of management.</w:t>
      </w:r>
    </w:p>
    <w:p>
      <w:pPr>
        <w:spacing w:after="0" w:line="20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Role of management</w:t>
      </w:r>
    </w:p>
    <w:p>
      <w:pPr>
        <w:spacing w:after="0" w:line="68" w:lineRule="exact"/>
        <w:rPr>
          <w:sz w:val="20"/>
          <w:szCs w:val="20"/>
          <w:color w:val="auto"/>
        </w:rPr>
      </w:pPr>
    </w:p>
    <w:p>
      <w:pPr>
        <w:ind w:left="300" w:right="339"/>
        <w:spacing w:after="0" w:line="251" w:lineRule="auto"/>
        <w:rPr>
          <w:sz w:val="20"/>
          <w:szCs w:val="20"/>
          <w:color w:val="auto"/>
        </w:rPr>
      </w:pPr>
      <w:r>
        <w:rPr>
          <w:rFonts w:ascii="Arial" w:cs="Arial" w:eastAsia="Arial" w:hAnsi="Arial"/>
          <w:sz w:val="16"/>
          <w:szCs w:val="16"/>
          <w:color w:val="auto"/>
        </w:rPr>
        <w:t>The Compensation Committee’s meetings are typically attended by Embecta’s CEO, its Chief Human Resources Officer and other Embecta employees who support the Compensation Committee in fulfilling its responsibilities. The Compensation Committee considers management’s views on compensation matters, including the performance metrics and targets for Embecta’s performance-based compensation. Management also provides information (which is reviewed by our Internal Audit department and the Audit Committee) to assist the Compensation Committee in determining the extent to which performance targets have been achieved. This includes any recommended adjustments to Embecta’s operating results when assessing Embecta’s performance in connection with performance-based incentives. The CEO and Chief Human Resources Officer work with the Compensation Committee chair in establishing meeting agendas.</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Role of the independent consultant</w:t>
      </w:r>
    </w:p>
    <w:p>
      <w:pPr>
        <w:spacing w:after="0" w:line="68" w:lineRule="exact"/>
        <w:rPr>
          <w:sz w:val="20"/>
          <w:szCs w:val="20"/>
          <w:color w:val="auto"/>
        </w:rPr>
      </w:pPr>
    </w:p>
    <w:p>
      <w:pPr>
        <w:ind w:left="300" w:right="319"/>
        <w:spacing w:after="0" w:line="253" w:lineRule="auto"/>
        <w:rPr>
          <w:sz w:val="20"/>
          <w:szCs w:val="20"/>
          <w:color w:val="auto"/>
        </w:rPr>
      </w:pPr>
      <w:r>
        <w:rPr>
          <w:rFonts w:ascii="Arial" w:cs="Arial" w:eastAsia="Arial" w:hAnsi="Arial"/>
          <w:sz w:val="16"/>
          <w:szCs w:val="16"/>
          <w:color w:val="auto"/>
        </w:rPr>
        <w:t>The Compensation Committee is assisted in fulfilling its responsibilities by its independent consultant, Korn Ferry. Korn Ferry is engaged by, and reports directly to, the Compensation Committee. The Compensation Committee evaluated Korn Ferry’s independence under the procedures set forth in the Nasdaq listing requirements and has not identified any conflict of interest on the part of Korn Ferry or any factor that would otherwise impair the independence of Korn Ferry relating to the services performed by Korn Ferry for the Compensation Committee. Since the separation from BD (the “Separation”) and during fiscal year 2024, no other consultant was used by the Compensation Committee with respect to compensation of Embecta’s executive officers.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132080</wp:posOffset>
            </wp:positionV>
            <wp:extent cx="69951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6420"/>
        <w:spacing w:after="0"/>
        <w:rPr>
          <w:sz w:val="20"/>
          <w:szCs w:val="20"/>
          <w:color w:val="auto"/>
        </w:rPr>
      </w:pPr>
      <w:r>
        <w:rPr>
          <w:rFonts w:ascii="Arial" w:cs="Arial" w:eastAsia="Arial" w:hAnsi="Arial"/>
          <w:sz w:val="16"/>
          <w:szCs w:val="16"/>
          <w:color w:val="342C82"/>
        </w:rPr>
        <w:t>Proposal 1: Election of directors</w:t>
      </w:r>
    </w:p>
    <w:p>
      <w:pPr>
        <w:spacing w:after="0" w:line="113" w:lineRule="exact"/>
        <w:rPr>
          <w:sz w:val="20"/>
          <w:szCs w:val="20"/>
          <w:color w:val="auto"/>
        </w:rPr>
      </w:pPr>
    </w:p>
    <w:p>
      <w:pPr>
        <w:ind w:left="300" w:right="439"/>
        <w:spacing w:after="0" w:line="256" w:lineRule="auto"/>
        <w:rPr>
          <w:sz w:val="20"/>
          <w:szCs w:val="20"/>
          <w:color w:val="auto"/>
        </w:rPr>
      </w:pPr>
      <w:r>
        <w:rPr>
          <w:rFonts w:ascii="Arial" w:cs="Arial" w:eastAsia="Arial" w:hAnsi="Arial"/>
          <w:sz w:val="16"/>
          <w:szCs w:val="16"/>
          <w:color w:val="auto"/>
        </w:rPr>
        <w:t>Commencing in fiscal year 2022, the Compensation Committee engaged Korn Ferry to advise management and the Compensation Committee with respect to the Company’s compensation programs, and to undertake various related studies and projects. During fiscal year 2024, the Compensation Committee evaluated Korn Ferry’s independence pursuant to SEC and Nasdaq requirements and determined that no conflicts of interest arose from the work to be performed by Korn Ferry.</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In its role as the Compensation Committee’s independent consultant, Korn Ferry:</w:t>
      </w:r>
    </w:p>
    <w:p>
      <w:pPr>
        <w:spacing w:after="0" w:line="59" w:lineRule="exact"/>
        <w:rPr>
          <w:sz w:val="20"/>
          <w:szCs w:val="20"/>
          <w:color w:val="auto"/>
        </w:rPr>
      </w:pPr>
    </w:p>
    <w:p>
      <w:pPr>
        <w:ind w:left="860" w:hanging="208"/>
        <w:spacing w:after="0"/>
        <w:tabs>
          <w:tab w:leader="none" w:pos="860" w:val="left"/>
        </w:tabs>
        <w:numPr>
          <w:ilvl w:val="0"/>
          <w:numId w:val="10"/>
        </w:numPr>
        <w:rPr>
          <w:rFonts w:ascii="Arial" w:cs="Arial" w:eastAsia="Arial" w:hAnsi="Arial"/>
          <w:sz w:val="16"/>
          <w:szCs w:val="16"/>
          <w:color w:val="342C82"/>
        </w:rPr>
      </w:pPr>
      <w:r>
        <w:rPr>
          <w:rFonts w:ascii="Arial" w:cs="Arial" w:eastAsia="Arial" w:hAnsi="Arial"/>
          <w:sz w:val="16"/>
          <w:szCs w:val="16"/>
          <w:color w:val="auto"/>
        </w:rPr>
        <w:t>reviewed materials prepared for the Compensation Committee by management,</w:t>
      </w:r>
    </w:p>
    <w:p>
      <w:pPr>
        <w:spacing w:after="0" w:line="59" w:lineRule="exact"/>
        <w:rPr>
          <w:rFonts w:ascii="Arial" w:cs="Arial" w:eastAsia="Arial" w:hAnsi="Arial"/>
          <w:sz w:val="16"/>
          <w:szCs w:val="16"/>
          <w:color w:val="342C82"/>
        </w:rPr>
      </w:pPr>
    </w:p>
    <w:p>
      <w:pPr>
        <w:ind w:left="860" w:hanging="208"/>
        <w:spacing w:after="0"/>
        <w:tabs>
          <w:tab w:leader="none" w:pos="860" w:val="left"/>
        </w:tabs>
        <w:numPr>
          <w:ilvl w:val="0"/>
          <w:numId w:val="10"/>
        </w:numPr>
        <w:rPr>
          <w:rFonts w:ascii="Arial" w:cs="Arial" w:eastAsia="Arial" w:hAnsi="Arial"/>
          <w:sz w:val="16"/>
          <w:szCs w:val="16"/>
          <w:color w:val="342C82"/>
        </w:rPr>
      </w:pPr>
      <w:r>
        <w:rPr>
          <w:rFonts w:ascii="Arial" w:cs="Arial" w:eastAsia="Arial" w:hAnsi="Arial"/>
          <w:sz w:val="16"/>
          <w:szCs w:val="16"/>
          <w:color w:val="auto"/>
        </w:rPr>
        <w:t>provided market comparison data and other materials requested by the Compensation Committee,</w:t>
      </w:r>
    </w:p>
    <w:p>
      <w:pPr>
        <w:spacing w:after="0" w:line="59" w:lineRule="exact"/>
        <w:rPr>
          <w:rFonts w:ascii="Arial" w:cs="Arial" w:eastAsia="Arial" w:hAnsi="Arial"/>
          <w:sz w:val="16"/>
          <w:szCs w:val="16"/>
          <w:color w:val="342C82"/>
        </w:rPr>
      </w:pPr>
    </w:p>
    <w:p>
      <w:pPr>
        <w:ind w:left="860" w:right="559" w:hanging="208"/>
        <w:spacing w:after="0" w:line="266" w:lineRule="auto"/>
        <w:tabs>
          <w:tab w:leader="none" w:pos="860" w:val="left"/>
        </w:tabs>
        <w:numPr>
          <w:ilvl w:val="0"/>
          <w:numId w:val="10"/>
        </w:numPr>
        <w:rPr>
          <w:rFonts w:ascii="Arial" w:cs="Arial" w:eastAsia="Arial" w:hAnsi="Arial"/>
          <w:sz w:val="16"/>
          <w:szCs w:val="16"/>
          <w:color w:val="342C82"/>
        </w:rPr>
      </w:pPr>
      <w:r>
        <w:rPr>
          <w:rFonts w:ascii="Arial" w:cs="Arial" w:eastAsia="Arial" w:hAnsi="Arial"/>
          <w:sz w:val="16"/>
          <w:szCs w:val="16"/>
          <w:color w:val="auto"/>
        </w:rPr>
        <w:t>assisted the Compensation Committee in the design and implementation of Embecta’s compensation program, including the selection of the key elements of the program, setting of targeted payments for each element, and establishment of performance targets,</w:t>
      </w:r>
    </w:p>
    <w:p>
      <w:pPr>
        <w:spacing w:after="0" w:line="9" w:lineRule="exact"/>
        <w:rPr>
          <w:rFonts w:ascii="Arial" w:cs="Arial" w:eastAsia="Arial" w:hAnsi="Arial"/>
          <w:sz w:val="16"/>
          <w:szCs w:val="16"/>
          <w:color w:val="342C82"/>
        </w:rPr>
      </w:pPr>
    </w:p>
    <w:p>
      <w:pPr>
        <w:ind w:left="860" w:right="339" w:hanging="208"/>
        <w:spacing w:after="0" w:line="281" w:lineRule="auto"/>
        <w:tabs>
          <w:tab w:leader="none" w:pos="860" w:val="left"/>
        </w:tabs>
        <w:numPr>
          <w:ilvl w:val="0"/>
          <w:numId w:val="10"/>
        </w:numPr>
        <w:rPr>
          <w:rFonts w:ascii="Arial" w:cs="Arial" w:eastAsia="Arial" w:hAnsi="Arial"/>
          <w:sz w:val="16"/>
          <w:szCs w:val="16"/>
          <w:color w:val="342C82"/>
        </w:rPr>
      </w:pPr>
      <w:r>
        <w:rPr>
          <w:rFonts w:ascii="Arial" w:cs="Arial" w:eastAsia="Arial" w:hAnsi="Arial"/>
          <w:sz w:val="16"/>
          <w:szCs w:val="16"/>
          <w:color w:val="auto"/>
        </w:rPr>
        <w:t>assisted the Compensation Committee in conducting a risk assessment of Embecta’s compensation program (in particular, our performance-based programs),</w:t>
      </w:r>
    </w:p>
    <w:p>
      <w:pPr>
        <w:spacing w:after="0" w:line="1" w:lineRule="exact"/>
        <w:rPr>
          <w:rFonts w:ascii="Arial" w:cs="Arial" w:eastAsia="Arial" w:hAnsi="Arial"/>
          <w:sz w:val="16"/>
          <w:szCs w:val="16"/>
          <w:color w:val="342C82"/>
        </w:rPr>
      </w:pPr>
    </w:p>
    <w:p>
      <w:pPr>
        <w:ind w:left="860" w:hanging="208"/>
        <w:spacing w:after="0"/>
        <w:tabs>
          <w:tab w:leader="none" w:pos="860" w:val="left"/>
        </w:tabs>
        <w:numPr>
          <w:ilvl w:val="0"/>
          <w:numId w:val="10"/>
        </w:numPr>
        <w:rPr>
          <w:rFonts w:ascii="Arial" w:cs="Arial" w:eastAsia="Arial" w:hAnsi="Arial"/>
          <w:sz w:val="16"/>
          <w:szCs w:val="16"/>
          <w:color w:val="342C82"/>
        </w:rPr>
      </w:pPr>
      <w:r>
        <w:rPr>
          <w:rFonts w:ascii="Arial" w:cs="Arial" w:eastAsia="Arial" w:hAnsi="Arial"/>
          <w:sz w:val="16"/>
          <w:szCs w:val="16"/>
          <w:color w:val="auto"/>
        </w:rPr>
        <w:t>made recommendations regarding the compensation of Embecta’s CEO,</w:t>
      </w:r>
    </w:p>
    <w:p>
      <w:pPr>
        <w:spacing w:after="0" w:line="59" w:lineRule="exact"/>
        <w:rPr>
          <w:rFonts w:ascii="Arial" w:cs="Arial" w:eastAsia="Arial" w:hAnsi="Arial"/>
          <w:sz w:val="16"/>
          <w:szCs w:val="16"/>
          <w:color w:val="342C82"/>
        </w:rPr>
      </w:pPr>
    </w:p>
    <w:p>
      <w:pPr>
        <w:ind w:left="860" w:hanging="208"/>
        <w:spacing w:after="0"/>
        <w:tabs>
          <w:tab w:leader="none" w:pos="860" w:val="left"/>
        </w:tabs>
        <w:numPr>
          <w:ilvl w:val="0"/>
          <w:numId w:val="10"/>
        </w:numPr>
        <w:rPr>
          <w:rFonts w:ascii="Arial" w:cs="Arial" w:eastAsia="Arial" w:hAnsi="Arial"/>
          <w:sz w:val="16"/>
          <w:szCs w:val="16"/>
          <w:color w:val="342C82"/>
        </w:rPr>
      </w:pPr>
      <w:r>
        <w:rPr>
          <w:rFonts w:ascii="Arial" w:cs="Arial" w:eastAsia="Arial" w:hAnsi="Arial"/>
          <w:sz w:val="16"/>
          <w:szCs w:val="16"/>
          <w:color w:val="auto"/>
        </w:rPr>
        <w:t>reviewed and advised on compensation disclosures and proxy stockholder considerations,</w:t>
      </w:r>
    </w:p>
    <w:p>
      <w:pPr>
        <w:spacing w:after="0" w:line="59" w:lineRule="exact"/>
        <w:rPr>
          <w:rFonts w:ascii="Arial" w:cs="Arial" w:eastAsia="Arial" w:hAnsi="Arial"/>
          <w:sz w:val="16"/>
          <w:szCs w:val="16"/>
          <w:color w:val="342C82"/>
        </w:rPr>
      </w:pPr>
    </w:p>
    <w:p>
      <w:pPr>
        <w:ind w:left="860" w:hanging="208"/>
        <w:spacing w:after="0"/>
        <w:tabs>
          <w:tab w:leader="none" w:pos="860" w:val="left"/>
        </w:tabs>
        <w:numPr>
          <w:ilvl w:val="0"/>
          <w:numId w:val="10"/>
        </w:numPr>
        <w:rPr>
          <w:rFonts w:ascii="Arial" w:cs="Arial" w:eastAsia="Arial" w:hAnsi="Arial"/>
          <w:sz w:val="16"/>
          <w:szCs w:val="16"/>
          <w:color w:val="342C82"/>
        </w:rPr>
      </w:pPr>
      <w:r>
        <w:rPr>
          <w:rFonts w:ascii="Arial" w:cs="Arial" w:eastAsia="Arial" w:hAnsi="Arial"/>
          <w:sz w:val="16"/>
          <w:szCs w:val="16"/>
          <w:color w:val="auto"/>
        </w:rPr>
        <w:t>identified and recommended to the Compensation Committee a compensation benchmarking peer group,</w:t>
      </w:r>
    </w:p>
    <w:p>
      <w:pPr>
        <w:spacing w:after="0" w:line="59" w:lineRule="exact"/>
        <w:rPr>
          <w:rFonts w:ascii="Arial" w:cs="Arial" w:eastAsia="Arial" w:hAnsi="Arial"/>
          <w:sz w:val="16"/>
          <w:szCs w:val="16"/>
          <w:color w:val="342C82"/>
        </w:rPr>
      </w:pPr>
    </w:p>
    <w:p>
      <w:pPr>
        <w:jc w:val="both"/>
        <w:ind w:left="860" w:right="859" w:hanging="208"/>
        <w:spacing w:after="0" w:line="266" w:lineRule="auto"/>
        <w:tabs>
          <w:tab w:leader="none" w:pos="860" w:val="left"/>
        </w:tabs>
        <w:numPr>
          <w:ilvl w:val="0"/>
          <w:numId w:val="10"/>
        </w:numPr>
        <w:rPr>
          <w:rFonts w:ascii="Arial" w:cs="Arial" w:eastAsia="Arial" w:hAnsi="Arial"/>
          <w:sz w:val="16"/>
          <w:szCs w:val="16"/>
          <w:color w:val="342C82"/>
        </w:rPr>
      </w:pPr>
      <w:r>
        <w:rPr>
          <w:rFonts w:ascii="Arial" w:cs="Arial" w:eastAsia="Arial" w:hAnsi="Arial"/>
          <w:sz w:val="16"/>
          <w:szCs w:val="16"/>
          <w:color w:val="auto"/>
        </w:rPr>
        <w:t>conducted an annual review of the compensation practices of select peer companies, and advised the Compensation Committee with respect to the competitiveness of Embecta’s compensation program in comparison to industry practices, and identified any trends in executive compensation, and</w:t>
      </w:r>
    </w:p>
    <w:p>
      <w:pPr>
        <w:spacing w:after="0" w:line="9" w:lineRule="exact"/>
        <w:rPr>
          <w:rFonts w:ascii="Arial" w:cs="Arial" w:eastAsia="Arial" w:hAnsi="Arial"/>
          <w:sz w:val="16"/>
          <w:szCs w:val="16"/>
          <w:color w:val="342C82"/>
        </w:rPr>
      </w:pPr>
    </w:p>
    <w:p>
      <w:pPr>
        <w:ind w:left="860" w:hanging="208"/>
        <w:spacing w:after="0"/>
        <w:tabs>
          <w:tab w:leader="none" w:pos="860" w:val="left"/>
        </w:tabs>
        <w:numPr>
          <w:ilvl w:val="0"/>
          <w:numId w:val="10"/>
        </w:numPr>
        <w:rPr>
          <w:rFonts w:ascii="Arial" w:cs="Arial" w:eastAsia="Arial" w:hAnsi="Arial"/>
          <w:sz w:val="16"/>
          <w:szCs w:val="16"/>
          <w:color w:val="342C82"/>
        </w:rPr>
      </w:pPr>
      <w:r>
        <w:rPr>
          <w:rFonts w:ascii="Arial" w:cs="Arial" w:eastAsia="Arial" w:hAnsi="Arial"/>
          <w:sz w:val="16"/>
          <w:szCs w:val="16"/>
          <w:color w:val="auto"/>
        </w:rPr>
        <w:t>attended Compensation Committee meetings.</w:t>
      </w:r>
    </w:p>
    <w:p>
      <w:pPr>
        <w:spacing w:after="0" w:line="24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Setting compensation</w:t>
      </w:r>
    </w:p>
    <w:p>
      <w:pPr>
        <w:spacing w:after="0" w:line="68" w:lineRule="exact"/>
        <w:rPr>
          <w:sz w:val="20"/>
          <w:szCs w:val="20"/>
          <w:color w:val="auto"/>
        </w:rPr>
      </w:pPr>
    </w:p>
    <w:p>
      <w:pPr>
        <w:ind w:left="300" w:right="379"/>
        <w:spacing w:after="0" w:line="256" w:lineRule="auto"/>
        <w:rPr>
          <w:sz w:val="20"/>
          <w:szCs w:val="20"/>
          <w:color w:val="auto"/>
        </w:rPr>
      </w:pPr>
      <w:r>
        <w:rPr>
          <w:rFonts w:ascii="Arial" w:cs="Arial" w:eastAsia="Arial" w:hAnsi="Arial"/>
          <w:sz w:val="16"/>
          <w:szCs w:val="16"/>
          <w:color w:val="auto"/>
        </w:rPr>
        <w:t>On an annual basis, the independent directors conduct a review of the CEO’s performance. The independent directors then meet in executive session to set the compensation of the CEO after considering the results of its review, market comparison data and the recommendations of the Compensation Committee. The CEO does not play a role in determining or recommending CEO compensation, and is not present during voting or deliberations on his compensation.</w:t>
      </w:r>
    </w:p>
    <w:p>
      <w:pPr>
        <w:spacing w:after="0" w:line="126" w:lineRule="exact"/>
        <w:rPr>
          <w:sz w:val="20"/>
          <w:szCs w:val="20"/>
          <w:color w:val="auto"/>
        </w:rPr>
      </w:pPr>
    </w:p>
    <w:p>
      <w:pPr>
        <w:ind w:left="300" w:right="319"/>
        <w:spacing w:after="0" w:line="255" w:lineRule="auto"/>
        <w:rPr>
          <w:sz w:val="20"/>
          <w:szCs w:val="20"/>
          <w:color w:val="auto"/>
        </w:rPr>
      </w:pPr>
      <w:r>
        <w:rPr>
          <w:rFonts w:ascii="Arial" w:cs="Arial" w:eastAsia="Arial" w:hAnsi="Arial"/>
          <w:sz w:val="16"/>
          <w:szCs w:val="16"/>
          <w:color w:val="auto"/>
        </w:rPr>
        <w:t>The Compensation Committee is responsible for determining the compensation of Embecta’s other executive officers. The CEO reviews the performance of the other executive officers with the Compensation Committee and makes compensation recommendations for its consideration. The Compensation Committee determines the compensation for these executives, in consultation with Korn Ferry, after considering the CEO’s recommendations, executive performance and market comparison data regarding compensation levels for comparable positions at peer companies.</w:t>
      </w:r>
    </w:p>
    <w:p>
      <w:pPr>
        <w:spacing w:after="0" w:line="319" w:lineRule="exact"/>
        <w:rPr>
          <w:sz w:val="20"/>
          <w:szCs w:val="20"/>
          <w:color w:val="auto"/>
        </w:rPr>
      </w:pPr>
    </w:p>
    <w:p>
      <w:pPr>
        <w:ind w:left="300" w:right="719"/>
        <w:spacing w:after="0" w:line="286" w:lineRule="auto"/>
        <w:rPr>
          <w:sz w:val="20"/>
          <w:szCs w:val="20"/>
          <w:color w:val="auto"/>
        </w:rPr>
      </w:pPr>
      <w:r>
        <w:rPr>
          <w:rFonts w:ascii="Arial" w:cs="Arial" w:eastAsia="Arial" w:hAnsi="Arial"/>
          <w:sz w:val="16"/>
          <w:szCs w:val="16"/>
          <w:color w:val="auto"/>
        </w:rPr>
        <w:t>The Board has delegated responsibility for formulating recommendations regarding non-employee director compensation to the Governance Committee, as discussed in “Non-management director compensation” below.</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123825</wp:posOffset>
            </wp:positionV>
            <wp:extent cx="699516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6"/>
          <w:szCs w:val="16"/>
          <w:color w:val="342C82"/>
        </w:rPr>
        <w:t>Proposal 1: Election of directors</w:t>
      </w:r>
    </w:p>
    <w:p>
      <w:pPr>
        <w:spacing w:after="0" w:line="159" w:lineRule="exact"/>
        <w:rPr>
          <w:sz w:val="20"/>
          <w:szCs w:val="20"/>
          <w:color w:val="auto"/>
        </w:rPr>
      </w:pPr>
    </w:p>
    <w:p>
      <w:pPr>
        <w:ind w:left="300"/>
        <w:spacing w:after="0"/>
        <w:rPr>
          <w:sz w:val="20"/>
          <w:szCs w:val="20"/>
          <w:color w:val="auto"/>
        </w:rPr>
      </w:pPr>
      <w:r>
        <w:rPr>
          <w:rFonts w:ascii="Arial" w:cs="Arial" w:eastAsia="Arial" w:hAnsi="Arial"/>
          <w:sz w:val="25"/>
          <w:szCs w:val="25"/>
          <w:color w:val="342C82"/>
        </w:rPr>
        <w:t>Corporate Governance and Nominating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80645</wp:posOffset>
            </wp:positionV>
            <wp:extent cx="534924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spacing w:after="0" w:line="269"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auto"/>
        </w:rPr>
        <w:t>Members</w:t>
      </w:r>
    </w:p>
    <w:p>
      <w:pPr>
        <w:ind w:left="540"/>
        <w:spacing w:after="0" w:line="233" w:lineRule="auto"/>
        <w:rPr>
          <w:sz w:val="20"/>
          <w:szCs w:val="20"/>
          <w:color w:val="auto"/>
        </w:rPr>
      </w:pPr>
      <w:r>
        <w:rPr>
          <w:rFonts w:ascii="Arial" w:cs="Arial" w:eastAsia="Arial" w:hAnsi="Arial"/>
          <w:sz w:val="15"/>
          <w:szCs w:val="15"/>
          <w:color w:val="auto"/>
        </w:rPr>
        <w:t> </w:t>
      </w:r>
    </w:p>
    <w:p>
      <w:pPr>
        <w:ind w:left="540"/>
        <w:spacing w:after="0"/>
        <w:rPr>
          <w:sz w:val="20"/>
          <w:szCs w:val="20"/>
          <w:color w:val="auto"/>
        </w:rPr>
      </w:pPr>
      <w:r>
        <w:rPr>
          <w:rFonts w:ascii="Arial" w:cs="Arial" w:eastAsia="Arial" w:hAnsi="Arial"/>
          <w:sz w:val="15"/>
          <w:szCs w:val="15"/>
          <w:color w:val="auto"/>
        </w:rPr>
        <w:t xml:space="preserve">Dr. Claire Pomeroy </w:t>
      </w:r>
      <w:r>
        <w:rPr>
          <w:rFonts w:ascii="Arial" w:cs="Arial" w:eastAsia="Arial" w:hAnsi="Arial"/>
          <w:sz w:val="15"/>
          <w:szCs w:val="15"/>
          <w:b w:val="1"/>
          <w:bCs w:val="1"/>
          <w:color w:val="auto"/>
        </w:rPr>
        <w:t>(Chair)</w:t>
      </w:r>
      <w:r>
        <w:rPr>
          <w:rFonts w:ascii="Arial" w:cs="Arial" w:eastAsia="Arial" w:hAnsi="Arial"/>
          <w:sz w:val="15"/>
          <w:szCs w:val="15"/>
          <w:color w:val="auto"/>
        </w:rPr>
        <w:t xml:space="preserve"> Carrie L. Anderson David J. Albritton  </w:t>
      </w:r>
    </w:p>
    <w:p>
      <w:pPr>
        <w:spacing w:after="0" w:line="120"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auto"/>
        </w:rPr>
        <w:t>Meetings in 2024:</w:t>
      </w:r>
    </w:p>
    <w:p>
      <w:pPr>
        <w:ind w:left="540"/>
        <w:spacing w:after="0" w:line="225" w:lineRule="auto"/>
        <w:rPr>
          <w:sz w:val="20"/>
          <w:szCs w:val="20"/>
          <w:color w:val="auto"/>
        </w:rPr>
      </w:pPr>
      <w:r>
        <w:rPr>
          <w:rFonts w:ascii="Arial" w:cs="Arial" w:eastAsia="Arial" w:hAnsi="Arial"/>
          <w:sz w:val="15"/>
          <w:szCs w:val="15"/>
          <w:color w:val="auto"/>
        </w:rPr>
        <w:t> </w:t>
      </w:r>
    </w:p>
    <w:p>
      <w:pPr>
        <w:ind w:left="540"/>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Principal Responsibilities:</w:t>
      </w:r>
    </w:p>
    <w:p>
      <w:pPr>
        <w:spacing w:after="0" w:line="233" w:lineRule="auto"/>
        <w:rPr>
          <w:sz w:val="20"/>
          <w:szCs w:val="20"/>
          <w:color w:val="auto"/>
        </w:rPr>
      </w:pPr>
      <w:r>
        <w:rPr>
          <w:rFonts w:ascii="Arial" w:cs="Arial" w:eastAsia="Arial" w:hAnsi="Arial"/>
          <w:sz w:val="15"/>
          <w:szCs w:val="15"/>
          <w:color w:val="auto"/>
        </w:rPr>
        <w:t> </w:t>
      </w:r>
    </w:p>
    <w:p>
      <w:pPr>
        <w:spacing w:after="0"/>
        <w:rPr>
          <w:sz w:val="20"/>
          <w:szCs w:val="20"/>
          <w:color w:val="auto"/>
        </w:rPr>
      </w:pPr>
      <w:r>
        <w:rPr>
          <w:rFonts w:ascii="Arial" w:cs="Arial" w:eastAsia="Arial" w:hAnsi="Arial"/>
          <w:sz w:val="15"/>
          <w:szCs w:val="15"/>
          <w:color w:val="342C82"/>
        </w:rPr>
        <w:t>•</w:t>
      </w:r>
      <w:r>
        <w:rPr>
          <w:rFonts w:ascii="Arial" w:cs="Arial" w:eastAsia="Arial" w:hAnsi="Arial"/>
          <w:sz w:val="15"/>
          <w:szCs w:val="15"/>
          <w:color w:val="000000"/>
        </w:rPr>
        <w:t xml:space="preserve">   Identifies and recommends candidates for election to the Board.</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342C82"/>
        </w:rPr>
        <w:t>•</w:t>
      </w:r>
      <w:r>
        <w:rPr>
          <w:rFonts w:ascii="Arial" w:cs="Arial" w:eastAsia="Arial" w:hAnsi="Arial"/>
          <w:sz w:val="15"/>
          <w:szCs w:val="15"/>
          <w:color w:val="000000"/>
        </w:rPr>
        <w:t xml:space="preserve">   Reviews and recommends for appointment certain corporate officers.</w:t>
      </w:r>
    </w:p>
    <w:p>
      <w:pPr>
        <w:spacing w:after="0" w:line="71" w:lineRule="exact"/>
        <w:rPr>
          <w:sz w:val="20"/>
          <w:szCs w:val="20"/>
          <w:color w:val="auto"/>
        </w:rPr>
      </w:pPr>
    </w:p>
    <w:p>
      <w:pPr>
        <w:ind w:left="220" w:right="579" w:hanging="206"/>
        <w:spacing w:after="0" w:line="264" w:lineRule="auto"/>
        <w:rPr>
          <w:sz w:val="20"/>
          <w:szCs w:val="20"/>
          <w:color w:val="auto"/>
        </w:rPr>
      </w:pPr>
      <w:r>
        <w:rPr>
          <w:rFonts w:ascii="Arial" w:cs="Arial" w:eastAsia="Arial" w:hAnsi="Arial"/>
          <w:sz w:val="15"/>
          <w:szCs w:val="15"/>
          <w:color w:val="342C82"/>
        </w:rPr>
        <w:t>•</w:t>
      </w:r>
      <w:r>
        <w:rPr>
          <w:rFonts w:ascii="Arial" w:cs="Arial" w:eastAsia="Arial" w:hAnsi="Arial"/>
          <w:sz w:val="15"/>
          <w:szCs w:val="15"/>
          <w:color w:val="000000"/>
        </w:rPr>
        <w:t xml:space="preserve">  Reviews and recommends the composition, structure and function of the Board</w:t>
      </w:r>
      <w:r>
        <w:rPr>
          <w:rFonts w:ascii="Arial" w:cs="Arial" w:eastAsia="Arial" w:hAnsi="Arial"/>
          <w:sz w:val="15"/>
          <w:szCs w:val="15"/>
          <w:color w:val="342C82"/>
        </w:rPr>
        <w:t xml:space="preserve"> </w:t>
      </w:r>
      <w:r>
        <w:rPr>
          <w:rFonts w:ascii="Arial" w:cs="Arial" w:eastAsia="Arial" w:hAnsi="Arial"/>
          <w:sz w:val="15"/>
          <w:szCs w:val="15"/>
          <w:color w:val="000000"/>
        </w:rPr>
        <w:t>and its Committees, as well as the compensation of non-employee directors.</w:t>
      </w:r>
    </w:p>
    <w:p>
      <w:pPr>
        <w:spacing w:after="0" w:line="12" w:lineRule="exact"/>
        <w:rPr>
          <w:sz w:val="20"/>
          <w:szCs w:val="20"/>
          <w:color w:val="auto"/>
        </w:rPr>
      </w:pPr>
    </w:p>
    <w:p>
      <w:pPr>
        <w:ind w:left="220" w:right="439" w:hanging="206"/>
        <w:spacing w:after="0" w:line="264" w:lineRule="auto"/>
        <w:rPr>
          <w:sz w:val="20"/>
          <w:szCs w:val="20"/>
          <w:color w:val="auto"/>
        </w:rPr>
      </w:pPr>
      <w:r>
        <w:rPr>
          <w:rFonts w:ascii="Arial" w:cs="Arial" w:eastAsia="Arial" w:hAnsi="Arial"/>
          <w:sz w:val="15"/>
          <w:szCs w:val="15"/>
          <w:color w:val="342C82"/>
        </w:rPr>
        <w:t>•</w:t>
      </w:r>
      <w:r>
        <w:rPr>
          <w:rFonts w:ascii="Arial" w:cs="Arial" w:eastAsia="Arial" w:hAnsi="Arial"/>
          <w:sz w:val="15"/>
          <w:szCs w:val="15"/>
          <w:color w:val="000000"/>
        </w:rPr>
        <w:t xml:space="preserve">  Monitors Embecta’s corporate governance and Board practices and oversees the</w:t>
      </w:r>
      <w:r>
        <w:rPr>
          <w:rFonts w:ascii="Arial" w:cs="Arial" w:eastAsia="Arial" w:hAnsi="Arial"/>
          <w:sz w:val="15"/>
          <w:szCs w:val="15"/>
          <w:color w:val="342C82"/>
        </w:rPr>
        <w:t xml:space="preserve"> </w:t>
      </w:r>
      <w:r>
        <w:rPr>
          <w:rFonts w:ascii="Arial" w:cs="Arial" w:eastAsia="Arial" w:hAnsi="Arial"/>
          <w:sz w:val="15"/>
          <w:szCs w:val="15"/>
          <w:color w:val="000000"/>
        </w:rPr>
        <w:t>Board’s self-evaluation process.</w:t>
      </w:r>
    </w:p>
    <w:p>
      <w:pPr>
        <w:spacing w:after="0" w:line="12" w:lineRule="exact"/>
        <w:rPr>
          <w:sz w:val="20"/>
          <w:szCs w:val="20"/>
          <w:color w:val="auto"/>
        </w:rPr>
      </w:pPr>
    </w:p>
    <w:p>
      <w:pPr>
        <w:ind w:left="220" w:right="759" w:hanging="206"/>
        <w:spacing w:after="0" w:line="238" w:lineRule="auto"/>
        <w:rPr>
          <w:sz w:val="20"/>
          <w:szCs w:val="20"/>
          <w:color w:val="auto"/>
        </w:rPr>
      </w:pPr>
      <w:r>
        <w:rPr>
          <w:rFonts w:ascii="Arial" w:cs="Arial" w:eastAsia="Arial" w:hAnsi="Arial"/>
          <w:sz w:val="15"/>
          <w:szCs w:val="15"/>
          <w:color w:val="342C82"/>
        </w:rPr>
        <w:t>•</w:t>
      </w:r>
      <w:r>
        <w:rPr>
          <w:rFonts w:ascii="Arial" w:cs="Arial" w:eastAsia="Arial" w:hAnsi="Arial"/>
          <w:sz w:val="15"/>
          <w:szCs w:val="15"/>
          <w:color w:val="000000"/>
        </w:rPr>
        <w:t xml:space="preserve">  Oversees Embecta’s process and practices relating to the management and</w:t>
      </w:r>
      <w:r>
        <w:rPr>
          <w:rFonts w:ascii="Arial" w:cs="Arial" w:eastAsia="Arial" w:hAnsi="Arial"/>
          <w:sz w:val="15"/>
          <w:szCs w:val="15"/>
          <w:color w:val="342C82"/>
        </w:rPr>
        <w:t xml:space="preserve"> </w:t>
      </w:r>
      <w:r>
        <w:rPr>
          <w:rFonts w:ascii="Arial" w:cs="Arial" w:eastAsia="Arial" w:hAnsi="Arial"/>
          <w:sz w:val="15"/>
          <w:szCs w:val="15"/>
          <w:color w:val="000000"/>
        </w:rPr>
        <w:t>oversight of environmental, sustainability, health and safety, inclusion and diversity, political activities, corporate responsibility and other public policy or social matters relevant to Embecta (“ESG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-1642745</wp:posOffset>
            </wp:positionH>
            <wp:positionV relativeFrom="paragraph">
              <wp:posOffset>90805</wp:posOffset>
            </wp:positionV>
            <wp:extent cx="534924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60" w:space="520"/>
            <w:col w:w="6139"/>
          </w:cols>
          <w:pgMar w:left="1440" w:top="114" w:right="1440" w:bottom="1440" w:gutter="0" w:footer="0" w:header="0"/>
          <w:type w:val="continuous"/>
        </w:sectPr>
      </w:pPr>
    </w:p>
    <w:p>
      <w:pPr>
        <w:spacing w:after="0" w:line="159" w:lineRule="exact"/>
        <w:rPr>
          <w:sz w:val="20"/>
          <w:szCs w:val="20"/>
          <w:color w:val="auto"/>
        </w:rPr>
      </w:pPr>
    </w:p>
    <w:p>
      <w:pPr>
        <w:ind w:left="300" w:right="979"/>
        <w:spacing w:after="0" w:line="286" w:lineRule="auto"/>
        <w:rPr>
          <w:sz w:val="20"/>
          <w:szCs w:val="20"/>
          <w:color w:val="auto"/>
        </w:rPr>
      </w:pPr>
      <w:r>
        <w:rPr>
          <w:rFonts w:ascii="Arial" w:cs="Arial" w:eastAsia="Arial" w:hAnsi="Arial"/>
          <w:sz w:val="16"/>
          <w:szCs w:val="16"/>
          <w:color w:val="auto"/>
        </w:rPr>
        <w:t>The Board has determined that each member of the Governance Committee meets Nasdaq’s independence requirements.</w:t>
      </w:r>
    </w:p>
    <w:p>
      <w:pPr>
        <w:spacing w:after="0" w:line="323" w:lineRule="exact"/>
        <w:rPr>
          <w:sz w:val="20"/>
          <w:szCs w:val="20"/>
          <w:color w:val="auto"/>
        </w:rPr>
      </w:pPr>
    </w:p>
    <w:p>
      <w:pPr>
        <w:ind w:left="300"/>
        <w:spacing w:after="0"/>
        <w:rPr>
          <w:sz w:val="20"/>
          <w:szCs w:val="20"/>
          <w:color w:val="auto"/>
        </w:rPr>
      </w:pPr>
      <w:r>
        <w:rPr>
          <w:rFonts w:ascii="Arial" w:cs="Arial" w:eastAsia="Arial" w:hAnsi="Arial"/>
          <w:sz w:val="25"/>
          <w:szCs w:val="25"/>
          <w:color w:val="342C82"/>
        </w:rPr>
        <w:t>Technology, Quality and Regulatory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71755</wp:posOffset>
            </wp:positionV>
            <wp:extent cx="534924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p>
      <w:pPr>
        <w:spacing w:after="0" w:line="256"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auto"/>
        </w:rPr>
        <w:t>Members</w:t>
      </w:r>
    </w:p>
    <w:p>
      <w:pPr>
        <w:ind w:left="540"/>
        <w:spacing w:after="0" w:line="233" w:lineRule="auto"/>
        <w:rPr>
          <w:sz w:val="20"/>
          <w:szCs w:val="20"/>
          <w:color w:val="auto"/>
        </w:rPr>
      </w:pPr>
      <w:r>
        <w:rPr>
          <w:rFonts w:ascii="Arial" w:cs="Arial" w:eastAsia="Arial" w:hAnsi="Arial"/>
          <w:sz w:val="15"/>
          <w:szCs w:val="15"/>
          <w:color w:val="auto"/>
        </w:rPr>
        <w:t> </w:t>
      </w:r>
    </w:p>
    <w:p>
      <w:pPr>
        <w:ind w:left="540"/>
        <w:spacing w:after="0" w:line="225" w:lineRule="auto"/>
        <w:rPr>
          <w:sz w:val="20"/>
          <w:szCs w:val="20"/>
          <w:color w:val="auto"/>
        </w:rPr>
      </w:pPr>
      <w:r>
        <w:rPr>
          <w:rFonts w:ascii="Arial" w:cs="Arial" w:eastAsia="Arial" w:hAnsi="Arial"/>
          <w:sz w:val="15"/>
          <w:szCs w:val="15"/>
          <w:color w:val="auto"/>
        </w:rPr>
        <w:t xml:space="preserve">Christopher R. Reidy </w:t>
      </w:r>
      <w:r>
        <w:rPr>
          <w:rFonts w:ascii="Arial" w:cs="Arial" w:eastAsia="Arial" w:hAnsi="Arial"/>
          <w:sz w:val="15"/>
          <w:szCs w:val="15"/>
          <w:b w:val="1"/>
          <w:bCs w:val="1"/>
          <w:color w:val="auto"/>
        </w:rPr>
        <w:t>(Chair)</w:t>
      </w:r>
    </w:p>
    <w:p>
      <w:pPr>
        <w:ind w:left="540"/>
        <w:spacing w:after="0" w:line="225" w:lineRule="auto"/>
        <w:rPr>
          <w:sz w:val="20"/>
          <w:szCs w:val="20"/>
          <w:color w:val="auto"/>
        </w:rPr>
      </w:pPr>
      <w:r>
        <w:rPr>
          <w:rFonts w:ascii="Arial" w:cs="Arial" w:eastAsia="Arial" w:hAnsi="Arial"/>
          <w:sz w:val="15"/>
          <w:szCs w:val="15"/>
          <w:color w:val="auto"/>
        </w:rPr>
        <w:t>Dr. Claire Pomeroy</w:t>
      </w:r>
    </w:p>
    <w:p>
      <w:pPr>
        <w:ind w:left="540"/>
        <w:spacing w:after="0" w:line="226" w:lineRule="auto"/>
        <w:rPr>
          <w:sz w:val="20"/>
          <w:szCs w:val="20"/>
          <w:color w:val="auto"/>
        </w:rPr>
      </w:pPr>
      <w:r>
        <w:rPr>
          <w:rFonts w:ascii="Arial" w:cs="Arial" w:eastAsia="Arial" w:hAnsi="Arial"/>
          <w:sz w:val="15"/>
          <w:szCs w:val="15"/>
          <w:color w:val="auto"/>
        </w:rPr>
        <w:t>David J. Albritton</w:t>
      </w:r>
    </w:p>
    <w:p>
      <w:pPr>
        <w:ind w:left="540"/>
        <w:spacing w:after="0" w:line="225" w:lineRule="auto"/>
        <w:rPr>
          <w:sz w:val="20"/>
          <w:szCs w:val="20"/>
          <w:color w:val="auto"/>
        </w:rPr>
      </w:pPr>
      <w:r>
        <w:rPr>
          <w:rFonts w:ascii="Arial" w:cs="Arial" w:eastAsia="Arial" w:hAnsi="Arial"/>
          <w:sz w:val="15"/>
          <w:szCs w:val="15"/>
          <w:color w:val="auto"/>
        </w:rPr>
        <w:t>Dr. Milton M. Morris</w:t>
      </w:r>
    </w:p>
    <w:p>
      <w:pPr>
        <w:ind w:left="540"/>
        <w:spacing w:after="0" w:line="226" w:lineRule="auto"/>
        <w:rPr>
          <w:sz w:val="20"/>
          <w:szCs w:val="20"/>
          <w:color w:val="auto"/>
        </w:rPr>
      </w:pPr>
      <w:r>
        <w:rPr>
          <w:rFonts w:ascii="Arial" w:cs="Arial" w:eastAsia="Arial" w:hAnsi="Arial"/>
          <w:sz w:val="15"/>
          <w:szCs w:val="15"/>
          <w:color w:val="auto"/>
        </w:rPr>
        <w:t> </w:t>
      </w:r>
    </w:p>
    <w:p>
      <w:pPr>
        <w:ind w:left="540"/>
        <w:spacing w:after="0" w:line="225" w:lineRule="auto"/>
        <w:rPr>
          <w:sz w:val="20"/>
          <w:szCs w:val="20"/>
          <w:color w:val="auto"/>
        </w:rPr>
      </w:pPr>
      <w:r>
        <w:rPr>
          <w:rFonts w:ascii="Arial" w:cs="Arial" w:eastAsia="Arial" w:hAnsi="Arial"/>
          <w:sz w:val="15"/>
          <w:szCs w:val="15"/>
          <w:b w:val="1"/>
          <w:bCs w:val="1"/>
          <w:color w:val="auto"/>
        </w:rPr>
        <w:t>Meetings in 2024:</w:t>
      </w:r>
    </w:p>
    <w:p>
      <w:pPr>
        <w:ind w:left="540"/>
        <w:spacing w:after="0" w:line="225" w:lineRule="auto"/>
        <w:rPr>
          <w:sz w:val="20"/>
          <w:szCs w:val="20"/>
          <w:color w:val="auto"/>
        </w:rPr>
      </w:pPr>
      <w:r>
        <w:rPr>
          <w:rFonts w:ascii="Arial" w:cs="Arial" w:eastAsia="Arial" w:hAnsi="Arial"/>
          <w:sz w:val="15"/>
          <w:szCs w:val="15"/>
          <w:color w:val="auto"/>
        </w:rPr>
        <w:t> </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Principal Responsibilities:</w:t>
      </w:r>
    </w:p>
    <w:p>
      <w:pPr>
        <w:spacing w:after="0" w:line="233" w:lineRule="auto"/>
        <w:rPr>
          <w:sz w:val="20"/>
          <w:szCs w:val="20"/>
          <w:color w:val="auto"/>
        </w:rPr>
      </w:pPr>
      <w:r>
        <w:rPr>
          <w:rFonts w:ascii="Arial" w:cs="Arial" w:eastAsia="Arial" w:hAnsi="Arial"/>
          <w:sz w:val="15"/>
          <w:szCs w:val="15"/>
          <w:color w:val="auto"/>
        </w:rPr>
        <w:t> </w:t>
      </w:r>
    </w:p>
    <w:p>
      <w:pPr>
        <w:ind w:left="220" w:right="599" w:hanging="206"/>
        <w:spacing w:after="0" w:line="236" w:lineRule="auto"/>
        <w:rPr>
          <w:sz w:val="20"/>
          <w:szCs w:val="20"/>
          <w:color w:val="auto"/>
        </w:rPr>
      </w:pPr>
      <w:r>
        <w:rPr>
          <w:rFonts w:ascii="Arial" w:cs="Arial" w:eastAsia="Arial" w:hAnsi="Arial"/>
          <w:sz w:val="15"/>
          <w:szCs w:val="15"/>
          <w:color w:val="342C82"/>
        </w:rPr>
        <w:t>•</w:t>
      </w:r>
      <w:r>
        <w:rPr>
          <w:rFonts w:ascii="Arial" w:cs="Arial" w:eastAsia="Arial" w:hAnsi="Arial"/>
          <w:sz w:val="15"/>
          <w:szCs w:val="15"/>
          <w:color w:val="000000"/>
        </w:rPr>
        <w:t xml:space="preserve">  Oversees the quality and competitiveness of Embecta’s product portfolio,</w:t>
      </w:r>
      <w:r>
        <w:rPr>
          <w:rFonts w:ascii="Arial" w:cs="Arial" w:eastAsia="Arial" w:hAnsi="Arial"/>
          <w:sz w:val="15"/>
          <w:szCs w:val="15"/>
          <w:color w:val="342C82"/>
        </w:rPr>
        <w:t xml:space="preserve"> </w:t>
      </w:r>
      <w:r>
        <w:rPr>
          <w:rFonts w:ascii="Arial" w:cs="Arial" w:eastAsia="Arial" w:hAnsi="Arial"/>
          <w:sz w:val="15"/>
          <w:szCs w:val="15"/>
          <w:color w:val="000000"/>
        </w:rPr>
        <w:t>including new product development and innovation, research and development activities, quality systems and regulatory compliance matters.</w:t>
      </w:r>
    </w:p>
    <w:p>
      <w:pPr>
        <w:spacing w:after="0" w:line="44" w:lineRule="exact"/>
        <w:rPr>
          <w:sz w:val="20"/>
          <w:szCs w:val="20"/>
          <w:color w:val="auto"/>
        </w:rPr>
      </w:pPr>
    </w:p>
    <w:p>
      <w:pPr>
        <w:ind w:left="220" w:right="779" w:hanging="206"/>
        <w:spacing w:after="0" w:line="264" w:lineRule="auto"/>
        <w:rPr>
          <w:sz w:val="20"/>
          <w:szCs w:val="20"/>
          <w:color w:val="auto"/>
        </w:rPr>
      </w:pPr>
      <w:r>
        <w:rPr>
          <w:rFonts w:ascii="Arial" w:cs="Arial" w:eastAsia="Arial" w:hAnsi="Arial"/>
          <w:sz w:val="15"/>
          <w:szCs w:val="15"/>
          <w:color w:val="342C82"/>
        </w:rPr>
        <w:t>•</w:t>
      </w:r>
      <w:r>
        <w:rPr>
          <w:rFonts w:ascii="Arial" w:cs="Arial" w:eastAsia="Arial" w:hAnsi="Arial"/>
          <w:sz w:val="15"/>
          <w:szCs w:val="15"/>
          <w:color w:val="000000"/>
        </w:rPr>
        <w:t xml:space="preserve">  Reviews with management Embecta’s key innovation activities, new product</w:t>
      </w:r>
      <w:r>
        <w:rPr>
          <w:rFonts w:ascii="Arial" w:cs="Arial" w:eastAsia="Arial" w:hAnsi="Arial"/>
          <w:sz w:val="15"/>
          <w:szCs w:val="15"/>
          <w:color w:val="342C82"/>
        </w:rPr>
        <w:t xml:space="preserve"> </w:t>
      </w:r>
      <w:r>
        <w:rPr>
          <w:rFonts w:ascii="Arial" w:cs="Arial" w:eastAsia="Arial" w:hAnsi="Arial"/>
          <w:sz w:val="15"/>
          <w:szCs w:val="15"/>
          <w:color w:val="000000"/>
        </w:rPr>
        <w:t>development and commercialization programs, including:</w:t>
      </w:r>
    </w:p>
    <w:p>
      <w:pPr>
        <w:spacing w:after="0" w:line="12" w:lineRule="exact"/>
        <w:rPr>
          <w:sz w:val="20"/>
          <w:szCs w:val="20"/>
          <w:color w:val="auto"/>
        </w:rPr>
      </w:pPr>
    </w:p>
    <w:p>
      <w:pPr>
        <w:ind w:left="220"/>
        <w:spacing w:after="0"/>
        <w:rPr>
          <w:sz w:val="20"/>
          <w:szCs w:val="20"/>
          <w:color w:val="auto"/>
        </w:rPr>
      </w:pPr>
      <w:r>
        <w:rPr>
          <w:rFonts w:ascii="Arial" w:cs="Arial" w:eastAsia="Arial" w:hAnsi="Arial"/>
          <w:sz w:val="15"/>
          <w:szCs w:val="15"/>
          <w:color w:val="342C82"/>
        </w:rPr>
        <w:t>•</w:t>
      </w:r>
      <w:r>
        <w:rPr>
          <w:rFonts w:ascii="Arial" w:cs="Arial" w:eastAsia="Arial" w:hAnsi="Arial"/>
          <w:sz w:val="15"/>
          <w:szCs w:val="15"/>
          <w:color w:val="000000"/>
        </w:rPr>
        <w:t xml:space="preserve">   Progress against program objectives;</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5"/>
          <w:szCs w:val="15"/>
          <w:color w:val="342C82"/>
        </w:rPr>
        <w:t>•</w:t>
      </w:r>
      <w:r>
        <w:rPr>
          <w:rFonts w:ascii="Arial" w:cs="Arial" w:eastAsia="Arial" w:hAnsi="Arial"/>
          <w:sz w:val="15"/>
          <w:szCs w:val="15"/>
          <w:color w:val="000000"/>
        </w:rPr>
        <w:t xml:space="preserve">   Organizational integration and capabilities; and</w:t>
      </w:r>
    </w:p>
    <w:p>
      <w:pPr>
        <w:spacing w:after="0" w:line="71" w:lineRule="exact"/>
        <w:rPr>
          <w:sz w:val="20"/>
          <w:szCs w:val="20"/>
          <w:color w:val="auto"/>
        </w:rPr>
      </w:pPr>
    </w:p>
    <w:p>
      <w:pPr>
        <w:ind w:left="420" w:right="579" w:hanging="206"/>
        <w:spacing w:after="0" w:line="264" w:lineRule="auto"/>
        <w:rPr>
          <w:sz w:val="20"/>
          <w:szCs w:val="20"/>
          <w:color w:val="auto"/>
        </w:rPr>
      </w:pPr>
      <w:r>
        <w:rPr>
          <w:rFonts w:ascii="Arial" w:cs="Arial" w:eastAsia="Arial" w:hAnsi="Arial"/>
          <w:sz w:val="15"/>
          <w:szCs w:val="15"/>
          <w:color w:val="342C82"/>
        </w:rPr>
        <w:t>•</w:t>
      </w:r>
      <w:r>
        <w:rPr>
          <w:rFonts w:ascii="Arial" w:cs="Arial" w:eastAsia="Arial" w:hAnsi="Arial"/>
          <w:sz w:val="15"/>
          <w:szCs w:val="15"/>
          <w:color w:val="000000"/>
        </w:rPr>
        <w:t xml:space="preserve">  Potentially disruptive trends in technology, medical practice and the external</w:t>
      </w:r>
      <w:r>
        <w:rPr>
          <w:rFonts w:ascii="Arial" w:cs="Arial" w:eastAsia="Arial" w:hAnsi="Arial"/>
          <w:sz w:val="15"/>
          <w:szCs w:val="15"/>
          <w:color w:val="342C82"/>
        </w:rPr>
        <w:t xml:space="preserve"> </w:t>
      </w:r>
      <w:r>
        <w:rPr>
          <w:rFonts w:ascii="Arial" w:cs="Arial" w:eastAsia="Arial" w:hAnsi="Arial"/>
          <w:sz w:val="15"/>
          <w:szCs w:val="15"/>
          <w:color w:val="000000"/>
        </w:rPr>
        <w:t>environment.</w:t>
      </w:r>
    </w:p>
    <w:p>
      <w:pPr>
        <w:spacing w:after="0" w:line="12" w:lineRule="exact"/>
        <w:rPr>
          <w:sz w:val="20"/>
          <w:szCs w:val="20"/>
          <w:color w:val="auto"/>
        </w:rPr>
      </w:pPr>
    </w:p>
    <w:p>
      <w:pPr>
        <w:ind w:left="220" w:right="459" w:hanging="206"/>
        <w:spacing w:after="0" w:line="238" w:lineRule="auto"/>
        <w:rPr>
          <w:sz w:val="20"/>
          <w:szCs w:val="20"/>
          <w:color w:val="auto"/>
        </w:rPr>
      </w:pPr>
      <w:r>
        <w:rPr>
          <w:rFonts w:ascii="Arial" w:cs="Arial" w:eastAsia="Arial" w:hAnsi="Arial"/>
          <w:sz w:val="15"/>
          <w:szCs w:val="15"/>
          <w:color w:val="342C82"/>
        </w:rPr>
        <w:t>•</w:t>
      </w:r>
      <w:r>
        <w:rPr>
          <w:rFonts w:ascii="Arial" w:cs="Arial" w:eastAsia="Arial" w:hAnsi="Arial"/>
          <w:sz w:val="15"/>
          <w:szCs w:val="15"/>
          <w:color w:val="000000"/>
        </w:rPr>
        <w:t xml:space="preserve">  Reviews and evaluates the combined capabilities of Embecta’s quality</w:t>
      </w:r>
      <w:r>
        <w:rPr>
          <w:rFonts w:ascii="Arial" w:cs="Arial" w:eastAsia="Arial" w:hAnsi="Arial"/>
          <w:sz w:val="15"/>
          <w:szCs w:val="15"/>
          <w:color w:val="342C82"/>
        </w:rPr>
        <w:t xml:space="preserve"> </w:t>
      </w:r>
      <w:r>
        <w:rPr>
          <w:rFonts w:ascii="Arial" w:cs="Arial" w:eastAsia="Arial" w:hAnsi="Arial"/>
          <w:sz w:val="15"/>
          <w:szCs w:val="15"/>
          <w:color w:val="000000"/>
        </w:rPr>
        <w:t>assurance, regulatory affairs and clinical and medical affairs functions and technological aspects of new and existing products and services as they relate to quality, safety, and cybersecurity.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-1642745</wp:posOffset>
            </wp:positionH>
            <wp:positionV relativeFrom="paragraph">
              <wp:posOffset>90805</wp:posOffset>
            </wp:positionV>
            <wp:extent cx="534924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80" w:space="400"/>
            <w:col w:w="6139"/>
          </w:cols>
          <w:pgMar w:left="1440" w:top="114" w:right="1440" w:bottom="1440" w:gutter="0" w:footer="0" w:header="0"/>
          <w:type w:val="continuous"/>
        </w:sectPr>
      </w:pPr>
    </w:p>
    <w:p>
      <w:pPr>
        <w:spacing w:after="0" w:line="285" w:lineRule="exact"/>
        <w:rPr>
          <w:sz w:val="20"/>
          <w:szCs w:val="20"/>
          <w:color w:val="auto"/>
        </w:rPr>
      </w:pPr>
    </w:p>
    <w:p>
      <w:pPr>
        <w:ind w:left="300"/>
        <w:spacing w:after="0"/>
        <w:rPr>
          <w:sz w:val="20"/>
          <w:szCs w:val="20"/>
          <w:color w:val="auto"/>
        </w:rPr>
      </w:pPr>
      <w:r>
        <w:rPr>
          <w:rFonts w:ascii="Arial" w:cs="Arial" w:eastAsia="Arial" w:hAnsi="Arial"/>
          <w:sz w:val="25"/>
          <w:szCs w:val="25"/>
          <w:color w:val="342C82"/>
        </w:rPr>
        <w:t>Compensation Committee Interlocks and Insider Participation</w:t>
      </w:r>
    </w:p>
    <w:p>
      <w:pPr>
        <w:spacing w:after="0" w:line="153" w:lineRule="exact"/>
        <w:rPr>
          <w:sz w:val="20"/>
          <w:szCs w:val="20"/>
          <w:color w:val="auto"/>
        </w:rPr>
      </w:pPr>
    </w:p>
    <w:p>
      <w:pPr>
        <w:ind w:left="300" w:right="319"/>
        <w:spacing w:after="0" w:line="256" w:lineRule="auto"/>
        <w:rPr>
          <w:sz w:val="20"/>
          <w:szCs w:val="20"/>
          <w:color w:val="auto"/>
        </w:rPr>
      </w:pPr>
      <w:r>
        <w:rPr>
          <w:rFonts w:ascii="Arial" w:cs="Arial" w:eastAsia="Arial" w:hAnsi="Arial"/>
          <w:sz w:val="16"/>
          <w:szCs w:val="16"/>
          <w:color w:val="auto"/>
        </w:rPr>
        <w:t>Ms. Prange, Mr. Hombach and Dr. Morris served as members of the Compensation Committee during the year ended September 30, 2024. None of the members of the Compensation Committee has at any time been one of our officers or employees. None of our executive officers currently serves, or in the past fiscal year has served, as a member of the board of directors or on a compensation committee of any entity that has one or more executive officers serving on our Board or Compensation Committee.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123825</wp:posOffset>
            </wp:positionV>
            <wp:extent cx="699516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jc w:val="right"/>
        <w:ind w:right="299"/>
        <w:spacing w:after="0"/>
        <w:rPr>
          <w:sz w:val="20"/>
          <w:szCs w:val="20"/>
          <w:color w:val="auto"/>
        </w:rPr>
      </w:pPr>
      <w:r>
        <w:rPr>
          <w:rFonts w:ascii="Arial" w:cs="Arial" w:eastAsia="Arial" w:hAnsi="Arial"/>
          <w:sz w:val="16"/>
          <w:szCs w:val="16"/>
          <w:color w:val="342C82"/>
        </w:rPr>
        <w:t>Proposal 1: Election of directors</w:t>
      </w:r>
    </w:p>
    <w:p>
      <w:pPr>
        <w:spacing w:after="0" w:line="159" w:lineRule="exact"/>
        <w:rPr>
          <w:sz w:val="20"/>
          <w:szCs w:val="20"/>
          <w:color w:val="auto"/>
        </w:rPr>
      </w:pPr>
    </w:p>
    <w:p>
      <w:pPr>
        <w:ind w:left="300"/>
        <w:spacing w:after="0"/>
        <w:rPr>
          <w:sz w:val="20"/>
          <w:szCs w:val="20"/>
          <w:color w:val="auto"/>
        </w:rPr>
      </w:pPr>
      <w:r>
        <w:rPr>
          <w:rFonts w:ascii="Arial" w:cs="Arial" w:eastAsia="Arial" w:hAnsi="Arial"/>
          <w:sz w:val="25"/>
          <w:szCs w:val="25"/>
          <w:color w:val="342C82"/>
        </w:rPr>
        <w:t>Board leadership structure</w:t>
      </w:r>
    </w:p>
    <w:p>
      <w:pPr>
        <w:spacing w:after="0" w:line="153" w:lineRule="exact"/>
        <w:rPr>
          <w:sz w:val="20"/>
          <w:szCs w:val="20"/>
          <w:color w:val="auto"/>
        </w:rPr>
      </w:pPr>
    </w:p>
    <w:p>
      <w:pPr>
        <w:ind w:left="300" w:right="359"/>
        <w:spacing w:after="0" w:line="256" w:lineRule="auto"/>
        <w:rPr>
          <w:sz w:val="20"/>
          <w:szCs w:val="20"/>
          <w:color w:val="auto"/>
        </w:rPr>
      </w:pPr>
      <w:r>
        <w:rPr>
          <w:rFonts w:ascii="Arial" w:cs="Arial" w:eastAsia="Arial" w:hAnsi="Arial"/>
          <w:sz w:val="16"/>
          <w:szCs w:val="16"/>
          <w:color w:val="auto"/>
        </w:rPr>
        <w:t>The Board seeks to achieve the best board leadership structure for the effective oversight and management of Embecta’s affairs. The Board believes there is no single, generally accepted approach to providing effective board leadership, and that each leadership structure must be considered in the context of the individuals involved and the specific circumstances facing a company. Accordingly, what the Board believes is the right board leadership structure for Embecta may vary over time as circumstances warrant.</w:t>
      </w:r>
    </w:p>
    <w:p>
      <w:pPr>
        <w:spacing w:after="0" w:line="126" w:lineRule="exact"/>
        <w:rPr>
          <w:sz w:val="20"/>
          <w:szCs w:val="20"/>
          <w:color w:val="auto"/>
        </w:rPr>
      </w:pPr>
    </w:p>
    <w:p>
      <w:pPr>
        <w:ind w:left="300" w:right="399"/>
        <w:spacing w:after="0" w:line="254" w:lineRule="auto"/>
        <w:rPr>
          <w:sz w:val="20"/>
          <w:szCs w:val="20"/>
          <w:color w:val="auto"/>
        </w:rPr>
      </w:pPr>
      <w:r>
        <w:rPr>
          <w:rFonts w:ascii="Arial" w:cs="Arial" w:eastAsia="Arial" w:hAnsi="Arial"/>
          <w:sz w:val="16"/>
          <w:szCs w:val="16"/>
          <w:color w:val="auto"/>
        </w:rPr>
        <w:t>The Board does not have a policy on whether the roles of the Chairman of the Board and the Chief Executive Officer should be separate or combined, or, if they are to be separate, whether the Chairman of the Board should be selected from the independent directors. The Board believes it is important to retain the flexibility to allocate the responsibilities of the offices of the Chairman of the Board and the Chief Executive Officer in such a manner as the Board considers to be in the best interests of Embecta at the time, considering the individuals involved and the specific circumstances facing Embecta.</w:t>
      </w:r>
    </w:p>
    <w:p>
      <w:pPr>
        <w:spacing w:after="0" w:line="128" w:lineRule="exact"/>
        <w:rPr>
          <w:sz w:val="20"/>
          <w:szCs w:val="20"/>
          <w:color w:val="auto"/>
        </w:rPr>
      </w:pPr>
    </w:p>
    <w:p>
      <w:pPr>
        <w:ind w:left="300" w:right="359"/>
        <w:spacing w:after="0" w:line="250" w:lineRule="auto"/>
        <w:rPr>
          <w:sz w:val="20"/>
          <w:szCs w:val="20"/>
          <w:color w:val="auto"/>
        </w:rPr>
      </w:pPr>
      <w:r>
        <w:rPr>
          <w:rFonts w:ascii="Arial" w:cs="Arial" w:eastAsia="Arial" w:hAnsi="Arial"/>
          <w:sz w:val="16"/>
          <w:szCs w:val="16"/>
          <w:color w:val="auto"/>
        </w:rPr>
        <w:t>The Corporate Governance Principles provide for the appointment by the independent directors of a Lead Director from among the Board’s independent directors whenever the Board Chair is not independent. The Lead Director role would allow the non-employee directors to provide effective, independent Board leadership and oversight of management, including risk oversight. Under the Corporate Governance Principles, the Lead Director will (i) serve as liaison between the Board Chair and the independent directors; (ii) approve information sent to the Board; (iii) approve meeting agendas for the Board; (iv) approve meeting schedules to assure that there is sufficient time for discussion of all agenda items; (v) have the authority to call meetings of the independent directors; and (vi) if requested by major stockholders, ensure that he or she is available for consultation and direct communication. Our current Chairman of the Board, LTG (Ret.) David F. Melcher, is independent under the Nasdaq rules and our director independence guidelines contained in the Corporate Governance Principles.</w:t>
      </w:r>
    </w:p>
    <w:p>
      <w:pPr>
        <w:spacing w:after="0" w:line="218" w:lineRule="exact"/>
        <w:rPr>
          <w:sz w:val="20"/>
          <w:szCs w:val="20"/>
          <w:color w:val="auto"/>
        </w:rPr>
      </w:pPr>
    </w:p>
    <w:p>
      <w:pPr>
        <w:ind w:left="300"/>
        <w:spacing w:after="0"/>
        <w:rPr>
          <w:sz w:val="20"/>
          <w:szCs w:val="20"/>
          <w:color w:val="auto"/>
        </w:rPr>
      </w:pPr>
      <w:r>
        <w:rPr>
          <w:rFonts w:ascii="Arial" w:cs="Arial" w:eastAsia="Arial" w:hAnsi="Arial"/>
          <w:sz w:val="22"/>
          <w:szCs w:val="22"/>
          <w:color w:val="342C82"/>
        </w:rPr>
        <w:t>Director independence</w:t>
      </w:r>
    </w:p>
    <w:p>
      <w:pPr>
        <w:spacing w:after="0" w:line="124" w:lineRule="exact"/>
        <w:rPr>
          <w:sz w:val="20"/>
          <w:szCs w:val="20"/>
          <w:color w:val="auto"/>
        </w:rPr>
      </w:pPr>
    </w:p>
    <w:p>
      <w:pPr>
        <w:ind w:left="300" w:right="419"/>
        <w:spacing w:after="0" w:line="249" w:lineRule="auto"/>
        <w:rPr>
          <w:sz w:val="20"/>
          <w:szCs w:val="20"/>
          <w:color w:val="auto"/>
        </w:rPr>
      </w:pPr>
      <w:r>
        <w:rPr>
          <w:rFonts w:ascii="Arial" w:cs="Arial" w:eastAsia="Arial" w:hAnsi="Arial"/>
          <w:sz w:val="16"/>
          <w:szCs w:val="16"/>
          <w:color w:val="auto"/>
        </w:rPr>
        <w:t>Under the Nasdaq rules and our Corporate Governance Principles, a director is not independent if the director has a direct or indirect material relationship with Embecta (other than his or her relationship as a director and equity ownership positions in Embecta) or a relationship with Embecta or its management that would interfere with the exercise of independent judgment in carrying out the responsibilities of a director. The Governance Committee reviews and makes recommendations to the Board for action regarding the independence of directors. The Board affirmatively determines each director’s independence on an annual basis (including for purposes of membership on the Audit, Compensation, and Governance Committees) based on applicable requirements of the SEC, Nasdaq and the Corporate Governance Principles. To assist in this review, the Board has adopted independence guidelines contained in the Corporate Governance Principles. Former and current relationships of a director with BD are also analyzed to determine the independence of directors and may result in the conclusion that a current or former relationship with BD is disqualifying for independence purposes. The determination of whether a director’s relationship with Embecta would interfere with the exercise of independent judgment in carrying out the responsibilities of a director will be made by the independent directors, excluding the director with the relationship.</w:t>
      </w:r>
    </w:p>
    <w:p>
      <w:pPr>
        <w:spacing w:after="0" w:line="137" w:lineRule="exact"/>
        <w:rPr>
          <w:sz w:val="20"/>
          <w:szCs w:val="20"/>
          <w:color w:val="auto"/>
        </w:rPr>
      </w:pPr>
    </w:p>
    <w:p>
      <w:pPr>
        <w:ind w:left="300" w:right="319"/>
        <w:spacing w:after="0" w:line="253" w:lineRule="auto"/>
        <w:rPr>
          <w:sz w:val="20"/>
          <w:szCs w:val="20"/>
          <w:color w:val="auto"/>
        </w:rPr>
      </w:pPr>
      <w:r>
        <w:rPr>
          <w:rFonts w:ascii="Arial" w:cs="Arial" w:eastAsia="Arial" w:hAnsi="Arial"/>
          <w:sz w:val="16"/>
          <w:szCs w:val="16"/>
          <w:color w:val="auto"/>
        </w:rPr>
        <w:t>The Board has determined that seven of our directors serving on the Board, LTG (Ret.) David F. Melcher, Mr. David J. Albritton, Ms. Carrie L. Anderson, Mr. Robert (Bob) J. Hombach, Dr. Milton M. Morris, Dr. Claire Pomeroy and Ms. Karen N. Prange, are independent under the Nasdaq rules</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and our independence guidelines. Mr. Devdatt (Dev) Kurdikar, an employee of Embecta, and Mr. Christopher R.</w:t>
      </w:r>
    </w:p>
    <w:p>
      <w:pPr>
        <w:spacing w:after="0" w:line="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Reidy, who was employed by BD until his retirement in 2022, are not independent.</w:t>
      </w:r>
    </w:p>
    <w:p>
      <w:pPr>
        <w:spacing w:after="0" w:line="151" w:lineRule="exact"/>
        <w:rPr>
          <w:sz w:val="20"/>
          <w:szCs w:val="20"/>
          <w:color w:val="auto"/>
        </w:rPr>
      </w:pPr>
    </w:p>
    <w:p>
      <w:pPr>
        <w:ind w:left="300" w:right="319"/>
        <w:spacing w:after="0" w:line="266" w:lineRule="auto"/>
        <w:rPr>
          <w:sz w:val="20"/>
          <w:szCs w:val="20"/>
          <w:color w:val="auto"/>
        </w:rPr>
      </w:pPr>
      <w:r>
        <w:rPr>
          <w:rFonts w:ascii="Arial" w:cs="Arial" w:eastAsia="Arial" w:hAnsi="Arial"/>
          <w:sz w:val="16"/>
          <w:szCs w:val="16"/>
          <w:color w:val="auto"/>
        </w:rPr>
        <w:t>In determining the independence of our directors other than Messrs. Kurdikar and Reidy, the Board reviewed any transactions or other dealings by Embecta with organizations with which a director has a relationship, such as service as an employee of an organization or as a member of its governing or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132080</wp:posOffset>
            </wp:positionV>
            <wp:extent cx="699516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6"/>
          <w:szCs w:val="16"/>
          <w:color w:val="342C82"/>
        </w:rPr>
        <w:t>Proposal 1: Election of directors</w:t>
      </w:r>
    </w:p>
    <w:p>
      <w:pPr>
        <w:spacing w:after="0" w:line="113" w:lineRule="exact"/>
        <w:rPr>
          <w:sz w:val="20"/>
          <w:szCs w:val="20"/>
          <w:color w:val="auto"/>
        </w:rPr>
      </w:pPr>
    </w:p>
    <w:p>
      <w:pPr>
        <w:ind w:left="300" w:right="459"/>
        <w:spacing w:after="0" w:line="266" w:lineRule="auto"/>
        <w:rPr>
          <w:sz w:val="20"/>
          <w:szCs w:val="20"/>
          <w:color w:val="auto"/>
        </w:rPr>
      </w:pPr>
      <w:r>
        <w:rPr>
          <w:rFonts w:ascii="Arial" w:cs="Arial" w:eastAsia="Arial" w:hAnsi="Arial"/>
          <w:sz w:val="16"/>
          <w:szCs w:val="16"/>
          <w:color w:val="auto"/>
        </w:rPr>
        <w:t>advisory board. Based on its review, the Board determined that there were no such transactions or dealings in fiscal year 2024 that would interfere with the exercise of independent judgment in carrying out the responsibilities of a director occurred in fiscal year 2024.</w:t>
      </w:r>
    </w:p>
    <w:p>
      <w:pPr>
        <w:spacing w:after="0" w:line="186" w:lineRule="exact"/>
        <w:rPr>
          <w:sz w:val="20"/>
          <w:szCs w:val="20"/>
          <w:color w:val="auto"/>
        </w:rPr>
      </w:pPr>
    </w:p>
    <w:p>
      <w:pPr>
        <w:ind w:left="300"/>
        <w:spacing w:after="0"/>
        <w:rPr>
          <w:sz w:val="20"/>
          <w:szCs w:val="20"/>
          <w:color w:val="auto"/>
        </w:rPr>
      </w:pPr>
      <w:r>
        <w:rPr>
          <w:rFonts w:ascii="Arial" w:cs="Arial" w:eastAsia="Arial" w:hAnsi="Arial"/>
          <w:sz w:val="22"/>
          <w:szCs w:val="22"/>
          <w:color w:val="342C82"/>
        </w:rPr>
        <w:t>Related person transactions</w:t>
      </w:r>
    </w:p>
    <w:p>
      <w:pPr>
        <w:spacing w:after="0" w:line="137" w:lineRule="exact"/>
        <w:rPr>
          <w:sz w:val="20"/>
          <w:szCs w:val="20"/>
          <w:color w:val="auto"/>
        </w:rPr>
      </w:pPr>
    </w:p>
    <w:p>
      <w:pPr>
        <w:ind w:left="300" w:right="399"/>
        <w:spacing w:after="0" w:line="251" w:lineRule="auto"/>
        <w:rPr>
          <w:sz w:val="20"/>
          <w:szCs w:val="20"/>
          <w:color w:val="auto"/>
        </w:rPr>
      </w:pPr>
      <w:r>
        <w:rPr>
          <w:rFonts w:ascii="Arial" w:cs="Arial" w:eastAsia="Arial" w:hAnsi="Arial"/>
          <w:sz w:val="16"/>
          <w:szCs w:val="16"/>
          <w:color w:val="auto"/>
        </w:rPr>
        <w:t>Throughout fiscal year 2024, Embecta did not engage in any transactions with related persons (as defined under applicable SEC rules) meeting the requirements for disclosure in this proxy statement. Each year, our directors, director nominees and executive officers complete a questionnaire designed to elicit information about potential related person transactions. The Governance Committee is responsible for the review and approval or ratification of transactions, arrangements or relationships in which Embecta is a participant and in which related persons have, or will have, a direct or indirect material interest pursuant to the Corporate Governance Principles. The Governance Committee will approve only those transactions that it determines in its business judgment are fair and reasonable to Embecta and in (or not inconsistent with) the best interests of Embecta and its stockholders and that do not impact a director’s independence, in accordance with Embecta’s Related Person Transactions Policy.</w:t>
      </w:r>
    </w:p>
    <w:p>
      <w:pPr>
        <w:spacing w:after="0" w:line="200" w:lineRule="exact"/>
        <w:rPr>
          <w:sz w:val="20"/>
          <w:szCs w:val="20"/>
          <w:color w:val="auto"/>
        </w:rPr>
      </w:pPr>
    </w:p>
    <w:p>
      <w:pPr>
        <w:ind w:left="300"/>
        <w:spacing w:after="0"/>
        <w:rPr>
          <w:sz w:val="20"/>
          <w:szCs w:val="20"/>
          <w:color w:val="auto"/>
        </w:rPr>
      </w:pPr>
      <w:r>
        <w:rPr>
          <w:rFonts w:ascii="Arial" w:cs="Arial" w:eastAsia="Arial" w:hAnsi="Arial"/>
          <w:sz w:val="22"/>
          <w:szCs w:val="22"/>
          <w:color w:val="342C82"/>
        </w:rPr>
        <w:t>Insider trading arrangements and policies</w:t>
      </w:r>
    </w:p>
    <w:p>
      <w:pPr>
        <w:spacing w:after="0" w:line="137" w:lineRule="exact"/>
        <w:rPr>
          <w:sz w:val="20"/>
          <w:szCs w:val="20"/>
          <w:color w:val="auto"/>
        </w:rPr>
      </w:pPr>
    </w:p>
    <w:p>
      <w:pPr>
        <w:ind w:left="300" w:right="339"/>
        <w:spacing w:after="0" w:line="250" w:lineRule="auto"/>
        <w:rPr>
          <w:sz w:val="20"/>
          <w:szCs w:val="20"/>
          <w:color w:val="auto"/>
        </w:rPr>
      </w:pPr>
      <w:r>
        <w:rPr>
          <w:rFonts w:ascii="Arial" w:cs="Arial" w:eastAsia="Arial" w:hAnsi="Arial"/>
          <w:sz w:val="16"/>
          <w:szCs w:val="16"/>
          <w:color w:val="auto"/>
        </w:rPr>
        <w:t>We have adopted an insider trading policy (the “Insider Trading Policy”) governing the purchase, sale and other dispositions of our securities, including by our directors, officers and employees and by Embecta. The Insider Trading Policy prohibits, among other things, insider trading and certain speculative transactions in our securities (including short sales, transacting in put and call options and other hedging or derivative transactions in our securities) and establishes a regular blackout period schedule during which directors, executive officers and employees may not trade in the Company's securities, as well as certain pre-clearance procedures that directors and certain officers, employees and other covered persons must observe prior to effecting any transaction in our securities. We believe the Insider Trading Policy is reasonably designed to promote compliance with applicable insider trading laws, rules and regulations, as well as Nasdaq listing standards. The foregoing description of our Insider Trading Policy is qualified in its entirety by reference to the full text of the Insider Trading Policy, filed as Exhibit 19 to our Annual Report on Form 10-K for the fiscal year ended September 30, 2024, filed with the SEC on December 11, 2024.</w:t>
      </w:r>
    </w:p>
    <w:p>
      <w:pPr>
        <w:spacing w:after="0" w:line="201" w:lineRule="exact"/>
        <w:rPr>
          <w:sz w:val="20"/>
          <w:szCs w:val="20"/>
          <w:color w:val="auto"/>
        </w:rPr>
      </w:pPr>
    </w:p>
    <w:p>
      <w:pPr>
        <w:ind w:left="300"/>
        <w:spacing w:after="0"/>
        <w:rPr>
          <w:sz w:val="20"/>
          <w:szCs w:val="20"/>
          <w:color w:val="auto"/>
        </w:rPr>
      </w:pPr>
      <w:r>
        <w:rPr>
          <w:rFonts w:ascii="Arial" w:cs="Arial" w:eastAsia="Arial" w:hAnsi="Arial"/>
          <w:sz w:val="22"/>
          <w:szCs w:val="22"/>
          <w:color w:val="342C82"/>
        </w:rPr>
        <w:t>Executive sessions of independent directors</w:t>
      </w:r>
    </w:p>
    <w:p>
      <w:pPr>
        <w:spacing w:after="0" w:line="137" w:lineRule="exact"/>
        <w:rPr>
          <w:sz w:val="20"/>
          <w:szCs w:val="20"/>
          <w:color w:val="auto"/>
        </w:rPr>
      </w:pPr>
    </w:p>
    <w:p>
      <w:pPr>
        <w:ind w:left="300" w:right="659"/>
        <w:spacing w:after="0" w:line="266" w:lineRule="auto"/>
        <w:rPr>
          <w:sz w:val="20"/>
          <w:szCs w:val="20"/>
          <w:color w:val="auto"/>
        </w:rPr>
      </w:pPr>
      <w:r>
        <w:rPr>
          <w:rFonts w:ascii="Arial" w:cs="Arial" w:eastAsia="Arial" w:hAnsi="Arial"/>
          <w:sz w:val="16"/>
          <w:szCs w:val="16"/>
          <w:color w:val="auto"/>
        </w:rPr>
        <w:t>The independent directors meet in executive session as a matter of course at each regular meeting of the Board. Mr. Reidy generally will participate in such meetings, but at least once per year there is an executive session consisting only of independent directors.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123825</wp:posOffset>
            </wp:positionV>
            <wp:extent cx="699516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jc w:val="right"/>
        <w:ind w:right="299"/>
        <w:spacing w:after="0"/>
        <w:rPr>
          <w:sz w:val="20"/>
          <w:szCs w:val="20"/>
          <w:color w:val="auto"/>
        </w:rPr>
      </w:pPr>
      <w:r>
        <w:rPr>
          <w:rFonts w:ascii="Arial" w:cs="Arial" w:eastAsia="Arial" w:hAnsi="Arial"/>
          <w:sz w:val="16"/>
          <w:szCs w:val="16"/>
          <w:color w:val="342C82"/>
        </w:rPr>
        <w:t>Proposal 1: Election of directors</w:t>
      </w:r>
    </w:p>
    <w:p>
      <w:pPr>
        <w:spacing w:after="0" w:line="159" w:lineRule="exact"/>
        <w:rPr>
          <w:sz w:val="20"/>
          <w:szCs w:val="20"/>
          <w:color w:val="auto"/>
        </w:rPr>
      </w:pPr>
    </w:p>
    <w:p>
      <w:pPr>
        <w:ind w:left="300"/>
        <w:spacing w:after="0"/>
        <w:rPr>
          <w:sz w:val="20"/>
          <w:szCs w:val="20"/>
          <w:color w:val="auto"/>
        </w:rPr>
      </w:pPr>
      <w:r>
        <w:rPr>
          <w:rFonts w:ascii="Arial" w:cs="Arial" w:eastAsia="Arial" w:hAnsi="Arial"/>
          <w:sz w:val="25"/>
          <w:szCs w:val="25"/>
          <w:color w:val="342C82"/>
        </w:rPr>
        <w:t>Board’s oversight of risk</w:t>
      </w:r>
    </w:p>
    <w:p>
      <w:pPr>
        <w:spacing w:after="0" w:line="276" w:lineRule="exact"/>
        <w:rPr>
          <w:sz w:val="20"/>
          <w:szCs w:val="20"/>
          <w:color w:val="auto"/>
        </w:rPr>
      </w:pPr>
    </w:p>
    <w:p>
      <w:pPr>
        <w:ind w:left="300"/>
        <w:spacing w:after="0"/>
        <w:rPr>
          <w:sz w:val="20"/>
          <w:szCs w:val="20"/>
          <w:color w:val="auto"/>
        </w:rPr>
      </w:pPr>
      <w:r>
        <w:rPr>
          <w:rFonts w:ascii="Arial" w:cs="Arial" w:eastAsia="Arial" w:hAnsi="Arial"/>
          <w:sz w:val="22"/>
          <w:szCs w:val="22"/>
          <w:color w:val="342C82"/>
        </w:rPr>
        <w:t>Role of the board and committees</w:t>
      </w:r>
    </w:p>
    <w:p>
      <w:pPr>
        <w:spacing w:after="0" w:line="227" w:lineRule="exact"/>
        <w:rPr>
          <w:sz w:val="20"/>
          <w:szCs w:val="20"/>
          <w:color w:val="auto"/>
        </w:rPr>
      </w:pPr>
    </w:p>
    <w:p>
      <w:pPr>
        <w:jc w:val="center"/>
        <w:ind w:right="119"/>
        <w:spacing w:after="0"/>
        <w:rPr>
          <w:sz w:val="20"/>
          <w:szCs w:val="20"/>
          <w:color w:val="auto"/>
        </w:rPr>
      </w:pPr>
      <w:r>
        <w:rPr>
          <w:rFonts w:ascii="Arial" w:cs="Arial" w:eastAsia="Arial" w:hAnsi="Arial"/>
          <w:sz w:val="15"/>
          <w:szCs w:val="15"/>
          <w:b w:val="1"/>
          <w:bCs w:val="1"/>
          <w:color w:val="auto"/>
        </w:rPr>
        <w:t>BOARD</w:t>
      </w:r>
    </w:p>
    <w:p>
      <w:pPr>
        <w:spacing w:after="0" w:line="100" w:lineRule="exact"/>
        <w:rPr>
          <w:sz w:val="20"/>
          <w:szCs w:val="20"/>
          <w:color w:val="auto"/>
        </w:rPr>
      </w:pPr>
    </w:p>
    <w:p>
      <w:pPr>
        <w:ind w:left="300" w:right="459"/>
        <w:spacing w:after="0" w:line="236" w:lineRule="auto"/>
        <w:rPr>
          <w:sz w:val="20"/>
          <w:szCs w:val="20"/>
          <w:color w:val="auto"/>
        </w:rPr>
      </w:pPr>
      <w:r>
        <w:rPr>
          <w:rFonts w:ascii="Arial" w:cs="Arial" w:eastAsia="Arial" w:hAnsi="Arial"/>
          <w:sz w:val="15"/>
          <w:szCs w:val="15"/>
          <w:color w:val="auto"/>
        </w:rPr>
        <w:t>The full Board reviews the risks associated with Embecta’s strategic plan and discusses the appropriate levels of risk in light of Embecta’s business objectives. This is done through an annual strategy review process, and from time to time throughout the year as part of the Board’s ongoing review of corporate strategy. The full Board also regularly oversees other areas of potential risk, including Embecta’s capital structure, significant acquisitions and divestitures, and succession planning for Embecta’s CEO and other members of senior management.</w:t>
      </w:r>
    </w:p>
    <w:p>
      <w:pPr>
        <w:spacing w:after="0" w:line="176" w:lineRule="exact"/>
        <w:rPr>
          <w:sz w:val="20"/>
          <w:szCs w:val="20"/>
          <w:color w:val="auto"/>
        </w:rPr>
      </w:pPr>
    </w:p>
    <w:p>
      <w:pPr>
        <w:jc w:val="center"/>
        <w:ind w:right="119"/>
        <w:spacing w:after="0"/>
        <w:rPr>
          <w:sz w:val="20"/>
          <w:szCs w:val="20"/>
          <w:color w:val="auto"/>
        </w:rPr>
      </w:pPr>
      <w:r>
        <w:rPr>
          <w:rFonts w:ascii="Arial" w:cs="Arial" w:eastAsia="Arial" w:hAnsi="Arial"/>
          <w:sz w:val="15"/>
          <w:szCs w:val="15"/>
          <w:b w:val="1"/>
          <w:bCs w:val="1"/>
          <w:color w:val="auto"/>
        </w:rPr>
        <w:t>COMMITTEES</w:t>
      </w:r>
    </w:p>
    <w:p>
      <w:pPr>
        <w:spacing w:after="0" w:line="100" w:lineRule="exact"/>
        <w:rPr>
          <w:sz w:val="20"/>
          <w:szCs w:val="20"/>
          <w:color w:val="auto"/>
        </w:rPr>
      </w:pPr>
    </w:p>
    <w:p>
      <w:pPr>
        <w:ind w:left="300" w:right="519"/>
        <w:spacing w:after="0" w:line="236" w:lineRule="auto"/>
        <w:rPr>
          <w:sz w:val="20"/>
          <w:szCs w:val="20"/>
          <w:color w:val="auto"/>
        </w:rPr>
      </w:pPr>
      <w:r>
        <w:rPr>
          <w:rFonts w:ascii="Arial" w:cs="Arial" w:eastAsia="Arial" w:hAnsi="Arial"/>
          <w:sz w:val="15"/>
          <w:szCs w:val="15"/>
          <w:color w:val="auto"/>
        </w:rPr>
        <w:t>The Committees are responsible for monitoring and reporting to the full Board on risks associated with their respective areas of oversight. In connection with its oversight responsibilities, each Committee often meets with the members of management who are primarily responsible for the management of risk in their respective areas, including, among others, Embecta’s Chief Financial Officer (“CFO”), Chief Human Resources Officer, General Counsel, Chief Technology Officer, Internal Audit and compliance officers.</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210"/>
        </w:trPr>
        <w:tc>
          <w:tcPr>
            <w:tcW w:w="4140" w:type="dxa"/>
            <w:vAlign w:val="bottom"/>
          </w:tcPr>
          <w:p>
            <w:pPr>
              <w:spacing w:after="0"/>
              <w:rPr>
                <w:sz w:val="20"/>
                <w:szCs w:val="20"/>
                <w:color w:val="auto"/>
              </w:rPr>
            </w:pPr>
            <w:r>
              <w:rPr>
                <w:rFonts w:ascii="Arial" w:cs="Arial" w:eastAsia="Arial" w:hAnsi="Arial"/>
                <w:sz w:val="15"/>
                <w:szCs w:val="15"/>
                <w:b w:val="1"/>
                <w:bCs w:val="1"/>
                <w:color w:val="auto"/>
              </w:rPr>
              <w:t>Audit Committee</w:t>
            </w:r>
          </w:p>
        </w:tc>
        <w:tc>
          <w:tcPr>
            <w:tcW w:w="4100" w:type="dxa"/>
            <w:vAlign w:val="bottom"/>
          </w:tcPr>
          <w:p>
            <w:pPr>
              <w:ind w:left="60"/>
              <w:spacing w:after="0"/>
              <w:rPr>
                <w:sz w:val="20"/>
                <w:szCs w:val="20"/>
                <w:color w:val="auto"/>
              </w:rPr>
            </w:pPr>
            <w:r>
              <w:rPr>
                <w:rFonts w:ascii="Arial" w:cs="Arial" w:eastAsia="Arial" w:hAnsi="Arial"/>
                <w:sz w:val="15"/>
                <w:szCs w:val="15"/>
                <w:b w:val="1"/>
                <w:bCs w:val="1"/>
                <w:color w:val="auto"/>
              </w:rPr>
              <w:t>Corporate Governance and Nominating Committee</w:t>
            </w:r>
          </w:p>
        </w:tc>
        <w:tc>
          <w:tcPr>
            <w:tcW w:w="0" w:type="dxa"/>
            <w:vAlign w:val="bottom"/>
          </w:tcPr>
          <w:p>
            <w:pPr>
              <w:spacing w:after="0"/>
              <w:rPr>
                <w:sz w:val="1"/>
                <w:szCs w:val="1"/>
                <w:color w:val="auto"/>
              </w:rPr>
            </w:pPr>
          </w:p>
        </w:tc>
      </w:tr>
      <w:tr>
        <w:trPr>
          <w:trHeight w:val="224"/>
        </w:trPr>
        <w:tc>
          <w:tcPr>
            <w:tcW w:w="4140" w:type="dxa"/>
            <w:vAlign w:val="bottom"/>
          </w:tcPr>
          <w:p>
            <w:pPr>
              <w:spacing w:after="0"/>
              <w:rPr>
                <w:sz w:val="20"/>
                <w:szCs w:val="20"/>
                <w:color w:val="auto"/>
              </w:rPr>
            </w:pPr>
            <w:r>
              <w:rPr>
                <w:rFonts w:ascii="Arial" w:cs="Arial" w:eastAsia="Arial" w:hAnsi="Arial"/>
                <w:sz w:val="15"/>
                <w:szCs w:val="15"/>
                <w:color w:val="342C82"/>
              </w:rPr>
              <w:t>•</w:t>
            </w:r>
            <w:r>
              <w:rPr>
                <w:rFonts w:ascii="Arial" w:cs="Arial" w:eastAsia="Arial" w:hAnsi="Arial"/>
                <w:sz w:val="15"/>
                <w:szCs w:val="15"/>
                <w:color w:val="000000"/>
              </w:rPr>
              <w:t xml:space="preserve">   Oversees Embecta’s enterprise risk management</w:t>
            </w:r>
          </w:p>
        </w:tc>
        <w:tc>
          <w:tcPr>
            <w:tcW w:w="4100" w:type="dxa"/>
            <w:vAlign w:val="bottom"/>
          </w:tcPr>
          <w:p>
            <w:pPr>
              <w:ind w:left="60"/>
              <w:spacing w:after="0"/>
              <w:rPr>
                <w:sz w:val="20"/>
                <w:szCs w:val="20"/>
                <w:color w:val="auto"/>
              </w:rPr>
            </w:pPr>
            <w:r>
              <w:rPr>
                <w:rFonts w:ascii="Arial" w:cs="Arial" w:eastAsia="Arial" w:hAnsi="Arial"/>
                <w:sz w:val="15"/>
                <w:szCs w:val="15"/>
                <w:color w:val="342C82"/>
              </w:rPr>
              <w:t>•</w:t>
            </w:r>
            <w:r>
              <w:rPr>
                <w:rFonts w:ascii="Arial" w:cs="Arial" w:eastAsia="Arial" w:hAnsi="Arial"/>
                <w:sz w:val="15"/>
                <w:szCs w:val="15"/>
                <w:color w:val="000000"/>
              </w:rPr>
              <w:t xml:space="preserve">   Oversees risks relating to Embecta’s corporate</w:t>
            </w:r>
          </w:p>
        </w:tc>
        <w:tc>
          <w:tcPr>
            <w:tcW w:w="0" w:type="dxa"/>
            <w:vAlign w:val="bottom"/>
          </w:tcPr>
          <w:p>
            <w:pPr>
              <w:spacing w:after="0"/>
              <w:rPr>
                <w:sz w:val="1"/>
                <w:szCs w:val="1"/>
                <w:color w:val="auto"/>
              </w:rPr>
            </w:pPr>
          </w:p>
        </w:tc>
      </w:tr>
      <w:tr>
        <w:trPr>
          <w:trHeight w:val="162"/>
        </w:trPr>
        <w:tc>
          <w:tcPr>
            <w:tcW w:w="4140" w:type="dxa"/>
            <w:vAlign w:val="bottom"/>
          </w:tcPr>
          <w:p>
            <w:pPr>
              <w:ind w:left="200"/>
              <w:spacing w:after="0" w:line="162" w:lineRule="exact"/>
              <w:rPr>
                <w:sz w:val="20"/>
                <w:szCs w:val="20"/>
                <w:color w:val="auto"/>
              </w:rPr>
            </w:pPr>
            <w:r>
              <w:rPr>
                <w:rFonts w:ascii="Arial" w:cs="Arial" w:eastAsia="Arial" w:hAnsi="Arial"/>
                <w:sz w:val="15"/>
                <w:szCs w:val="15"/>
                <w:color w:val="auto"/>
              </w:rPr>
              <w:t>(“ERM”) activities.</w:t>
            </w:r>
          </w:p>
        </w:tc>
        <w:tc>
          <w:tcPr>
            <w:tcW w:w="4100" w:type="dxa"/>
            <w:vAlign w:val="bottom"/>
          </w:tcPr>
          <w:p>
            <w:pPr>
              <w:ind w:left="280"/>
              <w:spacing w:after="0" w:line="162" w:lineRule="exact"/>
              <w:rPr>
                <w:sz w:val="20"/>
                <w:szCs w:val="20"/>
                <w:color w:val="auto"/>
              </w:rPr>
            </w:pPr>
            <w:r>
              <w:rPr>
                <w:rFonts w:ascii="Arial" w:cs="Arial" w:eastAsia="Arial" w:hAnsi="Arial"/>
                <w:sz w:val="15"/>
                <w:szCs w:val="15"/>
                <w:color w:val="auto"/>
              </w:rPr>
              <w:t>governance practices, including director independence,</w:t>
            </w:r>
          </w:p>
        </w:tc>
        <w:tc>
          <w:tcPr>
            <w:tcW w:w="0" w:type="dxa"/>
            <w:vAlign w:val="bottom"/>
          </w:tcPr>
          <w:p>
            <w:pPr>
              <w:spacing w:after="0"/>
              <w:rPr>
                <w:sz w:val="1"/>
                <w:szCs w:val="1"/>
                <w:color w:val="auto"/>
              </w:rPr>
            </w:pPr>
          </w:p>
        </w:tc>
      </w:tr>
      <w:tr>
        <w:trPr>
          <w:trHeight w:val="162"/>
        </w:trPr>
        <w:tc>
          <w:tcPr>
            <w:tcW w:w="4140" w:type="dxa"/>
            <w:vAlign w:val="bottom"/>
            <w:vMerge w:val="restart"/>
          </w:tcPr>
          <w:p>
            <w:pPr>
              <w:spacing w:after="0"/>
              <w:rPr>
                <w:sz w:val="20"/>
                <w:szCs w:val="20"/>
                <w:color w:val="auto"/>
              </w:rPr>
            </w:pPr>
            <w:r>
              <w:rPr>
                <w:rFonts w:ascii="Arial" w:cs="Arial" w:eastAsia="Arial" w:hAnsi="Arial"/>
                <w:sz w:val="15"/>
                <w:szCs w:val="15"/>
                <w:color w:val="342C82"/>
              </w:rPr>
              <w:t>•</w:t>
            </w:r>
            <w:r>
              <w:rPr>
                <w:rFonts w:ascii="Arial" w:cs="Arial" w:eastAsia="Arial" w:hAnsi="Arial"/>
                <w:sz w:val="15"/>
                <w:szCs w:val="15"/>
                <w:color w:val="000000"/>
              </w:rPr>
              <w:t xml:space="preserve">   Oversees Embecta’s accounting and financial reporting</w:t>
            </w:r>
          </w:p>
        </w:tc>
        <w:tc>
          <w:tcPr>
            <w:tcW w:w="4100" w:type="dxa"/>
            <w:vAlign w:val="bottom"/>
          </w:tcPr>
          <w:p>
            <w:pPr>
              <w:ind w:left="280"/>
              <w:spacing w:after="0" w:line="162" w:lineRule="exact"/>
              <w:rPr>
                <w:sz w:val="20"/>
                <w:szCs w:val="20"/>
                <w:color w:val="auto"/>
              </w:rPr>
            </w:pPr>
            <w:r>
              <w:rPr>
                <w:rFonts w:ascii="Arial" w:cs="Arial" w:eastAsia="Arial" w:hAnsi="Arial"/>
                <w:sz w:val="15"/>
                <w:szCs w:val="15"/>
                <w:color w:val="auto"/>
              </w:rPr>
              <w:t>related person transactions and conflicts of interest, and</w:t>
            </w:r>
          </w:p>
        </w:tc>
        <w:tc>
          <w:tcPr>
            <w:tcW w:w="0" w:type="dxa"/>
            <w:vAlign w:val="bottom"/>
          </w:tcPr>
          <w:p>
            <w:pPr>
              <w:spacing w:after="0"/>
              <w:rPr>
                <w:sz w:val="1"/>
                <w:szCs w:val="1"/>
                <w:color w:val="auto"/>
              </w:rPr>
            </w:pPr>
          </w:p>
        </w:tc>
      </w:tr>
      <w:tr>
        <w:trPr>
          <w:trHeight w:val="68"/>
        </w:trPr>
        <w:tc>
          <w:tcPr>
            <w:tcW w:w="4140" w:type="dxa"/>
            <w:vAlign w:val="bottom"/>
            <w:vMerge w:val="continue"/>
          </w:tcPr>
          <w:p>
            <w:pPr>
              <w:spacing w:after="0"/>
              <w:rPr>
                <w:sz w:val="5"/>
                <w:szCs w:val="5"/>
                <w:color w:val="auto"/>
              </w:rPr>
            </w:pPr>
          </w:p>
        </w:tc>
        <w:tc>
          <w:tcPr>
            <w:tcW w:w="4100" w:type="dxa"/>
            <w:vAlign w:val="bottom"/>
            <w:vMerge w:val="restart"/>
          </w:tcPr>
          <w:p>
            <w:pPr>
              <w:ind w:left="280"/>
              <w:spacing w:after="0" w:line="162" w:lineRule="exact"/>
              <w:rPr>
                <w:sz w:val="20"/>
                <w:szCs w:val="20"/>
                <w:color w:val="auto"/>
              </w:rPr>
            </w:pPr>
            <w:r>
              <w:rPr>
                <w:rFonts w:ascii="Arial" w:cs="Arial" w:eastAsia="Arial" w:hAnsi="Arial"/>
                <w:sz w:val="15"/>
                <w:szCs w:val="15"/>
                <w:color w:val="auto"/>
              </w:rPr>
              <w:t>crisis management, as well as the process and practices</w:t>
            </w:r>
          </w:p>
        </w:tc>
        <w:tc>
          <w:tcPr>
            <w:tcW w:w="0" w:type="dxa"/>
            <w:vAlign w:val="bottom"/>
          </w:tcPr>
          <w:p>
            <w:pPr>
              <w:spacing w:after="0"/>
              <w:rPr>
                <w:sz w:val="1"/>
                <w:szCs w:val="1"/>
                <w:color w:val="auto"/>
              </w:rPr>
            </w:pPr>
          </w:p>
        </w:tc>
      </w:tr>
      <w:tr>
        <w:trPr>
          <w:trHeight w:val="94"/>
        </w:trPr>
        <w:tc>
          <w:tcPr>
            <w:tcW w:w="4140" w:type="dxa"/>
            <w:vAlign w:val="bottom"/>
            <w:vMerge w:val="restart"/>
          </w:tcPr>
          <w:p>
            <w:pPr>
              <w:ind w:left="200"/>
              <w:spacing w:after="0" w:line="162" w:lineRule="exact"/>
              <w:rPr>
                <w:sz w:val="20"/>
                <w:szCs w:val="20"/>
                <w:color w:val="auto"/>
              </w:rPr>
            </w:pPr>
            <w:r>
              <w:rPr>
                <w:rFonts w:ascii="Arial" w:cs="Arial" w:eastAsia="Arial" w:hAnsi="Arial"/>
                <w:sz w:val="15"/>
                <w:szCs w:val="15"/>
                <w:color w:val="auto"/>
              </w:rPr>
              <w:t>processes and the integrity of Embecta’s financial</w:t>
            </w:r>
          </w:p>
        </w:tc>
        <w:tc>
          <w:tcPr>
            <w:tcW w:w="4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4140" w:type="dxa"/>
            <w:vAlign w:val="bottom"/>
            <w:vMerge w:val="continue"/>
          </w:tcPr>
          <w:p>
            <w:pPr>
              <w:spacing w:after="0"/>
              <w:rPr>
                <w:sz w:val="5"/>
                <w:szCs w:val="5"/>
                <w:color w:val="auto"/>
              </w:rPr>
            </w:pPr>
          </w:p>
        </w:tc>
        <w:tc>
          <w:tcPr>
            <w:tcW w:w="4100" w:type="dxa"/>
            <w:vAlign w:val="bottom"/>
            <w:vMerge w:val="restart"/>
          </w:tcPr>
          <w:p>
            <w:pPr>
              <w:ind w:left="280"/>
              <w:spacing w:after="0" w:line="162" w:lineRule="exact"/>
              <w:rPr>
                <w:sz w:val="20"/>
                <w:szCs w:val="20"/>
                <w:color w:val="auto"/>
              </w:rPr>
            </w:pPr>
            <w:r>
              <w:rPr>
                <w:rFonts w:ascii="Arial" w:cs="Arial" w:eastAsia="Arial" w:hAnsi="Arial"/>
                <w:sz w:val="15"/>
                <w:szCs w:val="15"/>
                <w:color w:val="auto"/>
              </w:rPr>
              <w:t>relating to the management and oversight of ESG</w:t>
            </w:r>
          </w:p>
        </w:tc>
        <w:tc>
          <w:tcPr>
            <w:tcW w:w="0" w:type="dxa"/>
            <w:vAlign w:val="bottom"/>
          </w:tcPr>
          <w:p>
            <w:pPr>
              <w:spacing w:after="0"/>
              <w:rPr>
                <w:sz w:val="1"/>
                <w:szCs w:val="1"/>
                <w:color w:val="auto"/>
              </w:rPr>
            </w:pPr>
          </w:p>
        </w:tc>
      </w:tr>
      <w:tr>
        <w:trPr>
          <w:trHeight w:val="95"/>
        </w:trPr>
        <w:tc>
          <w:tcPr>
            <w:tcW w:w="4140" w:type="dxa"/>
            <w:vAlign w:val="bottom"/>
            <w:vMerge w:val="restart"/>
          </w:tcPr>
          <w:p>
            <w:pPr>
              <w:ind w:left="200"/>
              <w:spacing w:after="0" w:line="162" w:lineRule="exact"/>
              <w:rPr>
                <w:sz w:val="20"/>
                <w:szCs w:val="20"/>
                <w:color w:val="auto"/>
              </w:rPr>
            </w:pPr>
            <w:r>
              <w:rPr>
                <w:rFonts w:ascii="Arial" w:cs="Arial" w:eastAsia="Arial" w:hAnsi="Arial"/>
                <w:sz w:val="15"/>
                <w:szCs w:val="15"/>
                <w:color w:val="auto"/>
              </w:rPr>
              <w:t>statements, cybersecurity and data privacy risk exposure,</w:t>
            </w:r>
          </w:p>
        </w:tc>
        <w:tc>
          <w:tcPr>
            <w:tcW w:w="4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4140" w:type="dxa"/>
            <w:vAlign w:val="bottom"/>
            <w:vMerge w:val="continue"/>
          </w:tcPr>
          <w:p>
            <w:pPr>
              <w:spacing w:after="0"/>
              <w:rPr>
                <w:sz w:val="5"/>
                <w:szCs w:val="5"/>
                <w:color w:val="auto"/>
              </w:rPr>
            </w:pPr>
          </w:p>
        </w:tc>
        <w:tc>
          <w:tcPr>
            <w:tcW w:w="4100" w:type="dxa"/>
            <w:vAlign w:val="bottom"/>
            <w:vMerge w:val="restart"/>
          </w:tcPr>
          <w:p>
            <w:pPr>
              <w:ind w:left="280"/>
              <w:spacing w:after="0"/>
              <w:rPr>
                <w:sz w:val="20"/>
                <w:szCs w:val="20"/>
                <w:color w:val="auto"/>
              </w:rPr>
            </w:pPr>
            <w:r>
              <w:rPr>
                <w:rFonts w:ascii="Arial" w:cs="Arial" w:eastAsia="Arial" w:hAnsi="Arial"/>
                <w:sz w:val="15"/>
                <w:szCs w:val="15"/>
                <w:color w:val="auto"/>
              </w:rPr>
              <w:t>matters.</w:t>
            </w:r>
          </w:p>
        </w:tc>
        <w:tc>
          <w:tcPr>
            <w:tcW w:w="0" w:type="dxa"/>
            <w:vAlign w:val="bottom"/>
          </w:tcPr>
          <w:p>
            <w:pPr>
              <w:spacing w:after="0"/>
              <w:rPr>
                <w:sz w:val="1"/>
                <w:szCs w:val="1"/>
                <w:color w:val="auto"/>
              </w:rPr>
            </w:pPr>
          </w:p>
        </w:tc>
      </w:tr>
      <w:tr>
        <w:trPr>
          <w:trHeight w:val="133"/>
        </w:trPr>
        <w:tc>
          <w:tcPr>
            <w:tcW w:w="4140" w:type="dxa"/>
            <w:vAlign w:val="bottom"/>
            <w:vMerge w:val="restart"/>
          </w:tcPr>
          <w:p>
            <w:pPr>
              <w:ind w:left="200"/>
              <w:spacing w:after="0" w:line="162" w:lineRule="exact"/>
              <w:rPr>
                <w:sz w:val="20"/>
                <w:szCs w:val="20"/>
                <w:color w:val="auto"/>
              </w:rPr>
            </w:pPr>
            <w:r>
              <w:rPr>
                <w:rFonts w:ascii="Arial" w:cs="Arial" w:eastAsia="Arial" w:hAnsi="Arial"/>
                <w:sz w:val="15"/>
                <w:szCs w:val="15"/>
                <w:color w:val="auto"/>
              </w:rPr>
              <w:t>Embecta’s ethics and compliance program (including the</w:t>
            </w:r>
          </w:p>
        </w:tc>
        <w:tc>
          <w:tcPr>
            <w:tcW w:w="4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4140" w:type="dxa"/>
            <w:vAlign w:val="bottom"/>
            <w:vMerge w:val="continue"/>
          </w:tcPr>
          <w:p>
            <w:pPr>
              <w:spacing w:after="0"/>
              <w:rPr>
                <w:sz w:val="2"/>
                <w:szCs w:val="2"/>
                <w:color w:val="auto"/>
              </w:rPr>
            </w:pPr>
          </w:p>
        </w:tc>
        <w:tc>
          <w:tcPr>
            <w:tcW w:w="4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4140" w:type="dxa"/>
            <w:vAlign w:val="bottom"/>
          </w:tcPr>
          <w:p>
            <w:pPr>
              <w:ind w:left="200"/>
              <w:spacing w:after="0"/>
              <w:rPr>
                <w:sz w:val="20"/>
                <w:szCs w:val="20"/>
                <w:color w:val="auto"/>
              </w:rPr>
            </w:pPr>
            <w:r>
              <w:rPr>
                <w:rFonts w:ascii="Arial" w:cs="Arial" w:eastAsia="Arial" w:hAnsi="Arial"/>
                <w:sz w:val="15"/>
                <w:szCs w:val="15"/>
                <w:color w:val="auto"/>
              </w:rPr>
              <w:t>Ethics Helpline) and its insurance coverages.</w:t>
            </w:r>
          </w:p>
        </w:tc>
        <w:tc>
          <w:tcPr>
            <w:tcW w:w="4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sectPr>
          <w:pgSz w:w="11900" w:h="16838" w:orient="portrait"/>
          <w:cols w:equalWidth="0" w:num="1">
            <w:col w:w="9019"/>
          </w:cols>
          <w:pgMar w:left="1440" w:top="114" w:right="1440" w:bottom="1440" w:gutter="0" w:footer="0" w:header="0"/>
        </w:sectPr>
      </w:pPr>
    </w:p>
    <w:p>
      <w:pPr>
        <w:ind w:left="300" w:right="1140"/>
        <w:spacing w:after="0" w:line="278" w:lineRule="auto"/>
        <w:rPr>
          <w:sz w:val="20"/>
          <w:szCs w:val="20"/>
          <w:color w:val="auto"/>
        </w:rPr>
      </w:pPr>
      <w:r>
        <w:rPr>
          <w:rFonts w:ascii="Arial" w:cs="Arial" w:eastAsia="Arial" w:hAnsi="Arial"/>
          <w:sz w:val="15"/>
          <w:szCs w:val="15"/>
          <w:b w:val="1"/>
          <w:bCs w:val="1"/>
          <w:color w:val="auto"/>
        </w:rPr>
        <w:t>Compensation and Management Development Committee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Technology, Quality and Regulatory</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Committee</w:t>
      </w:r>
    </w:p>
    <w:p>
      <w:pPr>
        <w:spacing w:after="0" w:line="83" w:lineRule="exact"/>
        <w:rPr>
          <w:sz w:val="20"/>
          <w:szCs w:val="20"/>
          <w:color w:val="auto"/>
        </w:rPr>
      </w:pPr>
    </w:p>
    <w:p>
      <w:pPr>
        <w:sectPr>
          <w:pgSz w:w="11900" w:h="16838" w:orient="portrait"/>
          <w:cols w:equalWidth="0" w:num="2">
            <w:col w:w="3780" w:space="720"/>
            <w:col w:w="4519"/>
          </w:cols>
          <w:pgMar w:left="1440" w:top="114" w:right="1440" w:bottom="1440" w:gutter="0" w:footer="0" w:header="0"/>
          <w:type w:val="continuous"/>
        </w:sectPr>
      </w:pPr>
    </w:p>
    <w:p>
      <w:pPr>
        <w:ind w:left="300"/>
        <w:spacing w:after="0"/>
        <w:rPr>
          <w:sz w:val="20"/>
          <w:szCs w:val="20"/>
          <w:color w:val="auto"/>
        </w:rPr>
      </w:pPr>
      <w:r>
        <w:rPr>
          <w:rFonts w:ascii="Arial" w:cs="Arial" w:eastAsia="Arial" w:hAnsi="Arial"/>
          <w:sz w:val="12"/>
          <w:szCs w:val="12"/>
          <w:color w:val="342C82"/>
        </w:rPr>
        <w:t>•</w:t>
      </w:r>
      <w:r>
        <w:rPr>
          <w:rFonts w:ascii="Arial" w:cs="Arial" w:eastAsia="Arial" w:hAnsi="Arial"/>
          <w:sz w:val="12"/>
          <w:szCs w:val="12"/>
          <w:color w:val="000000"/>
        </w:rPr>
        <w:t xml:space="preserve"> </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5"/>
          <w:szCs w:val="15"/>
          <w:color w:val="auto"/>
        </w:rPr>
        <w:t>Oversees risks associated with Embecta’s compensation practices and programs and human capital management.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342C82"/>
        </w:rPr>
        <w:t>•</w:t>
      </w:r>
      <w:r>
        <w:rPr>
          <w:rFonts w:ascii="Arial" w:cs="Arial" w:eastAsia="Arial" w:hAnsi="Arial"/>
          <w:sz w:val="15"/>
          <w:szCs w:val="15"/>
          <w:color w:val="000000"/>
        </w:rPr>
        <w:t xml:space="preserve"> </w:t>
      </w:r>
    </w:p>
    <w:p>
      <w:pPr>
        <w:spacing w:after="0" w:line="20" w:lineRule="exact"/>
        <w:rPr>
          <w:sz w:val="20"/>
          <w:szCs w:val="20"/>
          <w:color w:val="auto"/>
        </w:rPr>
      </w:pPr>
      <w:r>
        <w:rPr>
          <w:sz w:val="20"/>
          <w:szCs w:val="20"/>
          <w:color w:val="auto"/>
        </w:rPr>
        <w:br w:type="column"/>
      </w:r>
    </w:p>
    <w:p>
      <w:pPr>
        <w:ind w:right="699"/>
        <w:spacing w:after="0" w:line="238" w:lineRule="auto"/>
        <w:rPr>
          <w:sz w:val="20"/>
          <w:szCs w:val="20"/>
          <w:color w:val="auto"/>
        </w:rPr>
      </w:pPr>
      <w:r>
        <w:rPr>
          <w:rFonts w:ascii="Arial" w:cs="Arial" w:eastAsia="Arial" w:hAnsi="Arial"/>
          <w:sz w:val="15"/>
          <w:szCs w:val="15"/>
          <w:color w:val="auto"/>
        </w:rPr>
        <w:t>Oversees risks associated with product development, safety and innovation, research and development activities, quality systems, and regulatory compliance matters.</w:t>
      </w:r>
    </w:p>
    <w:p>
      <w:pPr>
        <w:spacing w:after="0" w:line="178" w:lineRule="exact"/>
        <w:rPr>
          <w:sz w:val="20"/>
          <w:szCs w:val="20"/>
          <w:color w:val="auto"/>
        </w:rPr>
      </w:pPr>
    </w:p>
    <w:p>
      <w:pPr>
        <w:sectPr>
          <w:pgSz w:w="11900" w:h="16838" w:orient="portrait"/>
          <w:cols w:equalWidth="0" w:num="4">
            <w:col w:w="380" w:space="120"/>
            <w:col w:w="3860" w:space="140"/>
            <w:col w:w="100" w:space="120"/>
            <w:col w:w="4299"/>
          </w:cols>
          <w:pgMar w:left="1440" w:top="114" w:right="1440" w:bottom="1440" w:gutter="0" w:footer="0" w:header="0"/>
          <w:type w:val="continuous"/>
        </w:sectPr>
      </w:pPr>
    </w:p>
    <w:p>
      <w:pPr>
        <w:jc w:val="center"/>
        <w:ind w:right="119"/>
        <w:spacing w:after="0"/>
        <w:rPr>
          <w:sz w:val="20"/>
          <w:szCs w:val="20"/>
          <w:color w:val="auto"/>
        </w:rPr>
      </w:pPr>
      <w:r>
        <w:rPr>
          <w:rFonts w:ascii="Arial" w:cs="Arial" w:eastAsia="Arial" w:hAnsi="Arial"/>
          <w:sz w:val="15"/>
          <w:szCs w:val="15"/>
          <w:b w:val="1"/>
          <w:bCs w:val="1"/>
          <w:color w:val="auto"/>
        </w:rPr>
        <w:t>MANAGEMENT</w:t>
      </w:r>
    </w:p>
    <w:p>
      <w:pPr>
        <w:spacing w:after="0" w:line="100" w:lineRule="exact"/>
        <w:rPr>
          <w:sz w:val="20"/>
          <w:szCs w:val="20"/>
          <w:color w:val="auto"/>
        </w:rPr>
      </w:pPr>
    </w:p>
    <w:p>
      <w:pPr>
        <w:ind w:left="300" w:right="419"/>
        <w:spacing w:after="0" w:line="232" w:lineRule="auto"/>
        <w:rPr>
          <w:sz w:val="20"/>
          <w:szCs w:val="20"/>
          <w:color w:val="auto"/>
        </w:rPr>
      </w:pPr>
      <w:r>
        <w:rPr>
          <w:rFonts w:ascii="Arial" w:cs="Arial" w:eastAsia="Arial" w:hAnsi="Arial"/>
          <w:sz w:val="15"/>
          <w:szCs w:val="15"/>
          <w:color w:val="auto"/>
        </w:rPr>
        <w:t>Embecta’s management engages in an ERM process to identify, assess, manage and mitigate a broad range of risks across Embecta’s businesses, regions and functions, and to ensure alignment of our risk assessment and mitigation efforts with Embecta’s corporate strategy. Senior management reviews the results of its ERM activities with the Audit Committee at least once a year, including the process used within the organization to identify risks, management’s assessment of the significant categories of risk faced by Embecta (including any changes in such assessment since the last review), and management’s plans to mitigate potential exposures. The significant risks identified through Embecta’s ERM activities and the related mitigation plans are also reviewed with the full Board at least once a year. In addition, certain risks (such as cybersecurity) are frequently reviewed in depth with both the Audit Committee and/or the full Board.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123825</wp:posOffset>
            </wp:positionV>
            <wp:extent cx="699516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6"/>
          <w:szCs w:val="16"/>
          <w:color w:val="342C82"/>
        </w:rPr>
        <w:t>Proposal 1: Election of directors</w:t>
      </w:r>
    </w:p>
    <w:p>
      <w:pPr>
        <w:spacing w:after="0" w:line="159" w:lineRule="exact"/>
        <w:rPr>
          <w:sz w:val="20"/>
          <w:szCs w:val="20"/>
          <w:color w:val="auto"/>
        </w:rPr>
      </w:pPr>
    </w:p>
    <w:p>
      <w:pPr>
        <w:ind w:left="300"/>
        <w:spacing w:after="0"/>
        <w:rPr>
          <w:sz w:val="20"/>
          <w:szCs w:val="20"/>
          <w:color w:val="auto"/>
        </w:rPr>
      </w:pPr>
      <w:r>
        <w:rPr>
          <w:rFonts w:ascii="Arial" w:cs="Arial" w:eastAsia="Arial" w:hAnsi="Arial"/>
          <w:sz w:val="25"/>
          <w:szCs w:val="25"/>
          <w:color w:val="342C82"/>
        </w:rPr>
        <w:t>Specific risk oversight</w:t>
      </w:r>
    </w:p>
    <w:p>
      <w:pPr>
        <w:spacing w:after="0" w:line="276" w:lineRule="exact"/>
        <w:rPr>
          <w:sz w:val="20"/>
          <w:szCs w:val="20"/>
          <w:color w:val="auto"/>
        </w:rPr>
      </w:pPr>
    </w:p>
    <w:p>
      <w:pPr>
        <w:ind w:left="300"/>
        <w:spacing w:after="0"/>
        <w:rPr>
          <w:sz w:val="20"/>
          <w:szCs w:val="20"/>
          <w:color w:val="auto"/>
        </w:rPr>
      </w:pPr>
      <w:r>
        <w:rPr>
          <w:rFonts w:ascii="Arial" w:cs="Arial" w:eastAsia="Arial" w:hAnsi="Arial"/>
          <w:sz w:val="22"/>
          <w:szCs w:val="22"/>
          <w:color w:val="342C82"/>
        </w:rPr>
        <w:t>Compensation programs</w:t>
      </w:r>
    </w:p>
    <w:p>
      <w:pPr>
        <w:spacing w:after="0" w:line="124" w:lineRule="exact"/>
        <w:rPr>
          <w:sz w:val="20"/>
          <w:szCs w:val="20"/>
          <w:color w:val="auto"/>
        </w:rPr>
      </w:pPr>
    </w:p>
    <w:p>
      <w:pPr>
        <w:ind w:left="300" w:right="319"/>
        <w:spacing w:after="0" w:line="249" w:lineRule="auto"/>
        <w:rPr>
          <w:sz w:val="20"/>
          <w:szCs w:val="20"/>
          <w:color w:val="auto"/>
        </w:rPr>
      </w:pPr>
      <w:r>
        <w:rPr>
          <w:rFonts w:ascii="Arial" w:cs="Arial" w:eastAsia="Arial" w:hAnsi="Arial"/>
          <w:sz w:val="16"/>
          <w:szCs w:val="16"/>
          <w:color w:val="auto"/>
        </w:rPr>
        <w:t>With respect to our compensation policies and practices, Embecta’s management and the Compensation Committee, with Korn Ferry’s assistance, have reviewed our policies and practices to determine whether they create risks that are reasonably likely to have a material adverse effect on Embecta. In connection with this risk assessment, management reviewed the design of Embecta’s compensation programs (in particular, our performance-based compensation programs) and related policies, potential risks that could be created by the programs, and features of our programs that help mitigate risk. Among the factors considered were the mix of cash and equity compensation, and of fixed and variable compensation, paid to our employees; the balance between short- and long-term objectives in our incentive compensation; the performance targets, mix of performance metrics, vesting periods, threshold performance requirements and funding formulas related to our incentive compensation; the degree to which programs are formulaic or provide discretion to determine payout amounts; caps on payouts; our clawback and share retention and ownership policies; and our general governance structure. Based on this review, we believe that our compensation policies and practices do not create risks that are reasonably likely to have a material adverse effect on Embecta.</w:t>
      </w:r>
    </w:p>
    <w:p>
      <w:pPr>
        <w:spacing w:after="0" w:line="200" w:lineRule="exact"/>
        <w:rPr>
          <w:sz w:val="20"/>
          <w:szCs w:val="20"/>
          <w:color w:val="auto"/>
        </w:rPr>
      </w:pPr>
    </w:p>
    <w:p>
      <w:pPr>
        <w:spacing w:after="0" w:line="211" w:lineRule="exact"/>
        <w:rPr>
          <w:sz w:val="20"/>
          <w:szCs w:val="20"/>
          <w:color w:val="auto"/>
        </w:rPr>
      </w:pPr>
    </w:p>
    <w:p>
      <w:pPr>
        <w:ind w:left="300"/>
        <w:spacing w:after="0"/>
        <w:rPr>
          <w:sz w:val="20"/>
          <w:szCs w:val="20"/>
          <w:color w:val="auto"/>
        </w:rPr>
      </w:pPr>
      <w:r>
        <w:rPr>
          <w:rFonts w:ascii="Arial" w:cs="Arial" w:eastAsia="Arial" w:hAnsi="Arial"/>
          <w:sz w:val="22"/>
          <w:szCs w:val="22"/>
          <w:color w:val="342C82"/>
        </w:rPr>
        <w:t>Cybersecurity</w:t>
      </w:r>
    </w:p>
    <w:p>
      <w:pPr>
        <w:spacing w:after="0" w:line="137" w:lineRule="exact"/>
        <w:rPr>
          <w:sz w:val="20"/>
          <w:szCs w:val="20"/>
          <w:color w:val="auto"/>
        </w:rPr>
      </w:pPr>
    </w:p>
    <w:p>
      <w:pPr>
        <w:ind w:left="300" w:right="399"/>
        <w:spacing w:after="0" w:line="254" w:lineRule="auto"/>
        <w:rPr>
          <w:sz w:val="20"/>
          <w:szCs w:val="20"/>
          <w:color w:val="auto"/>
        </w:rPr>
      </w:pPr>
      <w:r>
        <w:rPr>
          <w:rFonts w:ascii="Arial" w:cs="Arial" w:eastAsia="Arial" w:hAnsi="Arial"/>
          <w:sz w:val="16"/>
          <w:szCs w:val="16"/>
          <w:color w:val="auto"/>
        </w:rPr>
        <w:t>Embecta relies on industry-standard software applications, information technology (“IT”), computing infrastructure, and cloud service providers to perform essential operations. Many of these systems are managed, hosted, provided, or utilized by third parties, including BD, to support our business activities. Embecta utilizes the ISO 27001 framework, which incorporates the National Institute of Standards and Technology and Center for Internet Security frameworks, and various risk management frameworks to proactively evaluate its cybersecurity controls, risks, and overall program effectiveness.</w:t>
      </w:r>
    </w:p>
    <w:p>
      <w:pPr>
        <w:spacing w:after="0" w:line="128" w:lineRule="exact"/>
        <w:rPr>
          <w:sz w:val="20"/>
          <w:szCs w:val="20"/>
          <w:color w:val="auto"/>
        </w:rPr>
      </w:pPr>
    </w:p>
    <w:p>
      <w:pPr>
        <w:ind w:left="300" w:right="319"/>
        <w:spacing w:after="0" w:line="252" w:lineRule="auto"/>
        <w:rPr>
          <w:sz w:val="20"/>
          <w:szCs w:val="20"/>
          <w:color w:val="auto"/>
        </w:rPr>
      </w:pPr>
      <w:r>
        <w:rPr>
          <w:rFonts w:ascii="Arial" w:cs="Arial" w:eastAsia="Arial" w:hAnsi="Arial"/>
          <w:sz w:val="16"/>
          <w:szCs w:val="16"/>
          <w:color w:val="auto"/>
        </w:rPr>
        <w:t>Cybersecurity risk management is integrated into our broader ERM framework to promote a Company-wide culture of awareness and proactive risk management. Our ERM framework is overseen by the Audit Committee and the Board. Our Chief Information Officer (“CIO”) and Vice President of IT Infrastructure and Security (“VP IT”) are responsible for updating the Audit Committee and the Board on Embecta’s cybersecurity risks. The Audit Committee receive updates on cybersecurity-related topics throughout the year, including any major cybersecurity incidents. Additionally, the Board receives periodic updates on information security and cybersecurity matters from our CIO and VP IT. As part of our risk management process, we engage external providers to conduct periodic internal and external penetration testing and security assessments.</w:t>
      </w:r>
    </w:p>
    <w:p>
      <w:pPr>
        <w:spacing w:after="0" w:line="129" w:lineRule="exact"/>
        <w:rPr>
          <w:sz w:val="20"/>
          <w:szCs w:val="20"/>
          <w:color w:val="auto"/>
        </w:rPr>
      </w:pPr>
    </w:p>
    <w:p>
      <w:pPr>
        <w:ind w:left="300" w:right="359"/>
        <w:spacing w:after="0" w:line="266" w:lineRule="auto"/>
        <w:rPr>
          <w:sz w:val="20"/>
          <w:szCs w:val="20"/>
          <w:color w:val="auto"/>
        </w:rPr>
      </w:pPr>
      <w:r>
        <w:rPr>
          <w:rFonts w:ascii="Arial" w:cs="Arial" w:eastAsia="Arial" w:hAnsi="Arial"/>
          <w:sz w:val="16"/>
          <w:szCs w:val="16"/>
          <w:color w:val="auto"/>
        </w:rPr>
        <w:t>Additional information on Embecta’s cybersecurity risk management and governance is contained in the section titled “Part 1. Item 1C. Cybersecurity” of Embecta’s Annual Report on Form 10-K for the fiscal year ended September 30, 2024.</w:t>
      </w:r>
    </w:p>
    <w:p>
      <w:pPr>
        <w:spacing w:after="0" w:line="199" w:lineRule="exact"/>
        <w:rPr>
          <w:sz w:val="20"/>
          <w:szCs w:val="20"/>
          <w:color w:val="auto"/>
        </w:rPr>
      </w:pPr>
    </w:p>
    <w:p>
      <w:pPr>
        <w:ind w:left="300"/>
        <w:spacing w:after="0"/>
        <w:rPr>
          <w:sz w:val="20"/>
          <w:szCs w:val="20"/>
          <w:color w:val="auto"/>
        </w:rPr>
      </w:pPr>
      <w:r>
        <w:rPr>
          <w:rFonts w:ascii="Arial" w:cs="Arial" w:eastAsia="Arial" w:hAnsi="Arial"/>
          <w:sz w:val="22"/>
          <w:szCs w:val="22"/>
          <w:color w:val="342C82"/>
        </w:rPr>
        <w:t>Product quality and patient safety</w:t>
      </w:r>
    </w:p>
    <w:p>
      <w:pPr>
        <w:spacing w:after="0" w:line="124" w:lineRule="exact"/>
        <w:rPr>
          <w:sz w:val="20"/>
          <w:szCs w:val="20"/>
          <w:color w:val="auto"/>
        </w:rPr>
      </w:pPr>
    </w:p>
    <w:p>
      <w:pPr>
        <w:ind w:left="300" w:right="319"/>
        <w:spacing w:after="0" w:line="250" w:lineRule="auto"/>
        <w:rPr>
          <w:sz w:val="20"/>
          <w:szCs w:val="20"/>
          <w:color w:val="auto"/>
        </w:rPr>
      </w:pPr>
      <w:r>
        <w:rPr>
          <w:rFonts w:ascii="Arial" w:cs="Arial" w:eastAsia="Arial" w:hAnsi="Arial"/>
          <w:sz w:val="16"/>
          <w:szCs w:val="16"/>
          <w:color w:val="auto"/>
        </w:rPr>
        <w:t>The TQR Committee provides oversight of matters relating to regulatory compliance and the quality and safety of Embecta’s products and services. The TQR Committee receives in-depth updates from Embecta’s management on the overall quality strategy and the systems in place to monitor the quality and safety of Embecta’s products and services, the quality internal audit program and the results of product quality and quality system assessments by Embecta and external regulators (and Embecta’s response to such assessments), and the processes and procedures relating to compliance with relevant laws and regulations. Management provides updates to the TQR Committee on significant risks and developments in the global regulatory environment and significant product quality, safety or regulatory registration or compliance issues. The TQR Committee also reviews product quality, safety or regulatory registration or compliance risks identified in connection with acquisitions and the related integration plans for such businesses. The full Board receives periodic updates on product quality and safety risks for the users of our products.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132080</wp:posOffset>
            </wp:positionV>
            <wp:extent cx="699516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jc w:val="right"/>
        <w:ind w:right="299"/>
        <w:spacing w:after="0"/>
        <w:rPr>
          <w:sz w:val="20"/>
          <w:szCs w:val="20"/>
          <w:color w:val="auto"/>
        </w:rPr>
      </w:pPr>
      <w:r>
        <w:rPr>
          <w:rFonts w:ascii="Arial" w:cs="Arial" w:eastAsia="Arial" w:hAnsi="Arial"/>
          <w:sz w:val="16"/>
          <w:szCs w:val="16"/>
          <w:color w:val="342C82"/>
        </w:rPr>
        <w:t>Proposal 1: Election of directors</w:t>
      </w:r>
    </w:p>
    <w:p>
      <w:pPr>
        <w:spacing w:after="0" w:line="159" w:lineRule="exact"/>
        <w:rPr>
          <w:sz w:val="20"/>
          <w:szCs w:val="20"/>
          <w:color w:val="auto"/>
        </w:rPr>
      </w:pPr>
    </w:p>
    <w:p>
      <w:pPr>
        <w:ind w:left="300"/>
        <w:spacing w:after="0"/>
        <w:rPr>
          <w:sz w:val="20"/>
          <w:szCs w:val="20"/>
          <w:color w:val="auto"/>
        </w:rPr>
      </w:pPr>
      <w:r>
        <w:rPr>
          <w:rFonts w:ascii="Arial" w:cs="Arial" w:eastAsia="Arial" w:hAnsi="Arial"/>
          <w:sz w:val="25"/>
          <w:szCs w:val="25"/>
          <w:color w:val="342C82"/>
        </w:rPr>
        <w:t>ESG</w:t>
      </w:r>
    </w:p>
    <w:p>
      <w:pPr>
        <w:spacing w:after="0" w:line="153" w:lineRule="exact"/>
        <w:rPr>
          <w:sz w:val="20"/>
          <w:szCs w:val="20"/>
          <w:color w:val="auto"/>
        </w:rPr>
      </w:pPr>
    </w:p>
    <w:p>
      <w:pPr>
        <w:ind w:left="300" w:right="359"/>
        <w:spacing w:after="0" w:line="266" w:lineRule="auto"/>
        <w:rPr>
          <w:sz w:val="20"/>
          <w:szCs w:val="20"/>
          <w:color w:val="auto"/>
        </w:rPr>
      </w:pPr>
      <w:r>
        <w:rPr>
          <w:rFonts w:ascii="Arial" w:cs="Arial" w:eastAsia="Arial" w:hAnsi="Arial"/>
          <w:sz w:val="16"/>
          <w:szCs w:val="16"/>
          <w:color w:val="auto"/>
        </w:rPr>
        <w:t>At the Board level, the Governance Committee oversees the processes and practices relating to management and oversight of ESG matters, as described in the Governance Committee’s charter. Relevant Board Committees provide input throughout the year, and the full Board receives updates on ESG strategy and its progress.</w:t>
      </w:r>
    </w:p>
    <w:p>
      <w:pPr>
        <w:spacing w:after="0" w:line="117" w:lineRule="exact"/>
        <w:rPr>
          <w:sz w:val="20"/>
          <w:szCs w:val="20"/>
          <w:color w:val="auto"/>
        </w:rPr>
      </w:pPr>
    </w:p>
    <w:p>
      <w:pPr>
        <w:ind w:left="300" w:right="359"/>
        <w:spacing w:after="0" w:line="253" w:lineRule="auto"/>
        <w:rPr>
          <w:sz w:val="20"/>
          <w:szCs w:val="20"/>
          <w:color w:val="auto"/>
        </w:rPr>
      </w:pPr>
      <w:r>
        <w:rPr>
          <w:rFonts w:ascii="Arial" w:cs="Arial" w:eastAsia="Arial" w:hAnsi="Arial"/>
          <w:sz w:val="16"/>
          <w:szCs w:val="16"/>
          <w:color w:val="auto"/>
        </w:rPr>
        <w:t>At the management level, Embecta has an Enterprise Risk Committee (“ERC”) that provides oversight of Embecta’s ERM program and its progress towards priority ESG matters. The ERC consists of a cross-functional group of management, including members of the ESG Working Group, a group of leaders from across Embecta tasked with shaping and driving the ESG strategy, and works with various internal operating committees that are executing on Embecta’s ESG strategy in order to monitor and ensure accountability towards Embecta’s ESG goals, some of which are incorporated into its compensation metrics. The ERC is also responsible for reporting to the Board and the Committees and overseeing external and internal reporting on ESG matters.</w:t>
      </w:r>
    </w:p>
    <w:p>
      <w:pPr>
        <w:spacing w:after="0" w:line="127" w:lineRule="exact"/>
        <w:rPr>
          <w:sz w:val="20"/>
          <w:szCs w:val="20"/>
          <w:color w:val="auto"/>
        </w:rPr>
      </w:pPr>
    </w:p>
    <w:p>
      <w:pPr>
        <w:ind w:left="300" w:right="339"/>
        <w:spacing w:after="0" w:line="250" w:lineRule="auto"/>
        <w:rPr>
          <w:sz w:val="20"/>
          <w:szCs w:val="20"/>
          <w:color w:val="auto"/>
        </w:rPr>
      </w:pPr>
      <w:r>
        <w:rPr>
          <w:rFonts w:ascii="Arial" w:cs="Arial" w:eastAsia="Arial" w:hAnsi="Arial"/>
          <w:sz w:val="16"/>
          <w:szCs w:val="16"/>
          <w:color w:val="auto"/>
        </w:rPr>
        <w:t>As part of the Separation, Embecta started to develop its standalone multi-year strategy to advance ESG initiatives, which included evaluation and assessment, recognizing that Embecta’s risks and impacts are different from those of BD. This evaluation phase commenced with a Sustainability Materiality Assessment (completed in September 2022) and an internal review of the United Nations Sustainable Development Goals (UNSDGs) and their relevance to Embecta. After completing the materiality assessment in late 2022, our ESG team presented to our management and Board our strategic focus areas around which we will monitor and report. Our ESG strategic focus areas are:</w:t>
      </w:r>
    </w:p>
    <w:p>
      <w:pPr>
        <w:ind w:left="300" w:right="719" w:hanging="8"/>
        <w:spacing w:after="0" w:line="252" w:lineRule="auto"/>
        <w:tabs>
          <w:tab w:leader="none" w:pos="489" w:val="left"/>
        </w:tabs>
        <w:numPr>
          <w:ilvl w:val="0"/>
          <w:numId w:val="11"/>
        </w:numPr>
        <w:rPr>
          <w:rFonts w:ascii="Arial" w:cs="Arial" w:eastAsia="Arial" w:hAnsi="Arial"/>
          <w:sz w:val="16"/>
          <w:szCs w:val="16"/>
          <w:color w:val="auto"/>
        </w:rPr>
      </w:pPr>
      <w:r>
        <w:rPr>
          <w:rFonts w:ascii="Arial" w:cs="Arial" w:eastAsia="Arial" w:hAnsi="Arial"/>
          <w:sz w:val="16"/>
          <w:szCs w:val="16"/>
          <w:color w:val="auto"/>
        </w:rPr>
        <w:t>improving the lives of people living with diabetes; (ii) supporting our team; (iii) better for our planet; and (iv) responsible operations. In 2023, Embecta’s ESG strategy centered on Embecta’s commitment to delivering its products and solutions responsibly and with a view toward how its business impacts the broader communities in which it operates, and continued to evolve alongside Embecta’s business.</w:t>
      </w:r>
    </w:p>
    <w:p>
      <w:pPr>
        <w:spacing w:after="0" w:line="337" w:lineRule="exact"/>
        <w:rPr>
          <w:sz w:val="20"/>
          <w:szCs w:val="20"/>
          <w:color w:val="auto"/>
        </w:rPr>
      </w:pPr>
    </w:p>
    <w:p>
      <w:pPr>
        <w:ind w:left="300"/>
        <w:spacing w:after="0"/>
        <w:rPr>
          <w:sz w:val="20"/>
          <w:szCs w:val="20"/>
          <w:color w:val="auto"/>
        </w:rPr>
      </w:pPr>
      <w:r>
        <w:rPr>
          <w:rFonts w:ascii="Arial" w:cs="Arial" w:eastAsia="Arial" w:hAnsi="Arial"/>
          <w:sz w:val="25"/>
          <w:szCs w:val="25"/>
          <w:color w:val="342C82"/>
        </w:rPr>
        <w:t>Diversity, Equity and Inclusion</w:t>
      </w:r>
    </w:p>
    <w:p>
      <w:pPr>
        <w:spacing w:after="0" w:line="153" w:lineRule="exact"/>
        <w:rPr>
          <w:sz w:val="20"/>
          <w:szCs w:val="20"/>
          <w:color w:val="auto"/>
        </w:rPr>
      </w:pPr>
    </w:p>
    <w:p>
      <w:pPr>
        <w:ind w:left="300" w:right="299"/>
        <w:spacing w:after="0" w:line="256" w:lineRule="auto"/>
        <w:rPr>
          <w:sz w:val="20"/>
          <w:szCs w:val="20"/>
          <w:color w:val="auto"/>
        </w:rPr>
      </w:pPr>
      <w:r>
        <w:rPr>
          <w:rFonts w:ascii="Arial" w:cs="Arial" w:eastAsia="Arial" w:hAnsi="Arial"/>
          <w:sz w:val="16"/>
          <w:szCs w:val="16"/>
          <w:color w:val="auto"/>
        </w:rPr>
        <w:t>Embecta engages a workforce that reflects the communities it operates in. Our workforce possesses a broad range of thoughts and experiences, starting with a diverse leadership team and Board. Our commitment to diversity, equity, and inclusion is embedded in our values. We believe that diversity of our teams makes us better at identifying opportunities and solving problems. We are committed to creating and sustaining an environment where everyone brings their authentic selves to work, to help us fulfill our mission of making life better for people with diabetes.</w:t>
      </w:r>
    </w:p>
    <w:p>
      <w:pPr>
        <w:spacing w:after="0" w:line="256" w:lineRule="exact"/>
        <w:rPr>
          <w:sz w:val="20"/>
          <w:szCs w:val="20"/>
          <w:color w:val="auto"/>
        </w:rPr>
      </w:pPr>
    </w:p>
    <w:p>
      <w:pPr>
        <w:ind w:left="300"/>
        <w:spacing w:after="0"/>
        <w:rPr>
          <w:sz w:val="20"/>
          <w:szCs w:val="20"/>
          <w:color w:val="auto"/>
        </w:rPr>
      </w:pPr>
      <w:r>
        <w:rPr>
          <w:rFonts w:ascii="Arial" w:cs="Arial" w:eastAsia="Arial" w:hAnsi="Arial"/>
          <w:sz w:val="18"/>
          <w:szCs w:val="18"/>
          <w:color w:val="342C82"/>
        </w:rPr>
        <w:t>Pay equity</w:t>
      </w:r>
    </w:p>
    <w:p>
      <w:pPr>
        <w:spacing w:after="0" w:line="162" w:lineRule="exact"/>
        <w:rPr>
          <w:sz w:val="20"/>
          <w:szCs w:val="20"/>
          <w:color w:val="auto"/>
        </w:rPr>
      </w:pPr>
    </w:p>
    <w:p>
      <w:pPr>
        <w:ind w:left="300" w:right="619"/>
        <w:spacing w:after="0" w:line="266" w:lineRule="auto"/>
        <w:rPr>
          <w:sz w:val="20"/>
          <w:szCs w:val="20"/>
          <w:color w:val="auto"/>
        </w:rPr>
      </w:pPr>
      <w:r>
        <w:rPr>
          <w:rFonts w:ascii="Arial" w:cs="Arial" w:eastAsia="Arial" w:hAnsi="Arial"/>
          <w:sz w:val="16"/>
          <w:szCs w:val="16"/>
          <w:color w:val="auto"/>
        </w:rPr>
        <w:t>Embecta is committed to compensating its employees fairly and equitably. We take a proactive approach to pay equity and continually monitor our compensation program and policies to ensure fair outcomes. Where necessary and appropriate, we take action and make pay adjustments to address any inconsistencies.</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6"/>
          <w:szCs w:val="16"/>
          <w:color w:val="auto"/>
        </w:rPr>
        <w:t>We believe that pay equity is critical to our success in supporting a global, diverse, and inclusive workforce.</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16"/>
          <w:szCs w:val="16"/>
          <w:color w:val="342C82"/>
        </w:rPr>
        <w:t>Note about website and ESG reports</w:t>
      </w:r>
    </w:p>
    <w:p>
      <w:pPr>
        <w:spacing w:after="0" w:line="167" w:lineRule="exact"/>
        <w:rPr>
          <w:sz w:val="20"/>
          <w:szCs w:val="20"/>
          <w:color w:val="auto"/>
        </w:rPr>
      </w:pPr>
    </w:p>
    <w:p>
      <w:pPr>
        <w:ind w:left="300" w:right="319"/>
        <w:spacing w:after="0" w:line="254" w:lineRule="auto"/>
        <w:rPr>
          <w:sz w:val="20"/>
          <w:szCs w:val="20"/>
          <w:color w:val="auto"/>
        </w:rPr>
      </w:pPr>
      <w:r>
        <w:rPr>
          <w:rFonts w:ascii="Arial" w:cs="Arial" w:eastAsia="Arial" w:hAnsi="Arial"/>
          <w:sz w:val="16"/>
          <w:szCs w:val="16"/>
          <w:color w:val="auto"/>
        </w:rPr>
        <w:t>The reports mentioned above, or any other information from the Embecta website, are not part of, or incorporated by reference into this proxy statement. Some of the statements and reports contain cautionary statements regarding forward-looking information that should be carefully considered. Our statements and reports about our objectives may include statistics or metrics that are estimates, make assumptions based on developing standards that may change, and provide aspirational goals that are not intended to be promises or guarantees. The statements and reports may also change at any time, and we undertake no obligation to update them, except as required by law.</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123825</wp:posOffset>
            </wp:positionV>
            <wp:extent cx="699516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6"/>
          <w:szCs w:val="16"/>
          <w:color w:val="342C82"/>
        </w:rPr>
        <w:t>Proposal 1: Election of directors</w:t>
      </w:r>
    </w:p>
    <w:p>
      <w:pPr>
        <w:spacing w:after="0" w:line="128" w:lineRule="exact"/>
        <w:rPr>
          <w:sz w:val="20"/>
          <w:szCs w:val="20"/>
          <w:color w:val="auto"/>
        </w:rPr>
      </w:pPr>
    </w:p>
    <w:p>
      <w:pPr>
        <w:ind w:left="300"/>
        <w:spacing w:after="0"/>
        <w:rPr>
          <w:sz w:val="20"/>
          <w:szCs w:val="20"/>
          <w:color w:val="auto"/>
        </w:rPr>
      </w:pPr>
      <w:r>
        <w:rPr>
          <w:rFonts w:ascii="Arial" w:cs="Arial" w:eastAsia="Arial" w:hAnsi="Arial"/>
          <w:sz w:val="22"/>
          <w:szCs w:val="22"/>
          <w:color w:val="342C82"/>
        </w:rPr>
        <w:t>Code of conduct</w:t>
      </w:r>
    </w:p>
    <w:p>
      <w:pPr>
        <w:spacing w:after="0" w:line="137" w:lineRule="exact"/>
        <w:rPr>
          <w:sz w:val="20"/>
          <w:szCs w:val="20"/>
          <w:color w:val="auto"/>
        </w:rPr>
      </w:pPr>
    </w:p>
    <w:p>
      <w:pPr>
        <w:ind w:left="300" w:right="319"/>
        <w:spacing w:after="0" w:line="252" w:lineRule="auto"/>
        <w:rPr>
          <w:sz w:val="20"/>
          <w:szCs w:val="20"/>
          <w:color w:val="auto"/>
        </w:rPr>
      </w:pPr>
      <w:r>
        <w:rPr>
          <w:rFonts w:ascii="Arial" w:cs="Arial" w:eastAsia="Arial" w:hAnsi="Arial"/>
          <w:sz w:val="16"/>
          <w:szCs w:val="16"/>
          <w:color w:val="auto"/>
        </w:rPr>
        <w:t>Embecta maintains a Code of Conduct that is applicable to all directors, officers and associates of Embecta, including our CEO, CFO, principal accounting officer and other senior financial officers. It sets forth Embecta’s policies and expectations on several topics, including conflicts of interest, confidentiality, compliance with laws (including insider trading laws), preservation and use of Embecta’s assets, and business ethics. The Code of Conduct also sets forth procedures for addressing any potential conflict of interest (or the appearance of a conflict of interest) involving directors or executive officers, and for the confidential communication and handling of issues regarding accounting, internal control and auditing matters. Every Embecta associate is required to complete annual training on the Code of Conduct.</w:t>
      </w:r>
    </w:p>
    <w:p>
      <w:pPr>
        <w:spacing w:after="0" w:line="129" w:lineRule="exact"/>
        <w:rPr>
          <w:sz w:val="20"/>
          <w:szCs w:val="20"/>
          <w:color w:val="auto"/>
        </w:rPr>
      </w:pPr>
    </w:p>
    <w:p>
      <w:pPr>
        <w:ind w:left="300" w:right="319"/>
        <w:spacing w:after="0" w:line="251" w:lineRule="auto"/>
        <w:rPr>
          <w:sz w:val="20"/>
          <w:szCs w:val="20"/>
          <w:color w:val="auto"/>
        </w:rPr>
      </w:pPr>
      <w:r>
        <w:rPr>
          <w:rFonts w:ascii="Arial" w:cs="Arial" w:eastAsia="Arial" w:hAnsi="Arial"/>
          <w:sz w:val="16"/>
          <w:szCs w:val="16"/>
          <w:color w:val="auto"/>
        </w:rPr>
        <w:t>Embecta also maintains Ethics Helpline telephone numbers and an online reporting tool for Embecta associates as means of raising concerns or seeking advice. The Ethics Helpline is available to associates in the U.S., China and Ireland and the online reporting tool is available to associates worldwide. Associates using the Ethics Helpline and online reporting tool may choose to remain anonymous and all inquiries are kept confidential to the extent practicable in connection with the investigation of an inquiry. All Ethics Helpline inquiries are forwarded to Embecta’s ethics and compliance department for investigation. The Audit Committee is informed of any reported matters, whether through the Ethics Helpline or otherwise, that could potentially be significant to Embecta, including accounting, internal control or auditing matters, or any fraud involving management or persons who have a significant role in Embecta’s internal controls.</w:t>
      </w:r>
    </w:p>
    <w:p>
      <w:pPr>
        <w:spacing w:after="0" w:line="131" w:lineRule="exact"/>
        <w:rPr>
          <w:sz w:val="20"/>
          <w:szCs w:val="20"/>
          <w:color w:val="auto"/>
        </w:rPr>
      </w:pPr>
    </w:p>
    <w:p>
      <w:pPr>
        <w:ind w:left="300" w:right="299"/>
        <w:spacing w:after="0" w:line="254" w:lineRule="auto"/>
        <w:rPr>
          <w:sz w:val="20"/>
          <w:szCs w:val="20"/>
          <w:color w:val="auto"/>
        </w:rPr>
      </w:pPr>
      <w:r>
        <w:rPr>
          <w:rFonts w:ascii="Arial" w:cs="Arial" w:eastAsia="Arial" w:hAnsi="Arial"/>
          <w:sz w:val="16"/>
          <w:szCs w:val="16"/>
          <w:color w:val="auto"/>
        </w:rPr>
        <w:t>Waivers of any provision of the Code of Conduct are rare and may be granted only by the ethics office, in consultation with the General Counsel. Waivers for executive officers or directors may only be granted by the Board. In addition, certain amendments to the Code of Conduct, as well as any waivers from certain provisions of the Code of Conduct given to Embecta’s CEO, CFO or principal accounting officer, will be posted at the website address set forth below. To the extent required by the rules of the SEC or the Nasdaq, Embecta intends to satisfy the disclosure requirements regarding any amendment or waiver of our Code of Conduct by posting such information on our website.</w:t>
      </w:r>
    </w:p>
    <w:p>
      <w:pPr>
        <w:spacing w:after="0" w:line="128" w:lineRule="exact"/>
        <w:rPr>
          <w:sz w:val="20"/>
          <w:szCs w:val="20"/>
          <w:color w:val="auto"/>
        </w:rPr>
      </w:pPr>
    </w:p>
    <w:p>
      <w:pPr>
        <w:ind w:left="300" w:right="319"/>
        <w:spacing w:after="0" w:line="259" w:lineRule="auto"/>
        <w:rPr>
          <w:sz w:val="20"/>
          <w:szCs w:val="20"/>
          <w:color w:val="auto"/>
        </w:rPr>
      </w:pPr>
      <w:r>
        <w:rPr>
          <w:rFonts w:ascii="Arial" w:cs="Arial" w:eastAsia="Arial" w:hAnsi="Arial"/>
          <w:sz w:val="16"/>
          <w:szCs w:val="16"/>
          <w:color w:val="auto"/>
        </w:rPr>
        <w:t>The Code of Conduct is available on Embecta’s website at investors.embecta.com/corporate-governance/documents-charters. Printed copies of the Code of Conduct may be obtained, without charge, by contacting the Corporate Secretary, Embecta Corp., 300 Kimball Drive, Ste 300, Parsippany, New Jersey 07054; telephone 201-847-6880 or 862-401-0000.</w:t>
      </w:r>
    </w:p>
    <w:p>
      <w:pPr>
        <w:spacing w:after="0" w:line="192" w:lineRule="exact"/>
        <w:rPr>
          <w:sz w:val="20"/>
          <w:szCs w:val="20"/>
          <w:color w:val="auto"/>
        </w:rPr>
      </w:pPr>
    </w:p>
    <w:p>
      <w:pPr>
        <w:ind w:left="300"/>
        <w:spacing w:after="0"/>
        <w:rPr>
          <w:sz w:val="20"/>
          <w:szCs w:val="20"/>
          <w:color w:val="auto"/>
        </w:rPr>
      </w:pPr>
      <w:r>
        <w:rPr>
          <w:rFonts w:ascii="Arial" w:cs="Arial" w:eastAsia="Arial" w:hAnsi="Arial"/>
          <w:sz w:val="22"/>
          <w:szCs w:val="22"/>
          <w:color w:val="342C82"/>
        </w:rPr>
        <w:t>Enterprise ethics and compliance</w:t>
      </w:r>
    </w:p>
    <w:p>
      <w:pPr>
        <w:spacing w:after="0" w:line="137" w:lineRule="exact"/>
        <w:rPr>
          <w:sz w:val="20"/>
          <w:szCs w:val="20"/>
          <w:color w:val="auto"/>
        </w:rPr>
      </w:pPr>
    </w:p>
    <w:p>
      <w:pPr>
        <w:ind w:left="300" w:right="319"/>
        <w:spacing w:after="0" w:line="253" w:lineRule="auto"/>
        <w:rPr>
          <w:sz w:val="20"/>
          <w:szCs w:val="20"/>
          <w:color w:val="auto"/>
        </w:rPr>
      </w:pPr>
      <w:r>
        <w:rPr>
          <w:rFonts w:ascii="Arial" w:cs="Arial" w:eastAsia="Arial" w:hAnsi="Arial"/>
          <w:sz w:val="16"/>
          <w:szCs w:val="16"/>
          <w:color w:val="auto"/>
        </w:rPr>
        <w:t>Under the oversight of the Audit Committee, Embecta’s global ethics and compliance function seeks to ensure that Embecta has a comprehensive compliance program that is designed to prevent and detect wrongdoing and continuously encourages lawful and ethical conduct. Embecta’s General Counsel, along with the Senior Director of Ethics, Compliance and Privacy, lead the global ethics and compliance function and oversee these activities to ensure effective operation and enforcement of Embecta’s ethics and compliance program. The ethics and compliance program is integrated into our global business operations. We evaluate the effectiveness of our program and adapt it periodically to ensure it is appropriately tailored to address the risks inherent in our global business.</w:t>
      </w:r>
    </w:p>
    <w:p>
      <w:pPr>
        <w:spacing w:after="0" w:line="127" w:lineRule="exact"/>
        <w:rPr>
          <w:sz w:val="20"/>
          <w:szCs w:val="20"/>
          <w:color w:val="auto"/>
        </w:rPr>
      </w:pPr>
    </w:p>
    <w:p>
      <w:pPr>
        <w:ind w:left="300" w:right="359"/>
        <w:spacing w:after="0" w:line="254" w:lineRule="auto"/>
        <w:rPr>
          <w:sz w:val="20"/>
          <w:szCs w:val="20"/>
          <w:color w:val="auto"/>
        </w:rPr>
      </w:pPr>
      <w:r>
        <w:rPr>
          <w:rFonts w:ascii="Arial" w:cs="Arial" w:eastAsia="Arial" w:hAnsi="Arial"/>
          <w:sz w:val="16"/>
          <w:szCs w:val="16"/>
          <w:color w:val="auto"/>
        </w:rPr>
        <w:t>In addition to our Code of Conduct, Embecta has a set of global policies and standards, including our Global Standards for Interactions with Healthcare Professionals, Healthcare Organizations, and Government Officials, which are designed to ensure associates have clear guidance on how to do what is right in the context of their work for Embecta. Embecta associates must comply with these Global Standards, the Embecta Code of Conduct, Embecta policies and procedures, applicable laws and regulations, and relevant industry codes (including AdvaMed, APACMed, MedTech Europe, Mecomed, and ABIMED).</w:t>
      </w:r>
    </w:p>
    <w:p>
      <w:pPr>
        <w:spacing w:after="0" w:line="128" w:lineRule="exact"/>
        <w:rPr>
          <w:sz w:val="20"/>
          <w:szCs w:val="20"/>
          <w:color w:val="auto"/>
        </w:rPr>
      </w:pPr>
    </w:p>
    <w:p>
      <w:pPr>
        <w:jc w:val="both"/>
        <w:ind w:left="300" w:right="339"/>
        <w:spacing w:after="0" w:line="266" w:lineRule="auto"/>
        <w:rPr>
          <w:sz w:val="20"/>
          <w:szCs w:val="20"/>
          <w:color w:val="auto"/>
        </w:rPr>
      </w:pPr>
      <w:r>
        <w:rPr>
          <w:rFonts w:ascii="Arial" w:cs="Arial" w:eastAsia="Arial" w:hAnsi="Arial"/>
          <w:sz w:val="16"/>
          <w:szCs w:val="16"/>
          <w:color w:val="auto"/>
        </w:rPr>
        <w:t>Embecta associates receive information and training about the Code of Conduct, Global Standards and other policies in several ways, including periodic communications and trainings. Associates can access detailed information on our expectations through our intranet.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123825</wp:posOffset>
            </wp:positionV>
            <wp:extent cx="699516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6420"/>
        <w:spacing w:after="0"/>
        <w:rPr>
          <w:sz w:val="20"/>
          <w:szCs w:val="20"/>
          <w:color w:val="auto"/>
        </w:rPr>
      </w:pPr>
      <w:r>
        <w:rPr>
          <w:rFonts w:ascii="Arial" w:cs="Arial" w:eastAsia="Arial" w:hAnsi="Arial"/>
          <w:sz w:val="16"/>
          <w:szCs w:val="16"/>
          <w:color w:val="342C82"/>
        </w:rPr>
        <w:t>Proposal 1: Election of directors</w:t>
      </w:r>
    </w:p>
    <w:p>
      <w:pPr>
        <w:spacing w:after="0" w:line="113" w:lineRule="exact"/>
        <w:rPr>
          <w:sz w:val="20"/>
          <w:szCs w:val="20"/>
          <w:color w:val="auto"/>
        </w:rPr>
      </w:pPr>
    </w:p>
    <w:p>
      <w:pPr>
        <w:ind w:left="300" w:right="339"/>
        <w:spacing w:after="0" w:line="253" w:lineRule="auto"/>
        <w:rPr>
          <w:sz w:val="20"/>
          <w:szCs w:val="20"/>
          <w:color w:val="auto"/>
        </w:rPr>
      </w:pPr>
      <w:r>
        <w:rPr>
          <w:rFonts w:ascii="Arial" w:cs="Arial" w:eastAsia="Arial" w:hAnsi="Arial"/>
          <w:sz w:val="16"/>
          <w:szCs w:val="16"/>
          <w:color w:val="auto"/>
        </w:rPr>
        <w:t>Except as prohibited by applicable law, Embecta associates are obligated to report any suspected violations of laws, industry codes, the Embecta Code of Conduct or Embecta policies in accordance with Embecta’s Code of Conduct, under which all associates, vendors and other third parties working on behalf of Embecta are encouraged to ask questions, raise concerns or seek guidance in a number of ways (such as using an online reporting tool or by calling the Ethics Helpline). Embecta takes all reports of violations of laws, Embecta policies, and ethical standards seriously and will promptly, fairly, and thoroughly investigate all such reports. Embecta does not tolerate any form of retaliation against any person who in good faith reports an actual or suspected violation.</w:t>
      </w:r>
    </w:p>
    <w:p>
      <w:pPr>
        <w:spacing w:after="0" w:line="298" w:lineRule="exact"/>
        <w:rPr>
          <w:sz w:val="20"/>
          <w:szCs w:val="20"/>
          <w:color w:val="auto"/>
        </w:rPr>
      </w:pPr>
    </w:p>
    <w:p>
      <w:pPr>
        <w:ind w:left="300"/>
        <w:spacing w:after="0"/>
        <w:rPr>
          <w:sz w:val="20"/>
          <w:szCs w:val="20"/>
          <w:color w:val="auto"/>
        </w:rPr>
      </w:pPr>
      <w:r>
        <w:rPr>
          <w:rFonts w:ascii="Arial" w:cs="Arial" w:eastAsia="Arial" w:hAnsi="Arial"/>
          <w:sz w:val="29"/>
          <w:szCs w:val="29"/>
          <w:color w:val="342C82"/>
        </w:rPr>
        <w:t>Board practices, policies and processes</w:t>
      </w:r>
    </w:p>
    <w:p>
      <w:pPr>
        <w:spacing w:after="0" w:line="324" w:lineRule="exact"/>
        <w:rPr>
          <w:sz w:val="20"/>
          <w:szCs w:val="20"/>
          <w:color w:val="auto"/>
        </w:rPr>
      </w:pPr>
    </w:p>
    <w:p>
      <w:pPr>
        <w:ind w:left="300"/>
        <w:spacing w:after="0"/>
        <w:rPr>
          <w:sz w:val="20"/>
          <w:szCs w:val="20"/>
          <w:color w:val="auto"/>
        </w:rPr>
      </w:pPr>
      <w:r>
        <w:rPr>
          <w:rFonts w:ascii="Arial" w:cs="Arial" w:eastAsia="Arial" w:hAnsi="Arial"/>
          <w:sz w:val="25"/>
          <w:szCs w:val="25"/>
          <w:color w:val="342C82"/>
        </w:rPr>
        <w:t>Governance best practices</w:t>
      </w:r>
    </w:p>
    <w:p>
      <w:pPr>
        <w:spacing w:after="0" w:line="126" w:lineRule="exact"/>
        <w:rPr>
          <w:sz w:val="20"/>
          <w:szCs w:val="20"/>
          <w:color w:val="auto"/>
        </w:rPr>
      </w:pPr>
    </w:p>
    <w:p>
      <w:pPr>
        <w:ind w:left="300" w:right="339"/>
        <w:spacing w:after="0" w:line="259" w:lineRule="auto"/>
        <w:rPr>
          <w:sz w:val="20"/>
          <w:szCs w:val="20"/>
          <w:color w:val="auto"/>
        </w:rPr>
      </w:pPr>
      <w:r>
        <w:rPr>
          <w:rFonts w:ascii="Arial" w:cs="Arial" w:eastAsia="Arial" w:hAnsi="Arial"/>
          <w:sz w:val="16"/>
          <w:szCs w:val="16"/>
          <w:color w:val="auto"/>
        </w:rPr>
        <w:t>Embecta’s commitment to good corporate governance is embodied in our Corporate Governance Principles. The Corporate Governance Principles set forth the Board’s views and practices regarding a number of governance topics, and the Governance Committee assesses the Corporate Governance Principles on an ongoing basis in light of current practices.</w:t>
      </w:r>
    </w:p>
    <w:p>
      <w:pPr>
        <w:spacing w:after="0" w:line="16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following is a summary of our significant corporate governance practices.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Corporate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38100</wp:posOffset>
            </wp:positionV>
            <wp:extent cx="534924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76" w:lineRule="exact"/>
        <w:rPr>
          <w:sz w:val="20"/>
          <w:szCs w:val="20"/>
          <w:color w:val="auto"/>
        </w:rPr>
      </w:pPr>
    </w:p>
    <w:p>
      <w:pPr>
        <w:ind w:left="600" w:hanging="160"/>
        <w:spacing w:after="0"/>
        <w:tabs>
          <w:tab w:leader="none" w:pos="600" w:val="left"/>
        </w:tabs>
        <w:numPr>
          <w:ilvl w:val="0"/>
          <w:numId w:val="12"/>
        </w:numPr>
        <w:rPr>
          <w:rFonts w:ascii="Arial" w:cs="Arial" w:eastAsia="Arial" w:hAnsi="Arial"/>
          <w:sz w:val="15"/>
          <w:szCs w:val="15"/>
          <w:color w:val="342C82"/>
        </w:rPr>
      </w:pPr>
      <w:r>
        <w:rPr>
          <w:rFonts w:ascii="Arial" w:cs="Arial" w:eastAsia="Arial" w:hAnsi="Arial"/>
          <w:sz w:val="15"/>
          <w:szCs w:val="15"/>
          <w:color w:val="auto"/>
        </w:rPr>
        <w:t>Majority voting standard for election of directors</w:t>
      </w:r>
    </w:p>
    <w:p>
      <w:pPr>
        <w:spacing w:after="0" w:line="70" w:lineRule="exact"/>
        <w:rPr>
          <w:rFonts w:ascii="Arial" w:cs="Arial" w:eastAsia="Arial" w:hAnsi="Arial"/>
          <w:sz w:val="15"/>
          <w:szCs w:val="15"/>
          <w:color w:val="342C82"/>
        </w:rPr>
      </w:pPr>
    </w:p>
    <w:p>
      <w:pPr>
        <w:ind w:left="600" w:hanging="160"/>
        <w:spacing w:after="0"/>
        <w:tabs>
          <w:tab w:leader="none" w:pos="600" w:val="left"/>
        </w:tabs>
        <w:numPr>
          <w:ilvl w:val="0"/>
          <w:numId w:val="12"/>
        </w:numPr>
        <w:rPr>
          <w:rFonts w:ascii="Arial" w:cs="Arial" w:eastAsia="Arial" w:hAnsi="Arial"/>
          <w:sz w:val="15"/>
          <w:szCs w:val="15"/>
          <w:color w:val="342C82"/>
        </w:rPr>
      </w:pPr>
      <w:r>
        <w:rPr>
          <w:rFonts w:ascii="Arial" w:cs="Arial" w:eastAsia="Arial" w:hAnsi="Arial"/>
          <w:sz w:val="15"/>
          <w:szCs w:val="15"/>
          <w:color w:val="auto"/>
        </w:rPr>
        <w:t>7 out of 9 directors are independent</w:t>
      </w:r>
    </w:p>
    <w:p>
      <w:pPr>
        <w:spacing w:after="0" w:line="70" w:lineRule="exact"/>
        <w:rPr>
          <w:rFonts w:ascii="Arial" w:cs="Arial" w:eastAsia="Arial" w:hAnsi="Arial"/>
          <w:sz w:val="15"/>
          <w:szCs w:val="15"/>
          <w:color w:val="342C82"/>
        </w:rPr>
      </w:pPr>
    </w:p>
    <w:p>
      <w:pPr>
        <w:ind w:left="600" w:hanging="160"/>
        <w:spacing w:after="0"/>
        <w:tabs>
          <w:tab w:leader="none" w:pos="600" w:val="left"/>
        </w:tabs>
        <w:numPr>
          <w:ilvl w:val="0"/>
          <w:numId w:val="12"/>
        </w:numPr>
        <w:rPr>
          <w:rFonts w:ascii="Arial" w:cs="Arial" w:eastAsia="Arial" w:hAnsi="Arial"/>
          <w:sz w:val="15"/>
          <w:szCs w:val="15"/>
          <w:color w:val="342C82"/>
        </w:rPr>
      </w:pPr>
      <w:r>
        <w:rPr>
          <w:rFonts w:ascii="Arial" w:cs="Arial" w:eastAsia="Arial" w:hAnsi="Arial"/>
          <w:sz w:val="15"/>
          <w:szCs w:val="15"/>
          <w:color w:val="auto"/>
        </w:rPr>
        <w:t>Independent Board Chair</w:t>
      </w:r>
    </w:p>
    <w:p>
      <w:pPr>
        <w:spacing w:after="0" w:line="70" w:lineRule="exact"/>
        <w:rPr>
          <w:rFonts w:ascii="Arial" w:cs="Arial" w:eastAsia="Arial" w:hAnsi="Arial"/>
          <w:sz w:val="15"/>
          <w:szCs w:val="15"/>
          <w:color w:val="342C82"/>
        </w:rPr>
      </w:pPr>
    </w:p>
    <w:p>
      <w:pPr>
        <w:ind w:left="600" w:hanging="160"/>
        <w:spacing w:after="0"/>
        <w:tabs>
          <w:tab w:leader="none" w:pos="600" w:val="left"/>
        </w:tabs>
        <w:numPr>
          <w:ilvl w:val="0"/>
          <w:numId w:val="12"/>
        </w:numPr>
        <w:rPr>
          <w:rFonts w:ascii="Arial" w:cs="Arial" w:eastAsia="Arial" w:hAnsi="Arial"/>
          <w:sz w:val="15"/>
          <w:szCs w:val="15"/>
          <w:color w:val="342C82"/>
        </w:rPr>
      </w:pPr>
      <w:r>
        <w:rPr>
          <w:rFonts w:ascii="Arial" w:cs="Arial" w:eastAsia="Arial" w:hAnsi="Arial"/>
          <w:sz w:val="15"/>
          <w:szCs w:val="15"/>
          <w:color w:val="auto"/>
        </w:rPr>
        <w:t>Rigorous annual board self-evaluation and director re-nomination process</w:t>
      </w:r>
    </w:p>
    <w:p>
      <w:pPr>
        <w:spacing w:after="0" w:line="70" w:lineRule="exact"/>
        <w:rPr>
          <w:rFonts w:ascii="Arial" w:cs="Arial" w:eastAsia="Arial" w:hAnsi="Arial"/>
          <w:sz w:val="15"/>
          <w:szCs w:val="15"/>
          <w:color w:val="342C82"/>
        </w:rPr>
      </w:pPr>
    </w:p>
    <w:p>
      <w:pPr>
        <w:ind w:left="600" w:hanging="160"/>
        <w:spacing w:after="0"/>
        <w:tabs>
          <w:tab w:leader="none" w:pos="600" w:val="left"/>
        </w:tabs>
        <w:numPr>
          <w:ilvl w:val="0"/>
          <w:numId w:val="12"/>
        </w:numPr>
        <w:rPr>
          <w:rFonts w:ascii="Arial" w:cs="Arial" w:eastAsia="Arial" w:hAnsi="Arial"/>
          <w:sz w:val="15"/>
          <w:szCs w:val="15"/>
          <w:color w:val="342C82"/>
        </w:rPr>
      </w:pPr>
      <w:r>
        <w:rPr>
          <w:rFonts w:ascii="Arial" w:cs="Arial" w:eastAsia="Arial" w:hAnsi="Arial"/>
          <w:sz w:val="15"/>
          <w:szCs w:val="15"/>
          <w:color w:val="auto"/>
        </w:rPr>
        <w:t>Proxy access by-law</w:t>
      </w:r>
    </w:p>
    <w:p>
      <w:pPr>
        <w:spacing w:after="0" w:line="70" w:lineRule="exact"/>
        <w:rPr>
          <w:rFonts w:ascii="Arial" w:cs="Arial" w:eastAsia="Arial" w:hAnsi="Arial"/>
          <w:sz w:val="15"/>
          <w:szCs w:val="15"/>
          <w:color w:val="342C82"/>
        </w:rPr>
      </w:pPr>
    </w:p>
    <w:p>
      <w:pPr>
        <w:ind w:left="600" w:hanging="160"/>
        <w:spacing w:after="0"/>
        <w:tabs>
          <w:tab w:leader="none" w:pos="600" w:val="left"/>
        </w:tabs>
        <w:numPr>
          <w:ilvl w:val="0"/>
          <w:numId w:val="12"/>
        </w:numPr>
        <w:rPr>
          <w:rFonts w:ascii="Arial" w:cs="Arial" w:eastAsia="Arial" w:hAnsi="Arial"/>
          <w:sz w:val="15"/>
          <w:szCs w:val="15"/>
          <w:color w:val="342C82"/>
        </w:rPr>
      </w:pPr>
      <w:r>
        <w:rPr>
          <w:rFonts w:ascii="Arial" w:cs="Arial" w:eastAsia="Arial" w:hAnsi="Arial"/>
          <w:sz w:val="15"/>
          <w:szCs w:val="15"/>
          <w:color w:val="auto"/>
        </w:rPr>
        <w:t>Restrictions on corporate political contributions</w:t>
      </w:r>
    </w:p>
    <w:p>
      <w:pPr>
        <w:spacing w:after="0" w:line="70" w:lineRule="exact"/>
        <w:rPr>
          <w:rFonts w:ascii="Arial" w:cs="Arial" w:eastAsia="Arial" w:hAnsi="Arial"/>
          <w:sz w:val="15"/>
          <w:szCs w:val="15"/>
          <w:color w:val="342C82"/>
        </w:rPr>
      </w:pPr>
    </w:p>
    <w:p>
      <w:pPr>
        <w:ind w:left="600" w:hanging="160"/>
        <w:spacing w:after="0"/>
        <w:tabs>
          <w:tab w:leader="none" w:pos="600" w:val="left"/>
        </w:tabs>
        <w:numPr>
          <w:ilvl w:val="0"/>
          <w:numId w:val="12"/>
        </w:numPr>
        <w:rPr>
          <w:rFonts w:ascii="Arial" w:cs="Arial" w:eastAsia="Arial" w:hAnsi="Arial"/>
          <w:sz w:val="15"/>
          <w:szCs w:val="15"/>
          <w:color w:val="342C82"/>
        </w:rPr>
      </w:pPr>
      <w:r>
        <w:rPr>
          <w:rFonts w:ascii="Arial" w:cs="Arial" w:eastAsia="Arial" w:hAnsi="Arial"/>
          <w:sz w:val="15"/>
          <w:szCs w:val="15"/>
          <w:color w:val="auto"/>
        </w:rPr>
        <w:t>Director share ownership requirements</w:t>
      </w:r>
    </w:p>
    <w:p>
      <w:pPr>
        <w:spacing w:after="0" w:line="70" w:lineRule="exact"/>
        <w:rPr>
          <w:rFonts w:ascii="Arial" w:cs="Arial" w:eastAsia="Arial" w:hAnsi="Arial"/>
          <w:sz w:val="15"/>
          <w:szCs w:val="15"/>
          <w:color w:val="342C82"/>
        </w:rPr>
      </w:pPr>
    </w:p>
    <w:p>
      <w:pPr>
        <w:ind w:left="600" w:hanging="160"/>
        <w:spacing w:after="0"/>
        <w:tabs>
          <w:tab w:leader="none" w:pos="600" w:val="left"/>
        </w:tabs>
        <w:numPr>
          <w:ilvl w:val="0"/>
          <w:numId w:val="12"/>
        </w:numPr>
        <w:rPr>
          <w:rFonts w:ascii="Arial" w:cs="Arial" w:eastAsia="Arial" w:hAnsi="Arial"/>
          <w:sz w:val="15"/>
          <w:szCs w:val="15"/>
          <w:color w:val="342C82"/>
        </w:rPr>
      </w:pPr>
      <w:r>
        <w:rPr>
          <w:rFonts w:ascii="Arial" w:cs="Arial" w:eastAsia="Arial" w:hAnsi="Arial"/>
          <w:sz w:val="15"/>
          <w:szCs w:val="15"/>
          <w:color w:val="auto"/>
        </w:rPr>
        <w:t>Overboarding​ policy</w:t>
      </w:r>
    </w:p>
    <w:p>
      <w:pPr>
        <w:spacing w:after="0" w:line="70" w:lineRule="exact"/>
        <w:rPr>
          <w:rFonts w:ascii="Arial" w:cs="Arial" w:eastAsia="Arial" w:hAnsi="Arial"/>
          <w:sz w:val="15"/>
          <w:szCs w:val="15"/>
          <w:color w:val="342C82"/>
        </w:rPr>
      </w:pPr>
    </w:p>
    <w:p>
      <w:pPr>
        <w:ind w:left="600" w:hanging="160"/>
        <w:spacing w:after="0"/>
        <w:tabs>
          <w:tab w:leader="none" w:pos="600" w:val="left"/>
        </w:tabs>
        <w:numPr>
          <w:ilvl w:val="0"/>
          <w:numId w:val="12"/>
        </w:numPr>
        <w:rPr>
          <w:rFonts w:ascii="Arial" w:cs="Arial" w:eastAsia="Arial" w:hAnsi="Arial"/>
          <w:sz w:val="15"/>
          <w:szCs w:val="15"/>
          <w:color w:val="342C82"/>
        </w:rPr>
      </w:pPr>
      <w:r>
        <w:rPr>
          <w:rFonts w:ascii="Arial" w:cs="Arial" w:eastAsia="Arial" w:hAnsi="Arial"/>
          <w:sz w:val="15"/>
          <w:szCs w:val="15"/>
          <w:color w:val="auto"/>
        </w:rPr>
        <w:t>Annual election of directors commencing with the 2026 annual stockholder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21590</wp:posOffset>
            </wp:positionV>
            <wp:extent cx="534924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56" w:lineRule="exact"/>
        <w:rPr>
          <w:sz w:val="20"/>
          <w:szCs w:val="20"/>
          <w:color w:val="auto"/>
        </w:rPr>
      </w:pPr>
    </w:p>
    <w:p>
      <w:pPr>
        <w:ind w:left="300"/>
        <w:spacing w:after="0"/>
        <w:rPr>
          <w:sz w:val="20"/>
          <w:szCs w:val="20"/>
          <w:color w:val="auto"/>
        </w:rPr>
      </w:pPr>
      <w:r>
        <w:rPr>
          <w:rFonts w:ascii="Arial" w:cs="Arial" w:eastAsia="Arial" w:hAnsi="Arial"/>
          <w:sz w:val="25"/>
          <w:szCs w:val="25"/>
          <w:color w:val="342C82"/>
        </w:rPr>
        <w:t>Board, Committee and annual meeting attendance</w:t>
      </w:r>
    </w:p>
    <w:p>
      <w:pPr>
        <w:spacing w:after="0" w:line="139" w:lineRule="exact"/>
        <w:rPr>
          <w:sz w:val="20"/>
          <w:szCs w:val="20"/>
          <w:color w:val="auto"/>
        </w:rPr>
      </w:pPr>
    </w:p>
    <w:p>
      <w:pPr>
        <w:ind w:left="300" w:right="399"/>
        <w:spacing w:after="0" w:line="259" w:lineRule="auto"/>
        <w:rPr>
          <w:sz w:val="20"/>
          <w:szCs w:val="20"/>
          <w:color w:val="auto"/>
        </w:rPr>
      </w:pPr>
      <w:r>
        <w:rPr>
          <w:rFonts w:ascii="Arial" w:cs="Arial" w:eastAsia="Arial" w:hAnsi="Arial"/>
          <w:sz w:val="16"/>
          <w:szCs w:val="16"/>
          <w:color w:val="auto"/>
        </w:rPr>
        <w:t>The Board met 13 times in fiscal year 2024. During fiscal year 2024, all directors attended at least 75% of the total number of meetings of the Board and the Committees on which she or he served. The Board has adopted a policy pursuant to which directors are expected to attend our annual stockholders’ meetings in the absence of a scheduling conflict or other valid reason. All of our directors attended the 2024 annual stockholder meeting.</w:t>
      </w:r>
    </w:p>
    <w:p>
      <w:pPr>
        <w:spacing w:after="0" w:line="345" w:lineRule="exact"/>
        <w:rPr>
          <w:sz w:val="20"/>
          <w:szCs w:val="20"/>
          <w:color w:val="auto"/>
        </w:rPr>
      </w:pPr>
    </w:p>
    <w:p>
      <w:pPr>
        <w:ind w:left="300"/>
        <w:spacing w:after="0"/>
        <w:rPr>
          <w:sz w:val="20"/>
          <w:szCs w:val="20"/>
          <w:color w:val="auto"/>
        </w:rPr>
      </w:pPr>
      <w:r>
        <w:rPr>
          <w:rFonts w:ascii="Arial" w:cs="Arial" w:eastAsia="Arial" w:hAnsi="Arial"/>
          <w:sz w:val="25"/>
          <w:szCs w:val="25"/>
          <w:color w:val="342C82"/>
        </w:rPr>
        <w:t>Board self-evaluation</w:t>
      </w:r>
    </w:p>
    <w:p>
      <w:pPr>
        <w:spacing w:after="0" w:line="139" w:lineRule="exact"/>
        <w:rPr>
          <w:sz w:val="20"/>
          <w:szCs w:val="20"/>
          <w:color w:val="auto"/>
        </w:rPr>
      </w:pPr>
    </w:p>
    <w:p>
      <w:pPr>
        <w:ind w:left="300" w:right="359"/>
        <w:spacing w:after="0" w:line="252" w:lineRule="auto"/>
        <w:rPr>
          <w:sz w:val="20"/>
          <w:szCs w:val="20"/>
          <w:color w:val="auto"/>
        </w:rPr>
      </w:pPr>
      <w:r>
        <w:rPr>
          <w:rFonts w:ascii="Arial" w:cs="Arial" w:eastAsia="Arial" w:hAnsi="Arial"/>
          <w:sz w:val="16"/>
          <w:szCs w:val="16"/>
          <w:color w:val="auto"/>
        </w:rPr>
        <w:t>The Board believes a rigorous self-evaluation process is important to the ongoing effectiveness of the Board. To that end, the Board has committed to conduct an annual self-evaluation of its performance that allows directors to provide individual feedback on the Board’s composition, culture, committee structure, relationship with management, meeting agendas, oversight of strategy and risk, and other Board-related topics. The results of the self-evaluation are presented by the Chair of the Governance Committee to the full Board. As part of the evaluation, the Board assesses the progress in the areas targeted for improvement from the prior evaluation and develops actions to be taken to enhance the Board’s effectiveness over the next year. Each Committee conducts an annual self-evaluation of its performance through a similar process.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132080</wp:posOffset>
            </wp:positionV>
            <wp:extent cx="699516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6"/>
          <w:szCs w:val="16"/>
          <w:color w:val="342C82"/>
        </w:rPr>
        <w:t>Proposal 1: Election of directors</w:t>
      </w:r>
    </w:p>
    <w:p>
      <w:pPr>
        <w:spacing w:after="0" w:line="113" w:lineRule="exact"/>
        <w:rPr>
          <w:sz w:val="20"/>
          <w:szCs w:val="20"/>
          <w:color w:val="auto"/>
        </w:rPr>
      </w:pPr>
    </w:p>
    <w:p>
      <w:pPr>
        <w:ind w:left="300" w:right="379"/>
        <w:spacing w:after="0" w:line="266" w:lineRule="auto"/>
        <w:rPr>
          <w:sz w:val="20"/>
          <w:szCs w:val="20"/>
          <w:color w:val="auto"/>
        </w:rPr>
      </w:pPr>
      <w:r>
        <w:rPr>
          <w:rFonts w:ascii="Arial" w:cs="Arial" w:eastAsia="Arial" w:hAnsi="Arial"/>
          <w:sz w:val="16"/>
          <w:szCs w:val="16"/>
          <w:color w:val="auto"/>
        </w:rPr>
        <w:t>The Board believes it is important to periodically obtain an outside perspective on the Board’s overall functioning and effectiveness and seeks to have its annual self-evaluation facilitated by an independent outside consultant experienced in board and governance practices at least once every three years.</w:t>
      </w:r>
    </w:p>
    <w:p>
      <w:pPr>
        <w:spacing w:after="0" w:line="325" w:lineRule="exact"/>
        <w:rPr>
          <w:sz w:val="20"/>
          <w:szCs w:val="20"/>
          <w:color w:val="auto"/>
        </w:rPr>
      </w:pPr>
    </w:p>
    <w:p>
      <w:pPr>
        <w:ind w:left="300"/>
        <w:spacing w:after="0"/>
        <w:rPr>
          <w:sz w:val="20"/>
          <w:szCs w:val="20"/>
          <w:color w:val="auto"/>
        </w:rPr>
      </w:pPr>
      <w:r>
        <w:rPr>
          <w:rFonts w:ascii="Arial" w:cs="Arial" w:eastAsia="Arial" w:hAnsi="Arial"/>
          <w:sz w:val="25"/>
          <w:szCs w:val="25"/>
          <w:color w:val="342C82"/>
        </w:rPr>
        <w:t>Director continuing education and new director orientation</w:t>
      </w:r>
    </w:p>
    <w:p>
      <w:pPr>
        <w:spacing w:after="0" w:line="153" w:lineRule="exact"/>
        <w:rPr>
          <w:sz w:val="20"/>
          <w:szCs w:val="20"/>
          <w:color w:val="auto"/>
        </w:rPr>
      </w:pPr>
    </w:p>
    <w:p>
      <w:pPr>
        <w:ind w:left="300" w:right="699"/>
        <w:spacing w:after="0" w:line="256" w:lineRule="auto"/>
        <w:rPr>
          <w:sz w:val="20"/>
          <w:szCs w:val="20"/>
          <w:color w:val="auto"/>
        </w:rPr>
      </w:pPr>
      <w:r>
        <w:rPr>
          <w:rFonts w:ascii="Arial" w:cs="Arial" w:eastAsia="Arial" w:hAnsi="Arial"/>
          <w:sz w:val="16"/>
          <w:szCs w:val="16"/>
          <w:color w:val="auto"/>
        </w:rPr>
        <w:t>To enhance and expand the Board’s knowledge of the healthcare industry and topics relevant to its oversight responsibilities, we provide our directors with continuing education presentations developed by both internal and external expert speakers. Additionally, we encourage our directors to participate in external continuing director education programs and pursue director certifications, including cybersecurity, compensation committee and directorship certifications through the National Association of Corporate Directors.</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25"/>
          <w:szCs w:val="25"/>
          <w:color w:val="342C82"/>
        </w:rPr>
        <w:t>Other significant governance practices</w:t>
      </w:r>
    </w:p>
    <w:p>
      <w:pPr>
        <w:spacing w:after="0" w:line="19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Described below are some of the other significant corporate governance practices at Embecta.</w:t>
      </w:r>
    </w:p>
    <w:p>
      <w:pPr>
        <w:spacing w:after="0" w:line="249" w:lineRule="exact"/>
        <w:rPr>
          <w:sz w:val="20"/>
          <w:szCs w:val="20"/>
          <w:color w:val="auto"/>
        </w:rPr>
      </w:pPr>
    </w:p>
    <w:p>
      <w:pPr>
        <w:ind w:left="300"/>
        <w:spacing w:after="0"/>
        <w:rPr>
          <w:sz w:val="20"/>
          <w:szCs w:val="20"/>
          <w:color w:val="auto"/>
        </w:rPr>
      </w:pPr>
      <w:r>
        <w:rPr>
          <w:rFonts w:ascii="Arial" w:cs="Arial" w:eastAsia="Arial" w:hAnsi="Arial"/>
          <w:sz w:val="22"/>
          <w:szCs w:val="22"/>
          <w:color w:val="342C82"/>
        </w:rPr>
        <w:t>Classified Board until the 2026 annual stockholder meeting</w:t>
      </w:r>
    </w:p>
    <w:p>
      <w:pPr>
        <w:spacing w:after="0" w:line="137" w:lineRule="exact"/>
        <w:rPr>
          <w:sz w:val="20"/>
          <w:szCs w:val="20"/>
          <w:color w:val="auto"/>
        </w:rPr>
      </w:pPr>
    </w:p>
    <w:p>
      <w:pPr>
        <w:jc w:val="both"/>
        <w:ind w:left="300" w:right="939"/>
        <w:spacing w:after="0" w:line="266" w:lineRule="auto"/>
        <w:rPr>
          <w:sz w:val="20"/>
          <w:szCs w:val="20"/>
          <w:color w:val="auto"/>
        </w:rPr>
      </w:pPr>
      <w:r>
        <w:rPr>
          <w:rFonts w:ascii="Arial" w:cs="Arial" w:eastAsia="Arial" w:hAnsi="Arial"/>
          <w:sz w:val="16"/>
          <w:szCs w:val="16"/>
          <w:color w:val="auto"/>
        </w:rPr>
        <w:t>As described in “Director nomination process” above, our CoI provides that until the 2026 annual stockholder meeting, Embecta’s Board will be divided into three classes, with each class consisting, as nearly as may be possible, of one-third of the total number of directors.</w:t>
      </w:r>
    </w:p>
    <w:p>
      <w:pPr>
        <w:spacing w:after="0" w:line="117" w:lineRule="exact"/>
        <w:rPr>
          <w:sz w:val="20"/>
          <w:szCs w:val="20"/>
          <w:color w:val="auto"/>
        </w:rPr>
      </w:pPr>
    </w:p>
    <w:p>
      <w:pPr>
        <w:ind w:left="300" w:right="379"/>
        <w:spacing w:after="0" w:line="286" w:lineRule="auto"/>
        <w:rPr>
          <w:sz w:val="20"/>
          <w:szCs w:val="20"/>
          <w:color w:val="auto"/>
        </w:rPr>
      </w:pPr>
      <w:r>
        <w:rPr>
          <w:rFonts w:ascii="Arial" w:cs="Arial" w:eastAsia="Arial" w:hAnsi="Arial"/>
          <w:sz w:val="16"/>
          <w:szCs w:val="16"/>
          <w:color w:val="auto"/>
        </w:rPr>
        <w:t>Commencing with the 2026 annual stockholder meeting, directors will be elected annually and for a term of office to expire at the next annual stockholder meeting, and Embecta’s Board will thereafter no longer be divided into classes.</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22"/>
          <w:szCs w:val="22"/>
          <w:color w:val="342C82"/>
        </w:rPr>
        <w:t>Majority voting standard for election of directors</w:t>
      </w:r>
    </w:p>
    <w:p>
      <w:pPr>
        <w:spacing w:after="0" w:line="124" w:lineRule="exact"/>
        <w:rPr>
          <w:sz w:val="20"/>
          <w:szCs w:val="20"/>
          <w:color w:val="auto"/>
        </w:rPr>
      </w:pPr>
    </w:p>
    <w:p>
      <w:pPr>
        <w:ind w:left="300" w:right="299"/>
        <w:spacing w:after="0" w:line="251" w:lineRule="auto"/>
        <w:rPr>
          <w:sz w:val="20"/>
          <w:szCs w:val="20"/>
          <w:color w:val="auto"/>
        </w:rPr>
      </w:pPr>
      <w:r>
        <w:rPr>
          <w:rFonts w:ascii="Arial" w:cs="Arial" w:eastAsia="Arial" w:hAnsi="Arial"/>
          <w:sz w:val="16"/>
          <w:szCs w:val="16"/>
          <w:color w:val="auto"/>
        </w:rPr>
        <w:t>Under our By-Laws, in uncontested elections (that is, where the number of nominees does not exceed the number of directors to be elected), nominees for director must receive the affirmative vote of a majority of the votes cast in order to be elected to the Board. Any incumbent director who receives a greater number of votes “against” the director’s election than votes “for” is required to offer to submit his or her resignation to the Board following the stockholder vote. The Governance Committee will consider and recommend to the Board whether to accept the resignation offer. The Board will act on such recommendation and publicly disclose its decision within 90 days following the stockholder vote. This process allows the Board the opportunity to identify and assess the reasons for the vote, including whether the vote is attributable to dissatisfaction with a director’s overall performance or is the result of stockholder views on a particular issue. In the event of a contested election, a plurality voting standard will apply.</w:t>
      </w:r>
    </w:p>
    <w:p>
      <w:pPr>
        <w:spacing w:after="0" w:line="227" w:lineRule="exact"/>
        <w:rPr>
          <w:sz w:val="20"/>
          <w:szCs w:val="20"/>
          <w:color w:val="auto"/>
        </w:rPr>
      </w:pPr>
    </w:p>
    <w:p>
      <w:pPr>
        <w:ind w:left="300"/>
        <w:spacing w:after="0"/>
        <w:rPr>
          <w:sz w:val="20"/>
          <w:szCs w:val="20"/>
          <w:color w:val="auto"/>
        </w:rPr>
      </w:pPr>
      <w:r>
        <w:rPr>
          <w:rFonts w:ascii="Arial" w:cs="Arial" w:eastAsia="Arial" w:hAnsi="Arial"/>
          <w:sz w:val="22"/>
          <w:szCs w:val="22"/>
          <w:color w:val="342C82"/>
        </w:rPr>
        <w:t>Political contributions</w:t>
      </w:r>
    </w:p>
    <w:p>
      <w:pPr>
        <w:spacing w:after="0" w:line="124" w:lineRule="exact"/>
        <w:rPr>
          <w:sz w:val="20"/>
          <w:szCs w:val="20"/>
          <w:color w:val="auto"/>
        </w:rPr>
      </w:pPr>
    </w:p>
    <w:p>
      <w:pPr>
        <w:ind w:left="300" w:right="539"/>
        <w:spacing w:after="0" w:line="259" w:lineRule="auto"/>
        <w:rPr>
          <w:sz w:val="20"/>
          <w:szCs w:val="20"/>
          <w:color w:val="auto"/>
        </w:rPr>
      </w:pPr>
      <w:r>
        <w:rPr>
          <w:rFonts w:ascii="Arial" w:cs="Arial" w:eastAsia="Arial" w:hAnsi="Arial"/>
          <w:sz w:val="16"/>
          <w:szCs w:val="16"/>
          <w:color w:val="auto"/>
        </w:rPr>
        <w:t>The Company prohibits the use of corporate funds and assets to support U.S. federal or state candidates, political parties, ballot measures or referendum campaigns. Exceptions to this policy require approval by the CEO, General Counsel and a designated member of the Governance Committee. To date, no exceptions have been sought or approved.</w:t>
      </w:r>
    </w:p>
    <w:p>
      <w:pPr>
        <w:spacing w:after="0" w:line="124" w:lineRule="exact"/>
        <w:rPr>
          <w:sz w:val="20"/>
          <w:szCs w:val="20"/>
          <w:color w:val="auto"/>
        </w:rPr>
      </w:pPr>
    </w:p>
    <w:p>
      <w:pPr>
        <w:ind w:left="300" w:right="359"/>
        <w:spacing w:after="0" w:line="266" w:lineRule="auto"/>
        <w:rPr>
          <w:sz w:val="20"/>
          <w:szCs w:val="20"/>
          <w:color w:val="auto"/>
        </w:rPr>
      </w:pPr>
      <w:r>
        <w:rPr>
          <w:rFonts w:ascii="Arial" w:cs="Arial" w:eastAsia="Arial" w:hAnsi="Arial"/>
          <w:sz w:val="16"/>
          <w:szCs w:val="16"/>
          <w:color w:val="auto"/>
        </w:rPr>
        <w:t>In all cases, Embecta policy prohibits directors and employees from using company resources to promote their personal political views, causes or candidates, and specifies that the Company will not directly or indirectly reimburse any personal political contributions or expenses.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123825</wp:posOffset>
            </wp:positionV>
            <wp:extent cx="699516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jc w:val="right"/>
        <w:ind w:right="299"/>
        <w:spacing w:after="0"/>
        <w:rPr>
          <w:sz w:val="20"/>
          <w:szCs w:val="20"/>
          <w:color w:val="auto"/>
        </w:rPr>
      </w:pPr>
      <w:r>
        <w:rPr>
          <w:rFonts w:ascii="Arial" w:cs="Arial" w:eastAsia="Arial" w:hAnsi="Arial"/>
          <w:sz w:val="16"/>
          <w:szCs w:val="16"/>
          <w:color w:val="342C82"/>
        </w:rPr>
        <w:t>Proposal 1: Election of directors</w:t>
      </w:r>
    </w:p>
    <w:p>
      <w:pPr>
        <w:spacing w:after="0" w:line="128" w:lineRule="exact"/>
        <w:rPr>
          <w:sz w:val="20"/>
          <w:szCs w:val="20"/>
          <w:color w:val="auto"/>
        </w:rPr>
      </w:pPr>
    </w:p>
    <w:p>
      <w:pPr>
        <w:ind w:left="300"/>
        <w:spacing w:after="0"/>
        <w:rPr>
          <w:sz w:val="20"/>
          <w:szCs w:val="20"/>
          <w:color w:val="auto"/>
        </w:rPr>
      </w:pPr>
      <w:r>
        <w:rPr>
          <w:rFonts w:ascii="Arial" w:cs="Arial" w:eastAsia="Arial" w:hAnsi="Arial"/>
          <w:sz w:val="22"/>
          <w:szCs w:val="22"/>
          <w:color w:val="342C82"/>
        </w:rPr>
        <w:t>Charitable contributions approval</w:t>
      </w:r>
    </w:p>
    <w:p>
      <w:pPr>
        <w:spacing w:after="0" w:line="137" w:lineRule="exact"/>
        <w:rPr>
          <w:sz w:val="20"/>
          <w:szCs w:val="20"/>
          <w:color w:val="auto"/>
        </w:rPr>
      </w:pPr>
    </w:p>
    <w:p>
      <w:pPr>
        <w:ind w:left="300" w:right="339"/>
        <w:spacing w:after="0" w:line="253" w:lineRule="auto"/>
        <w:rPr>
          <w:sz w:val="20"/>
          <w:szCs w:val="20"/>
          <w:color w:val="auto"/>
        </w:rPr>
      </w:pPr>
      <w:r>
        <w:rPr>
          <w:rFonts w:ascii="Arial" w:cs="Arial" w:eastAsia="Arial" w:hAnsi="Arial"/>
          <w:sz w:val="16"/>
          <w:szCs w:val="16"/>
          <w:color w:val="auto"/>
        </w:rPr>
        <w:t>In furtherance of Embecta’s commitment to good governance and transparent disclosure practices, Embecta charitable contributions or pledges in an aggregate amount of $50,000 or more in any fiscal year (excluding contributions under Embecta’s Matching Gift Program) to entities with which Embecta’s directors and executive officers, or their families, are affiliated must be approved by the Governance Committee. The Governance Committee is provided on an annual basis with a report from management of the charitable contributions or pledges made by Embecta during the preceding fiscal year in an amount of $10,000 or more to entities with which Embecta’s directors and executive officers, or their families, are affiliated.</w:t>
      </w:r>
    </w:p>
    <w:p>
      <w:pPr>
        <w:spacing w:after="0" w:line="335" w:lineRule="exact"/>
        <w:rPr>
          <w:sz w:val="20"/>
          <w:szCs w:val="20"/>
          <w:color w:val="auto"/>
        </w:rPr>
      </w:pPr>
    </w:p>
    <w:p>
      <w:pPr>
        <w:ind w:left="300"/>
        <w:spacing w:after="0"/>
        <w:rPr>
          <w:sz w:val="20"/>
          <w:szCs w:val="20"/>
          <w:color w:val="auto"/>
        </w:rPr>
      </w:pPr>
      <w:r>
        <w:rPr>
          <w:rFonts w:ascii="Arial" w:cs="Arial" w:eastAsia="Arial" w:hAnsi="Arial"/>
          <w:sz w:val="25"/>
          <w:szCs w:val="25"/>
          <w:color w:val="342C82"/>
        </w:rPr>
        <w:t>Communication with directors</w:t>
      </w:r>
    </w:p>
    <w:p>
      <w:pPr>
        <w:spacing w:after="0" w:line="139" w:lineRule="exact"/>
        <w:rPr>
          <w:sz w:val="20"/>
          <w:szCs w:val="20"/>
          <w:color w:val="auto"/>
        </w:rPr>
      </w:pPr>
    </w:p>
    <w:p>
      <w:pPr>
        <w:ind w:left="300" w:right="419"/>
        <w:spacing w:after="0" w:line="254" w:lineRule="auto"/>
        <w:rPr>
          <w:sz w:val="20"/>
          <w:szCs w:val="20"/>
          <w:color w:val="auto"/>
        </w:rPr>
      </w:pPr>
      <w:r>
        <w:rPr>
          <w:rFonts w:ascii="Arial" w:cs="Arial" w:eastAsia="Arial" w:hAnsi="Arial"/>
          <w:sz w:val="16"/>
          <w:szCs w:val="16"/>
          <w:color w:val="auto"/>
        </w:rPr>
        <w:t>Our relationship with our stockholders and their views about Embecta are important to us, and the Board recognizes the value of director engagement with Embecta’s stockholders. Stockholders or other interested parties wishing to communicate with the Board, Chairman of the Board, the independent directors as a group or any individual director may do so by mail, addressed to Corporate Secretary, Embecta Corp., 300 Kimball Drive, Ste 300, Parsippany, New Jersey 07054. For complaints or concerns, including regarding accounting, internal accounting controls or audit matters, stockholders or other interested parties may also communicate:</w:t>
      </w:r>
    </w:p>
    <w:p>
      <w:pPr>
        <w:spacing w:after="0" w:line="128" w:lineRule="exact"/>
        <w:rPr>
          <w:sz w:val="20"/>
          <w:szCs w:val="20"/>
          <w:color w:val="auto"/>
        </w:rPr>
      </w:pPr>
    </w:p>
    <w:p>
      <w:pPr>
        <w:ind w:left="860" w:hanging="208"/>
        <w:spacing w:after="0"/>
        <w:tabs>
          <w:tab w:leader="none" w:pos="860" w:val="left"/>
        </w:tabs>
        <w:numPr>
          <w:ilvl w:val="0"/>
          <w:numId w:val="13"/>
        </w:numPr>
        <w:rPr>
          <w:rFonts w:ascii="Arial" w:cs="Arial" w:eastAsia="Arial" w:hAnsi="Arial"/>
          <w:sz w:val="16"/>
          <w:szCs w:val="16"/>
          <w:color w:val="342C82"/>
        </w:rPr>
      </w:pPr>
      <w:r>
        <w:rPr>
          <w:rFonts w:ascii="Arial" w:cs="Arial" w:eastAsia="Arial" w:hAnsi="Arial"/>
          <w:sz w:val="16"/>
          <w:szCs w:val="16"/>
          <w:color w:val="auto"/>
        </w:rPr>
        <w:t>by calling the Embecta Ethics Helpline toll-free at 1-833-600-1032 from within the U.S.;</w:t>
      </w:r>
    </w:p>
    <w:p>
      <w:pPr>
        <w:spacing w:after="0" w:line="59" w:lineRule="exact"/>
        <w:rPr>
          <w:rFonts w:ascii="Arial" w:cs="Arial" w:eastAsia="Arial" w:hAnsi="Arial"/>
          <w:sz w:val="16"/>
          <w:szCs w:val="16"/>
          <w:color w:val="342C82"/>
        </w:rPr>
      </w:pPr>
    </w:p>
    <w:p>
      <w:pPr>
        <w:ind w:left="860" w:hanging="208"/>
        <w:spacing w:after="0"/>
        <w:tabs>
          <w:tab w:leader="none" w:pos="860" w:val="left"/>
        </w:tabs>
        <w:numPr>
          <w:ilvl w:val="0"/>
          <w:numId w:val="13"/>
        </w:numPr>
        <w:rPr>
          <w:rFonts w:ascii="Arial" w:cs="Arial" w:eastAsia="Arial" w:hAnsi="Arial"/>
          <w:sz w:val="16"/>
          <w:szCs w:val="16"/>
          <w:color w:val="342C82"/>
        </w:rPr>
      </w:pPr>
      <w:r>
        <w:rPr>
          <w:rFonts w:ascii="Arial" w:cs="Arial" w:eastAsia="Arial" w:hAnsi="Arial"/>
          <w:sz w:val="16"/>
          <w:szCs w:val="16"/>
          <w:color w:val="auto"/>
        </w:rPr>
        <w:t>via the online reporting tool at embecta.ethicspoint.com; or</w:t>
      </w:r>
    </w:p>
    <w:p>
      <w:pPr>
        <w:spacing w:after="0" w:line="59" w:lineRule="exact"/>
        <w:rPr>
          <w:rFonts w:ascii="Arial" w:cs="Arial" w:eastAsia="Arial" w:hAnsi="Arial"/>
          <w:sz w:val="16"/>
          <w:szCs w:val="16"/>
          <w:color w:val="342C82"/>
        </w:rPr>
      </w:pPr>
    </w:p>
    <w:p>
      <w:pPr>
        <w:ind w:left="860" w:hanging="208"/>
        <w:spacing w:after="0"/>
        <w:tabs>
          <w:tab w:leader="none" w:pos="860" w:val="left"/>
        </w:tabs>
        <w:numPr>
          <w:ilvl w:val="0"/>
          <w:numId w:val="13"/>
        </w:numPr>
        <w:rPr>
          <w:rFonts w:ascii="Arial" w:cs="Arial" w:eastAsia="Arial" w:hAnsi="Arial"/>
          <w:sz w:val="16"/>
          <w:szCs w:val="16"/>
          <w:color w:val="342C82"/>
        </w:rPr>
      </w:pPr>
      <w:r>
        <w:rPr>
          <w:rFonts w:ascii="Arial" w:cs="Arial" w:eastAsia="Arial" w:hAnsi="Arial"/>
          <w:sz w:val="16"/>
          <w:szCs w:val="16"/>
          <w:color w:val="auto"/>
        </w:rPr>
        <w:t>by email to compliance@embecta.com.</w:t>
      </w:r>
    </w:p>
    <w:p>
      <w:pPr>
        <w:spacing w:after="0" w:line="167" w:lineRule="exact"/>
        <w:rPr>
          <w:sz w:val="20"/>
          <w:szCs w:val="20"/>
          <w:color w:val="auto"/>
        </w:rPr>
      </w:pPr>
    </w:p>
    <w:p>
      <w:pPr>
        <w:ind w:left="300" w:right="319"/>
        <w:spacing w:after="0" w:line="254" w:lineRule="auto"/>
        <w:rPr>
          <w:sz w:val="20"/>
          <w:szCs w:val="20"/>
          <w:color w:val="auto"/>
        </w:rPr>
      </w:pPr>
      <w:r>
        <w:rPr>
          <w:rFonts w:ascii="Arial" w:cs="Arial" w:eastAsia="Arial" w:hAnsi="Arial"/>
          <w:sz w:val="16"/>
          <w:szCs w:val="16"/>
          <w:color w:val="auto"/>
        </w:rPr>
        <w:t>The Ethics Helpline and online reporting tool are both serviced by an independent third party. All communications will be kept confidential and promptly forwarded to the Chairman of the Board, who will, in turn, forward them promptly to the appropriate director(s). Such items that are unrelated to a director’s duties and responsibilities as a Board member may be excluded by our corporate security department, including, without limitation, solicitations and advertisements, junk mail, product-related communications, job referral materials and resumes, surveys, and material that is determined to be illegal or otherwise inappropriate.</w:t>
      </w:r>
    </w:p>
    <w:p>
      <w:pPr>
        <w:spacing w:after="0" w:line="285" w:lineRule="exact"/>
        <w:rPr>
          <w:sz w:val="20"/>
          <w:szCs w:val="20"/>
          <w:color w:val="auto"/>
        </w:rPr>
      </w:pPr>
    </w:p>
    <w:p>
      <w:pPr>
        <w:ind w:left="300"/>
        <w:spacing w:after="0"/>
        <w:rPr>
          <w:sz w:val="20"/>
          <w:szCs w:val="20"/>
          <w:color w:val="auto"/>
        </w:rPr>
      </w:pPr>
      <w:r>
        <w:rPr>
          <w:rFonts w:ascii="Arial" w:cs="Arial" w:eastAsia="Arial" w:hAnsi="Arial"/>
          <w:sz w:val="29"/>
          <w:szCs w:val="29"/>
          <w:color w:val="342C82"/>
        </w:rPr>
        <w:t>Non-management director compensation</w:t>
      </w:r>
    </w:p>
    <w:p>
      <w:pPr>
        <w:spacing w:after="0" w:line="130" w:lineRule="exact"/>
        <w:rPr>
          <w:sz w:val="20"/>
          <w:szCs w:val="20"/>
          <w:color w:val="auto"/>
        </w:rPr>
      </w:pPr>
    </w:p>
    <w:p>
      <w:pPr>
        <w:ind w:left="300" w:right="999"/>
        <w:spacing w:after="0" w:line="286" w:lineRule="auto"/>
        <w:rPr>
          <w:sz w:val="20"/>
          <w:szCs w:val="20"/>
          <w:color w:val="auto"/>
        </w:rPr>
      </w:pPr>
      <w:r>
        <w:rPr>
          <w:rFonts w:ascii="Arial" w:cs="Arial" w:eastAsia="Arial" w:hAnsi="Arial"/>
          <w:sz w:val="16"/>
          <w:szCs w:val="16"/>
          <w:color w:val="auto"/>
        </w:rPr>
        <w:t>The Board believes that providing competitive compensation is necessary to attract and retain qualified non-management directors.</w:t>
      </w:r>
    </w:p>
    <w:p>
      <w:pPr>
        <w:spacing w:after="0" w:line="102" w:lineRule="exact"/>
        <w:rPr>
          <w:sz w:val="20"/>
          <w:szCs w:val="20"/>
          <w:color w:val="auto"/>
        </w:rPr>
      </w:pPr>
    </w:p>
    <w:p>
      <w:pPr>
        <w:ind w:left="300" w:right="319"/>
        <w:spacing w:after="0" w:line="256" w:lineRule="auto"/>
        <w:rPr>
          <w:sz w:val="20"/>
          <w:szCs w:val="20"/>
          <w:color w:val="auto"/>
        </w:rPr>
      </w:pPr>
      <w:r>
        <w:rPr>
          <w:rFonts w:ascii="Arial" w:cs="Arial" w:eastAsia="Arial" w:hAnsi="Arial"/>
          <w:sz w:val="16"/>
          <w:szCs w:val="16"/>
          <w:color w:val="auto"/>
        </w:rPr>
        <w:t>The key elements of Embecta’s non-management director compensation program are a cash retainer, equity compensation and Lead Director/Committee chair fees. Of the base compensation paid to non-management directors (cash retainer and equity), approximately 75% is equity-based compensation, with slight variations for committee chairs and the non-executive chair. See “Equity ownership by directors” as noted below. Management directors do not receive compensation for their service as director.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132080</wp:posOffset>
            </wp:positionV>
            <wp:extent cx="699516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6"/>
          <w:szCs w:val="16"/>
          <w:color w:val="342C82"/>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55245</wp:posOffset>
            </wp:positionV>
            <wp:extent cx="5366385" cy="13887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366385" cy="1388745"/>
                    </a:xfrm>
                    <a:prstGeom prst="rect">
                      <a:avLst/>
                    </a:prstGeom>
                    <a:noFill/>
                  </pic:spPr>
                </pic:pic>
              </a:graphicData>
            </a:graphic>
          </wp:anchor>
        </w:drawing>
      </w:r>
    </w:p>
    <w:p>
      <w:pPr>
        <w:spacing w:after="0" w:line="228" w:lineRule="exact"/>
        <w:rPr>
          <w:sz w:val="20"/>
          <w:szCs w:val="20"/>
          <w:color w:val="auto"/>
        </w:rPr>
      </w:pPr>
    </w:p>
    <w:p>
      <w:pPr>
        <w:ind w:left="540" w:right="599"/>
        <w:spacing w:after="0" w:line="251" w:lineRule="auto"/>
        <w:rPr>
          <w:sz w:val="20"/>
          <w:szCs w:val="20"/>
          <w:color w:val="auto"/>
        </w:rPr>
      </w:pPr>
      <w:r>
        <w:rPr>
          <w:rFonts w:ascii="Arial" w:cs="Arial" w:eastAsia="Arial" w:hAnsi="Arial"/>
          <w:sz w:val="16"/>
          <w:szCs w:val="16"/>
          <w:color w:val="auto"/>
        </w:rPr>
        <w:t>The Governance Committee reviews the compensation of Embecta’s non-management directors and makes recommendations to the Board. The Governance Committee may not delegate these responsibilities to another Committee or members of management. For fiscal year 2024, the Governance Committee retained Korn Ferry as an independent consultant to assist in making these recommendations. Korn Ferry’s responsibilities include providing market comparison data on director compensation at peer companies, tracking trends in director compensation practices, and advising the Governance Committee regarding the components and levels of director compensation. The Governance Committee has not identified any conflict of interest on the part of Korn Ferry or any other factor that would impair Korn Ferry’s independence. Embecta management does not play any role in either recommending or determining non-management director compensation.</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00"/>
        <w:spacing w:after="0"/>
        <w:rPr>
          <w:sz w:val="20"/>
          <w:szCs w:val="20"/>
          <w:color w:val="auto"/>
        </w:rPr>
      </w:pPr>
      <w:r>
        <w:rPr>
          <w:rFonts w:ascii="Arial" w:cs="Arial" w:eastAsia="Arial" w:hAnsi="Arial"/>
          <w:sz w:val="25"/>
          <w:szCs w:val="25"/>
          <w:color w:val="342C82"/>
        </w:rPr>
        <w:t>Cash retainer</w:t>
      </w:r>
    </w:p>
    <w:p>
      <w:pPr>
        <w:spacing w:after="0" w:line="153" w:lineRule="exact"/>
        <w:rPr>
          <w:sz w:val="20"/>
          <w:szCs w:val="20"/>
          <w:color w:val="auto"/>
        </w:rPr>
      </w:pPr>
    </w:p>
    <w:p>
      <w:pPr>
        <w:ind w:left="300" w:right="559"/>
        <w:spacing w:after="0" w:line="266" w:lineRule="auto"/>
        <w:rPr>
          <w:sz w:val="20"/>
          <w:szCs w:val="20"/>
          <w:color w:val="auto"/>
        </w:rPr>
      </w:pPr>
      <w:r>
        <w:rPr>
          <w:rFonts w:ascii="Arial" w:cs="Arial" w:eastAsia="Arial" w:hAnsi="Arial"/>
          <w:sz w:val="16"/>
          <w:szCs w:val="16"/>
          <w:color w:val="auto"/>
        </w:rPr>
        <w:t>Each non-management director currently receives an annual cash retainer of $70,000 for services as a director, which is paid in arrears quarterly, unless deferred at the election of the director in accordance with the terms of the Directors’ Deferral Plan, described below. Directors do not receive meeting attendance fees.</w:t>
      </w:r>
    </w:p>
    <w:p>
      <w:pPr>
        <w:spacing w:after="0" w:line="325" w:lineRule="exact"/>
        <w:rPr>
          <w:sz w:val="20"/>
          <w:szCs w:val="20"/>
          <w:color w:val="auto"/>
        </w:rPr>
      </w:pPr>
    </w:p>
    <w:p>
      <w:pPr>
        <w:ind w:left="300"/>
        <w:spacing w:after="0"/>
        <w:rPr>
          <w:sz w:val="20"/>
          <w:szCs w:val="20"/>
          <w:color w:val="auto"/>
        </w:rPr>
      </w:pPr>
      <w:r>
        <w:rPr>
          <w:rFonts w:ascii="Arial" w:cs="Arial" w:eastAsia="Arial" w:hAnsi="Arial"/>
          <w:sz w:val="25"/>
          <w:szCs w:val="25"/>
          <w:color w:val="342C82"/>
        </w:rPr>
        <w:t>Annual equity award</w:t>
      </w:r>
    </w:p>
    <w:p>
      <w:pPr>
        <w:spacing w:after="0" w:line="153" w:lineRule="exact"/>
        <w:rPr>
          <w:sz w:val="20"/>
          <w:szCs w:val="20"/>
          <w:color w:val="auto"/>
        </w:rPr>
      </w:pPr>
    </w:p>
    <w:p>
      <w:pPr>
        <w:ind w:left="300" w:right="399"/>
        <w:spacing w:after="0" w:line="259" w:lineRule="auto"/>
        <w:rPr>
          <w:sz w:val="20"/>
          <w:szCs w:val="20"/>
          <w:color w:val="auto"/>
        </w:rPr>
      </w:pPr>
      <w:r>
        <w:rPr>
          <w:rFonts w:ascii="Arial" w:cs="Arial" w:eastAsia="Arial" w:hAnsi="Arial"/>
          <w:sz w:val="16"/>
          <w:szCs w:val="16"/>
          <w:color w:val="auto"/>
        </w:rPr>
        <w:t>Each non-management director elected at an annual stockholders’ meeting is granted restricted stock units with a value of $200,000 on the date of the grant. On February 7, 2024, each non-management director received a grant of 11,455 restricted stock units. The restricted stock units vest and are settled in shares of Embecta common stock at the following annual stockholders’ meeting.</w:t>
      </w:r>
    </w:p>
    <w:p>
      <w:pPr>
        <w:spacing w:after="0" w:line="331" w:lineRule="exact"/>
        <w:rPr>
          <w:sz w:val="20"/>
          <w:szCs w:val="20"/>
          <w:color w:val="auto"/>
        </w:rPr>
      </w:pPr>
    </w:p>
    <w:p>
      <w:pPr>
        <w:ind w:left="300"/>
        <w:spacing w:after="0"/>
        <w:rPr>
          <w:sz w:val="20"/>
          <w:szCs w:val="20"/>
          <w:color w:val="auto"/>
        </w:rPr>
      </w:pPr>
      <w:r>
        <w:rPr>
          <w:rFonts w:ascii="Arial" w:cs="Arial" w:eastAsia="Arial" w:hAnsi="Arial"/>
          <w:sz w:val="25"/>
          <w:szCs w:val="25"/>
          <w:color w:val="342C82"/>
        </w:rPr>
        <w:t>Non-executive Chair/Committee chair fees</w:t>
      </w:r>
    </w:p>
    <w:p>
      <w:pPr>
        <w:spacing w:after="0" w:line="153" w:lineRule="exact"/>
        <w:rPr>
          <w:sz w:val="20"/>
          <w:szCs w:val="20"/>
          <w:color w:val="auto"/>
        </w:rPr>
      </w:pPr>
    </w:p>
    <w:p>
      <w:pPr>
        <w:ind w:left="300" w:right="319"/>
        <w:spacing w:after="0" w:line="254" w:lineRule="auto"/>
        <w:rPr>
          <w:sz w:val="20"/>
          <w:szCs w:val="20"/>
          <w:color w:val="auto"/>
        </w:rPr>
      </w:pPr>
      <w:r>
        <w:rPr>
          <w:rFonts w:ascii="Arial" w:cs="Arial" w:eastAsia="Arial" w:hAnsi="Arial"/>
          <w:sz w:val="16"/>
          <w:szCs w:val="16"/>
          <w:color w:val="auto"/>
        </w:rPr>
        <w:t>In addition to the annual fees and annual equity award described above, Embecta’s non-executive Chairman receives an annual fee of $60,000, paid in cash in arrears, and an additional annual restricted stock unit grant valued at $60,000, which will vest and be settled in shares of Embecta common stock at the following annual stockholders meeting. The chairs of the Governance Committee, Compensation Committee and TQR Committee receive an annual fee of $16,000, and the chair of the Audit Committee receives an annual fee of $20,000. Each annual fee is paid at year-end in arrears in line with our annual meeting schedule.</w:t>
      </w:r>
    </w:p>
    <w:p>
      <w:pPr>
        <w:spacing w:after="0" w:line="335" w:lineRule="exact"/>
        <w:rPr>
          <w:sz w:val="20"/>
          <w:szCs w:val="20"/>
          <w:color w:val="auto"/>
        </w:rPr>
      </w:pPr>
    </w:p>
    <w:p>
      <w:pPr>
        <w:ind w:left="300"/>
        <w:spacing w:after="0"/>
        <w:rPr>
          <w:sz w:val="20"/>
          <w:szCs w:val="20"/>
          <w:color w:val="auto"/>
        </w:rPr>
      </w:pPr>
      <w:r>
        <w:rPr>
          <w:rFonts w:ascii="Arial" w:cs="Arial" w:eastAsia="Arial" w:hAnsi="Arial"/>
          <w:sz w:val="25"/>
          <w:szCs w:val="25"/>
          <w:color w:val="342C82"/>
        </w:rPr>
        <w:t>Equity ownership by directors</w:t>
      </w:r>
    </w:p>
    <w:p>
      <w:pPr>
        <w:spacing w:after="0" w:line="153" w:lineRule="exact"/>
        <w:rPr>
          <w:sz w:val="20"/>
          <w:szCs w:val="20"/>
          <w:color w:val="auto"/>
        </w:rPr>
      </w:pPr>
    </w:p>
    <w:p>
      <w:pPr>
        <w:ind w:left="300" w:right="379"/>
        <w:spacing w:after="0" w:line="253" w:lineRule="auto"/>
        <w:rPr>
          <w:sz w:val="20"/>
          <w:szCs w:val="20"/>
          <w:color w:val="auto"/>
        </w:rPr>
      </w:pPr>
      <w:r>
        <w:rPr>
          <w:rFonts w:ascii="Arial" w:cs="Arial" w:eastAsia="Arial" w:hAnsi="Arial"/>
          <w:sz w:val="16"/>
          <w:szCs w:val="16"/>
          <w:color w:val="auto"/>
        </w:rPr>
        <w:t>The Board believes that directors should hold meaningful equity ownership positions in Embecta to further align the interests of the non-management directors with our stockholders. To that end, a significant portion of non-management director compensation is in the form of equity awards and the Board has adopted share ownership guidelines. Under the Board’s share ownership guidelines, each non-management director is required to own shares of Embecta common stock (which includes restricted stock units) valued at five times the annual cash retainer and must comply with the guidelines within five years of joining the Board. All our non-management directors are on track to meet their ownership target.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123825</wp:posOffset>
            </wp:positionV>
            <wp:extent cx="699516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6420"/>
        <w:spacing w:after="0"/>
        <w:rPr>
          <w:sz w:val="20"/>
          <w:szCs w:val="20"/>
          <w:color w:val="auto"/>
        </w:rPr>
      </w:pPr>
      <w:r>
        <w:rPr>
          <w:rFonts w:ascii="Arial" w:cs="Arial" w:eastAsia="Arial" w:hAnsi="Arial"/>
          <w:sz w:val="16"/>
          <w:szCs w:val="16"/>
          <w:color w:val="342C82"/>
        </w:rPr>
        <w:t>Proposal 1: Election of directors</w:t>
      </w:r>
    </w:p>
    <w:p>
      <w:pPr>
        <w:spacing w:after="0" w:line="159" w:lineRule="exact"/>
        <w:rPr>
          <w:sz w:val="20"/>
          <w:szCs w:val="20"/>
          <w:color w:val="auto"/>
        </w:rPr>
      </w:pPr>
    </w:p>
    <w:p>
      <w:pPr>
        <w:ind w:left="300"/>
        <w:spacing w:after="0"/>
        <w:rPr>
          <w:sz w:val="20"/>
          <w:szCs w:val="20"/>
          <w:color w:val="auto"/>
        </w:rPr>
      </w:pPr>
      <w:r>
        <w:rPr>
          <w:rFonts w:ascii="Arial" w:cs="Arial" w:eastAsia="Arial" w:hAnsi="Arial"/>
          <w:sz w:val="25"/>
          <w:szCs w:val="25"/>
          <w:color w:val="342C82"/>
        </w:rPr>
        <w:t>Directors’ Deferral Plan</w:t>
      </w:r>
    </w:p>
    <w:p>
      <w:pPr>
        <w:spacing w:after="0" w:line="153" w:lineRule="exact"/>
        <w:rPr>
          <w:sz w:val="20"/>
          <w:szCs w:val="20"/>
          <w:color w:val="auto"/>
        </w:rPr>
      </w:pPr>
    </w:p>
    <w:p>
      <w:pPr>
        <w:ind w:left="300" w:right="359"/>
        <w:spacing w:after="0" w:line="259" w:lineRule="auto"/>
        <w:rPr>
          <w:sz w:val="20"/>
          <w:szCs w:val="20"/>
          <w:color w:val="auto"/>
        </w:rPr>
      </w:pPr>
      <w:r>
        <w:rPr>
          <w:rFonts w:ascii="Arial" w:cs="Arial" w:eastAsia="Arial" w:hAnsi="Arial"/>
          <w:sz w:val="16"/>
          <w:szCs w:val="16"/>
          <w:color w:val="auto"/>
        </w:rPr>
        <w:t>Directors are eligible to participate in the 2022 Directors’ Deferral Plan (the “Directors’ Deferral Plan”). The Directors’ Deferral Plan allows non-management directors to defer receipt, in an unfunded cash account, of all or part of their annual retainer and other cash fees. The Directors’ Deferral Plan is not qualified, and participants have an unsecured contractual commitment of Embecta to pay the amounts due under the Directors’ Deferral Plan.</w:t>
      </w:r>
    </w:p>
    <w:p>
      <w:pPr>
        <w:spacing w:after="0" w:line="331" w:lineRule="exact"/>
        <w:rPr>
          <w:sz w:val="20"/>
          <w:szCs w:val="20"/>
          <w:color w:val="auto"/>
        </w:rPr>
      </w:pPr>
    </w:p>
    <w:p>
      <w:pPr>
        <w:ind w:left="300"/>
        <w:spacing w:after="0"/>
        <w:rPr>
          <w:sz w:val="20"/>
          <w:szCs w:val="20"/>
          <w:color w:val="auto"/>
        </w:rPr>
      </w:pPr>
      <w:r>
        <w:rPr>
          <w:rFonts w:ascii="Arial" w:cs="Arial" w:eastAsia="Arial" w:hAnsi="Arial"/>
          <w:sz w:val="25"/>
          <w:szCs w:val="25"/>
          <w:color w:val="342C82"/>
        </w:rPr>
        <w:t>Other arrangements</w:t>
      </w:r>
    </w:p>
    <w:p>
      <w:pPr>
        <w:spacing w:after="0" w:line="139" w:lineRule="exact"/>
        <w:rPr>
          <w:sz w:val="20"/>
          <w:szCs w:val="20"/>
          <w:color w:val="auto"/>
        </w:rPr>
      </w:pPr>
    </w:p>
    <w:p>
      <w:pPr>
        <w:ind w:left="300" w:right="399"/>
        <w:spacing w:after="0" w:line="256" w:lineRule="auto"/>
        <w:rPr>
          <w:sz w:val="20"/>
          <w:szCs w:val="20"/>
          <w:color w:val="auto"/>
        </w:rPr>
      </w:pPr>
      <w:r>
        <w:rPr>
          <w:rFonts w:ascii="Arial" w:cs="Arial" w:eastAsia="Arial" w:hAnsi="Arial"/>
          <w:sz w:val="16"/>
          <w:szCs w:val="16"/>
          <w:color w:val="auto"/>
        </w:rPr>
        <w:t>Embecta provides non-management directors with an annual fixed stipend of $2,000 to cover travel and other business expenses incurred in the performance of their services for Embecta. Directors are reimbursed for attending director education courses and are eligible to participate in Embecta’s Matching Gift Program, pursuant to which Embecta matches charitable contributions made to qualifying nonprofit organizations, subject to the aggregate limit per participant of $5,000 per calendar year.</w:t>
      </w:r>
    </w:p>
    <w:p>
      <w:pPr>
        <w:spacing w:after="0" w:line="126" w:lineRule="exact"/>
        <w:rPr>
          <w:sz w:val="20"/>
          <w:szCs w:val="20"/>
          <w:color w:val="auto"/>
        </w:rPr>
      </w:pPr>
    </w:p>
    <w:p>
      <w:pPr>
        <w:ind w:left="300" w:right="459"/>
        <w:spacing w:after="0" w:line="286" w:lineRule="auto"/>
        <w:rPr>
          <w:sz w:val="20"/>
          <w:szCs w:val="20"/>
          <w:color w:val="auto"/>
        </w:rPr>
      </w:pPr>
      <w:r>
        <w:rPr>
          <w:rFonts w:ascii="Arial" w:cs="Arial" w:eastAsia="Arial" w:hAnsi="Arial"/>
          <w:sz w:val="16"/>
          <w:szCs w:val="16"/>
          <w:color w:val="auto"/>
        </w:rPr>
        <w:t>The following table sets forth the compensation earned or received by Embecta’s non-management directors during fiscal year 2024.</w:t>
      </w:r>
    </w:p>
    <w:p>
      <w:pPr>
        <w:spacing w:after="0" w:line="156" w:lineRule="exact"/>
        <w:rPr>
          <w:sz w:val="20"/>
          <w:szCs w:val="20"/>
          <w:color w:val="auto"/>
        </w:rPr>
      </w:pPr>
    </w:p>
    <w:tbl>
      <w:tblPr>
        <w:tblLayout w:type="fixed"/>
        <w:tblInd w:w="300" w:type="dxa"/>
        <w:tblCellMar>
          <w:top w:w="0" w:type="dxa"/>
          <w:left w:w="0" w:type="dxa"/>
          <w:bottom w:w="0" w:type="dxa"/>
          <w:right w:w="0" w:type="dxa"/>
        </w:tblCellMar>
      </w:tblPr>
      <w:tr>
        <w:trPr>
          <w:trHeight w:val="189"/>
        </w:trPr>
        <w:tc>
          <w:tcPr>
            <w:tcW w:w="3040" w:type="dxa"/>
            <w:vAlign w:val="bottom"/>
          </w:tcPr>
          <w:p>
            <w:pPr>
              <w:spacing w:after="0"/>
              <w:rPr>
                <w:sz w:val="16"/>
                <w:szCs w:val="16"/>
                <w:color w:val="auto"/>
              </w:rPr>
            </w:pPr>
          </w:p>
        </w:tc>
        <w:tc>
          <w:tcPr>
            <w:tcW w:w="2120" w:type="dxa"/>
            <w:vAlign w:val="bottom"/>
          </w:tcPr>
          <w:p>
            <w:pPr>
              <w:jc w:val="right"/>
              <w:ind w:right="79"/>
              <w:spacing w:after="0"/>
              <w:rPr>
                <w:sz w:val="20"/>
                <w:szCs w:val="20"/>
                <w:color w:val="auto"/>
              </w:rPr>
            </w:pPr>
            <w:r>
              <w:rPr>
                <w:rFonts w:ascii="Arial" w:cs="Arial" w:eastAsia="Arial" w:hAnsi="Arial"/>
                <w:sz w:val="16"/>
                <w:szCs w:val="16"/>
                <w:b w:val="1"/>
                <w:bCs w:val="1"/>
                <w:color w:val="auto"/>
              </w:rPr>
              <w:t>Fees earned</w:t>
            </w:r>
          </w:p>
        </w:tc>
        <w:tc>
          <w:tcPr>
            <w:tcW w:w="9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9"/>
        </w:trPr>
        <w:tc>
          <w:tcPr>
            <w:tcW w:w="3040" w:type="dxa"/>
            <w:vAlign w:val="bottom"/>
          </w:tcPr>
          <w:p>
            <w:pPr>
              <w:spacing w:after="0"/>
              <w:rPr>
                <w:sz w:val="16"/>
                <w:szCs w:val="16"/>
                <w:color w:val="auto"/>
              </w:rPr>
            </w:pPr>
          </w:p>
        </w:tc>
        <w:tc>
          <w:tcPr>
            <w:tcW w:w="2120" w:type="dxa"/>
            <w:vAlign w:val="bottom"/>
          </w:tcPr>
          <w:p>
            <w:pPr>
              <w:jc w:val="right"/>
              <w:ind w:right="79"/>
              <w:spacing w:after="0"/>
              <w:rPr>
                <w:sz w:val="20"/>
                <w:szCs w:val="20"/>
                <w:color w:val="auto"/>
              </w:rPr>
            </w:pPr>
            <w:r>
              <w:rPr>
                <w:rFonts w:ascii="Arial" w:cs="Arial" w:eastAsia="Arial" w:hAnsi="Arial"/>
                <w:sz w:val="16"/>
                <w:szCs w:val="16"/>
                <w:b w:val="1"/>
                <w:bCs w:val="1"/>
                <w:color w:val="auto"/>
              </w:rPr>
              <w:t>or paid in</w:t>
            </w:r>
          </w:p>
        </w:tc>
        <w:tc>
          <w:tcPr>
            <w:tcW w:w="960" w:type="dxa"/>
            <w:vAlign w:val="bottom"/>
          </w:tcPr>
          <w:p>
            <w:pPr>
              <w:jc w:val="right"/>
              <w:ind w:right="139"/>
              <w:spacing w:after="0"/>
              <w:rPr>
                <w:sz w:val="20"/>
                <w:szCs w:val="20"/>
                <w:color w:val="auto"/>
              </w:rPr>
            </w:pPr>
            <w:r>
              <w:rPr>
                <w:rFonts w:ascii="Arial" w:cs="Arial" w:eastAsia="Arial" w:hAnsi="Arial"/>
                <w:sz w:val="16"/>
                <w:szCs w:val="16"/>
                <w:b w:val="1"/>
                <w:bCs w:val="1"/>
                <w:color w:val="auto"/>
              </w:rPr>
              <w:t>Stock</w:t>
            </w:r>
          </w:p>
        </w:tc>
        <w:tc>
          <w:tcPr>
            <w:tcW w:w="1440" w:type="dxa"/>
            <w:vAlign w:val="bottom"/>
          </w:tcPr>
          <w:p>
            <w:pPr>
              <w:jc w:val="right"/>
              <w:ind w:right="79"/>
              <w:spacing w:after="0"/>
              <w:rPr>
                <w:sz w:val="20"/>
                <w:szCs w:val="20"/>
                <w:color w:val="auto"/>
              </w:rPr>
            </w:pPr>
            <w:r>
              <w:rPr>
                <w:rFonts w:ascii="Arial" w:cs="Arial" w:eastAsia="Arial" w:hAnsi="Arial"/>
                <w:sz w:val="16"/>
                <w:szCs w:val="16"/>
                <w:b w:val="1"/>
                <w:bCs w:val="1"/>
                <w:color w:val="auto"/>
              </w:rPr>
              <w:t>All other</w:t>
            </w:r>
          </w:p>
        </w:tc>
        <w:tc>
          <w:tcPr>
            <w:tcW w:w="860" w:type="dxa"/>
            <w:vAlign w:val="bottom"/>
          </w:tcPr>
          <w:p>
            <w:pPr>
              <w:spacing w:after="0"/>
              <w:rPr>
                <w:sz w:val="16"/>
                <w:szCs w:val="16"/>
                <w:color w:val="auto"/>
              </w:rPr>
            </w:pPr>
          </w:p>
        </w:tc>
      </w:tr>
      <w:tr>
        <w:trPr>
          <w:trHeight w:val="202"/>
        </w:trPr>
        <w:tc>
          <w:tcPr>
            <w:tcW w:w="3040" w:type="dxa"/>
            <w:vAlign w:val="bottom"/>
          </w:tcPr>
          <w:p>
            <w:pPr>
              <w:spacing w:after="0"/>
              <w:rPr>
                <w:sz w:val="17"/>
                <w:szCs w:val="17"/>
                <w:color w:val="auto"/>
              </w:rPr>
            </w:pPr>
          </w:p>
        </w:tc>
        <w:tc>
          <w:tcPr>
            <w:tcW w:w="2120" w:type="dxa"/>
            <w:vAlign w:val="bottom"/>
          </w:tcPr>
          <w:p>
            <w:pPr>
              <w:jc w:val="right"/>
              <w:ind w:right="79"/>
              <w:spacing w:after="0"/>
              <w:rPr>
                <w:sz w:val="20"/>
                <w:szCs w:val="20"/>
                <w:color w:val="auto"/>
              </w:rPr>
            </w:pPr>
            <w:r>
              <w:rPr>
                <w:rFonts w:ascii="Arial" w:cs="Arial" w:eastAsia="Arial" w:hAnsi="Arial"/>
                <w:sz w:val="16"/>
                <w:szCs w:val="16"/>
                <w:b w:val="1"/>
                <w:bCs w:val="1"/>
                <w:color w:val="auto"/>
              </w:rPr>
              <w:t>cash</w:t>
            </w:r>
          </w:p>
        </w:tc>
        <w:tc>
          <w:tcPr>
            <w:tcW w:w="960" w:type="dxa"/>
            <w:vAlign w:val="bottom"/>
          </w:tcPr>
          <w:p>
            <w:pPr>
              <w:jc w:val="right"/>
              <w:ind w:right="139"/>
              <w:spacing w:after="0"/>
              <w:rPr>
                <w:sz w:val="20"/>
                <w:szCs w:val="20"/>
                <w:color w:val="auto"/>
              </w:rPr>
            </w:pPr>
            <w:r>
              <w:rPr>
                <w:rFonts w:ascii="Arial" w:cs="Arial" w:eastAsia="Arial" w:hAnsi="Arial"/>
                <w:sz w:val="16"/>
                <w:szCs w:val="16"/>
                <w:b w:val="1"/>
                <w:bCs w:val="1"/>
                <w:color w:val="auto"/>
              </w:rPr>
              <w:t>awards</w:t>
            </w:r>
          </w:p>
        </w:tc>
        <w:tc>
          <w:tcPr>
            <w:tcW w:w="1440" w:type="dxa"/>
            <w:vAlign w:val="bottom"/>
          </w:tcPr>
          <w:p>
            <w:pPr>
              <w:jc w:val="right"/>
              <w:ind w:right="79"/>
              <w:spacing w:after="0"/>
              <w:rPr>
                <w:sz w:val="20"/>
                <w:szCs w:val="20"/>
                <w:color w:val="auto"/>
              </w:rPr>
            </w:pPr>
            <w:r>
              <w:rPr>
                <w:rFonts w:ascii="Arial" w:cs="Arial" w:eastAsia="Arial" w:hAnsi="Arial"/>
                <w:sz w:val="16"/>
                <w:szCs w:val="16"/>
                <w:b w:val="1"/>
                <w:bCs w:val="1"/>
                <w:color w:val="auto"/>
              </w:rPr>
              <w:t>compensation</w:t>
            </w:r>
          </w:p>
        </w:tc>
        <w:tc>
          <w:tcPr>
            <w:tcW w:w="860" w:type="dxa"/>
            <w:vAlign w:val="bottom"/>
          </w:tcPr>
          <w:p>
            <w:pPr>
              <w:jc w:val="right"/>
              <w:ind w:right="39"/>
              <w:spacing w:after="0"/>
              <w:rPr>
                <w:sz w:val="20"/>
                <w:szCs w:val="20"/>
                <w:color w:val="auto"/>
              </w:rPr>
            </w:pPr>
            <w:r>
              <w:rPr>
                <w:rFonts w:ascii="Arial" w:cs="Arial" w:eastAsia="Arial" w:hAnsi="Arial"/>
                <w:sz w:val="16"/>
                <w:szCs w:val="16"/>
                <w:b w:val="1"/>
                <w:bCs w:val="1"/>
                <w:color w:val="auto"/>
              </w:rPr>
              <w:t>Total</w:t>
            </w:r>
          </w:p>
        </w:tc>
      </w:tr>
      <w:tr>
        <w:trPr>
          <w:trHeight w:val="271"/>
        </w:trPr>
        <w:tc>
          <w:tcPr>
            <w:tcW w:w="3040" w:type="dxa"/>
            <w:vAlign w:val="bottom"/>
            <w:tcBorders>
              <w:bottom w:val="single" w:sz="8" w:color="342C82"/>
            </w:tcBorders>
          </w:tcPr>
          <w:p>
            <w:pPr>
              <w:ind w:left="80"/>
              <w:spacing w:after="0"/>
              <w:rPr>
                <w:sz w:val="20"/>
                <w:szCs w:val="20"/>
                <w:color w:val="auto"/>
              </w:rPr>
            </w:pPr>
            <w:r>
              <w:rPr>
                <w:rFonts w:ascii="Arial" w:cs="Arial" w:eastAsia="Arial" w:hAnsi="Arial"/>
                <w:sz w:val="16"/>
                <w:szCs w:val="16"/>
                <w:b w:val="1"/>
                <w:bCs w:val="1"/>
                <w:color w:val="auto"/>
              </w:rPr>
              <w:t>Name</w:t>
            </w:r>
          </w:p>
        </w:tc>
        <w:tc>
          <w:tcPr>
            <w:tcW w:w="2120" w:type="dxa"/>
            <w:vAlign w:val="bottom"/>
            <w:tcBorders>
              <w:bottom w:val="single" w:sz="8" w:color="342C82"/>
            </w:tcBorders>
          </w:tcPr>
          <w:p>
            <w:pPr>
              <w:jc w:val="right"/>
              <w:ind w:right="19"/>
              <w:spacing w:after="0" w:line="271"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26"/>
                <w:szCs w:val="26"/>
                <w:b w:val="1"/>
                <w:bCs w:val="1"/>
                <w:color w:val="auto"/>
                <w:vertAlign w:val="superscript"/>
              </w:rPr>
              <w:t>(1)</w:t>
            </w:r>
          </w:p>
        </w:tc>
        <w:tc>
          <w:tcPr>
            <w:tcW w:w="960" w:type="dxa"/>
            <w:vAlign w:val="bottom"/>
            <w:tcBorders>
              <w:bottom w:val="single" w:sz="8" w:color="342C82"/>
            </w:tcBorders>
          </w:tcPr>
          <w:p>
            <w:pPr>
              <w:jc w:val="right"/>
              <w:ind w:right="99"/>
              <w:spacing w:after="0" w:line="271"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26"/>
                <w:szCs w:val="26"/>
                <w:b w:val="1"/>
                <w:bCs w:val="1"/>
                <w:color w:val="auto"/>
                <w:vertAlign w:val="superscript"/>
              </w:rPr>
              <w:t>(2)</w:t>
            </w:r>
          </w:p>
        </w:tc>
        <w:tc>
          <w:tcPr>
            <w:tcW w:w="1440" w:type="dxa"/>
            <w:vAlign w:val="bottom"/>
            <w:tcBorders>
              <w:bottom w:val="single" w:sz="8" w:color="342C82"/>
            </w:tcBorders>
          </w:tcPr>
          <w:p>
            <w:pPr>
              <w:jc w:val="right"/>
              <w:ind w:right="39"/>
              <w:spacing w:after="0" w:line="271"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26"/>
                <w:szCs w:val="26"/>
                <w:b w:val="1"/>
                <w:bCs w:val="1"/>
                <w:color w:val="auto"/>
                <w:vertAlign w:val="superscript"/>
              </w:rPr>
              <w:t>(3)</w:t>
            </w:r>
          </w:p>
        </w:tc>
        <w:tc>
          <w:tcPr>
            <w:tcW w:w="860" w:type="dxa"/>
            <w:vAlign w:val="bottom"/>
            <w:tcBorders>
              <w:bottom w:val="single" w:sz="8" w:color="342C82"/>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29"/>
        </w:trPr>
        <w:tc>
          <w:tcPr>
            <w:tcW w:w="3040" w:type="dxa"/>
            <w:vAlign w:val="bottom"/>
          </w:tcPr>
          <w:p>
            <w:pPr>
              <w:ind w:left="80"/>
              <w:spacing w:after="0"/>
              <w:rPr>
                <w:sz w:val="20"/>
                <w:szCs w:val="20"/>
                <w:color w:val="auto"/>
              </w:rPr>
            </w:pPr>
            <w:r>
              <w:rPr>
                <w:rFonts w:ascii="Arial" w:cs="Arial" w:eastAsia="Arial" w:hAnsi="Arial"/>
                <w:sz w:val="16"/>
                <w:szCs w:val="16"/>
                <w:b w:val="1"/>
                <w:bCs w:val="1"/>
                <w:color w:val="342C82"/>
              </w:rPr>
              <w:t>David F. Melcher</w:t>
            </w:r>
          </w:p>
        </w:tc>
        <w:tc>
          <w:tcPr>
            <w:tcW w:w="2120" w:type="dxa"/>
            <w:vAlign w:val="bottom"/>
          </w:tcPr>
          <w:p>
            <w:pPr>
              <w:jc w:val="right"/>
              <w:ind w:right="99"/>
              <w:spacing w:after="0"/>
              <w:rPr>
                <w:sz w:val="20"/>
                <w:szCs w:val="20"/>
                <w:color w:val="auto"/>
              </w:rPr>
            </w:pPr>
            <w:r>
              <w:rPr>
                <w:rFonts w:ascii="Arial" w:cs="Arial" w:eastAsia="Arial" w:hAnsi="Arial"/>
                <w:sz w:val="16"/>
                <w:szCs w:val="16"/>
                <w:color w:val="auto"/>
              </w:rPr>
              <w:t>130,000</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260,014</w:t>
            </w: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2,000</w:t>
            </w: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392,014</w:t>
            </w:r>
          </w:p>
        </w:tc>
      </w:tr>
      <w:tr>
        <w:trPr>
          <w:trHeight w:val="21"/>
        </w:trPr>
        <w:tc>
          <w:tcPr>
            <w:tcW w:w="3040" w:type="dxa"/>
            <w:vAlign w:val="bottom"/>
            <w:tcBorders>
              <w:bottom w:val="single" w:sz="8" w:color="808080"/>
            </w:tcBorders>
          </w:tcPr>
          <w:p>
            <w:pPr>
              <w:spacing w:after="0" w:line="20" w:lineRule="exact"/>
              <w:rPr>
                <w:sz w:val="1"/>
                <w:szCs w:val="1"/>
                <w:color w:val="auto"/>
              </w:rPr>
            </w:pPr>
          </w:p>
        </w:tc>
        <w:tc>
          <w:tcPr>
            <w:tcW w:w="2120" w:type="dxa"/>
            <w:vAlign w:val="bottom"/>
            <w:tcBorders>
              <w:bottom w:val="single" w:sz="8" w:color="808080"/>
            </w:tcBorders>
          </w:tcPr>
          <w:p>
            <w:pPr>
              <w:spacing w:after="0" w:line="20" w:lineRule="exact"/>
              <w:rPr>
                <w:sz w:val="1"/>
                <w:szCs w:val="1"/>
                <w:color w:val="auto"/>
              </w:rPr>
            </w:pPr>
          </w:p>
        </w:tc>
        <w:tc>
          <w:tcPr>
            <w:tcW w:w="960" w:type="dxa"/>
            <w:vAlign w:val="bottom"/>
            <w:tcBorders>
              <w:bottom w:val="single" w:sz="8" w:color="808080"/>
            </w:tcBorders>
          </w:tcPr>
          <w:p>
            <w:pPr>
              <w:spacing w:after="0" w:line="20" w:lineRule="exact"/>
              <w:rPr>
                <w:sz w:val="1"/>
                <w:szCs w:val="1"/>
                <w:color w:val="auto"/>
              </w:rPr>
            </w:pPr>
          </w:p>
        </w:tc>
        <w:tc>
          <w:tcPr>
            <w:tcW w:w="1440" w:type="dxa"/>
            <w:vAlign w:val="bottom"/>
            <w:tcBorders>
              <w:bottom w:val="single" w:sz="8" w:color="808080"/>
            </w:tcBorders>
          </w:tcPr>
          <w:p>
            <w:pPr>
              <w:spacing w:after="0" w:line="20" w:lineRule="exact"/>
              <w:rPr>
                <w:sz w:val="1"/>
                <w:szCs w:val="1"/>
                <w:color w:val="auto"/>
              </w:rPr>
            </w:pPr>
          </w:p>
        </w:tc>
        <w:tc>
          <w:tcPr>
            <w:tcW w:w="860" w:type="dxa"/>
            <w:vAlign w:val="bottom"/>
            <w:tcBorders>
              <w:bottom w:val="single" w:sz="8" w:color="808080"/>
            </w:tcBorders>
          </w:tcPr>
          <w:p>
            <w:pPr>
              <w:spacing w:after="0" w:line="20" w:lineRule="exact"/>
              <w:rPr>
                <w:sz w:val="1"/>
                <w:szCs w:val="1"/>
                <w:color w:val="auto"/>
              </w:rPr>
            </w:pPr>
          </w:p>
        </w:tc>
      </w:tr>
      <w:tr>
        <w:trPr>
          <w:trHeight w:val="229"/>
        </w:trPr>
        <w:tc>
          <w:tcPr>
            <w:tcW w:w="3040" w:type="dxa"/>
            <w:vAlign w:val="bottom"/>
          </w:tcPr>
          <w:p>
            <w:pPr>
              <w:ind w:left="80"/>
              <w:spacing w:after="0"/>
              <w:rPr>
                <w:sz w:val="20"/>
                <w:szCs w:val="20"/>
                <w:color w:val="auto"/>
              </w:rPr>
            </w:pPr>
            <w:r>
              <w:rPr>
                <w:rFonts w:ascii="Arial" w:cs="Arial" w:eastAsia="Arial" w:hAnsi="Arial"/>
                <w:sz w:val="16"/>
                <w:szCs w:val="16"/>
                <w:b w:val="1"/>
                <w:bCs w:val="1"/>
                <w:color w:val="342C82"/>
              </w:rPr>
              <w:t>David J. Albritton</w:t>
            </w:r>
          </w:p>
        </w:tc>
        <w:tc>
          <w:tcPr>
            <w:tcW w:w="2120" w:type="dxa"/>
            <w:vAlign w:val="bottom"/>
          </w:tcPr>
          <w:p>
            <w:pPr>
              <w:jc w:val="right"/>
              <w:ind w:right="119"/>
              <w:spacing w:after="0"/>
              <w:rPr>
                <w:sz w:val="20"/>
                <w:szCs w:val="20"/>
                <w:color w:val="auto"/>
              </w:rPr>
            </w:pPr>
            <w:r>
              <w:rPr>
                <w:rFonts w:ascii="Arial" w:cs="Arial" w:eastAsia="Arial" w:hAnsi="Arial"/>
                <w:sz w:val="16"/>
                <w:szCs w:val="16"/>
                <w:color w:val="auto"/>
              </w:rPr>
              <w:t>70,000</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200,004</w:t>
            </w: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2,000</w:t>
            </w: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272,004</w:t>
            </w:r>
          </w:p>
        </w:tc>
      </w:tr>
      <w:tr>
        <w:trPr>
          <w:trHeight w:val="21"/>
        </w:trPr>
        <w:tc>
          <w:tcPr>
            <w:tcW w:w="3040" w:type="dxa"/>
            <w:vAlign w:val="bottom"/>
            <w:tcBorders>
              <w:bottom w:val="single" w:sz="8" w:color="808080"/>
            </w:tcBorders>
          </w:tcPr>
          <w:p>
            <w:pPr>
              <w:spacing w:after="0" w:line="20" w:lineRule="exact"/>
              <w:rPr>
                <w:sz w:val="1"/>
                <w:szCs w:val="1"/>
                <w:color w:val="auto"/>
              </w:rPr>
            </w:pPr>
          </w:p>
        </w:tc>
        <w:tc>
          <w:tcPr>
            <w:tcW w:w="2120" w:type="dxa"/>
            <w:vAlign w:val="bottom"/>
            <w:tcBorders>
              <w:bottom w:val="single" w:sz="8" w:color="808080"/>
            </w:tcBorders>
          </w:tcPr>
          <w:p>
            <w:pPr>
              <w:spacing w:after="0" w:line="20" w:lineRule="exact"/>
              <w:rPr>
                <w:sz w:val="1"/>
                <w:szCs w:val="1"/>
                <w:color w:val="auto"/>
              </w:rPr>
            </w:pPr>
          </w:p>
        </w:tc>
        <w:tc>
          <w:tcPr>
            <w:tcW w:w="960" w:type="dxa"/>
            <w:vAlign w:val="bottom"/>
            <w:tcBorders>
              <w:bottom w:val="single" w:sz="8" w:color="808080"/>
            </w:tcBorders>
          </w:tcPr>
          <w:p>
            <w:pPr>
              <w:spacing w:after="0" w:line="20" w:lineRule="exact"/>
              <w:rPr>
                <w:sz w:val="1"/>
                <w:szCs w:val="1"/>
                <w:color w:val="auto"/>
              </w:rPr>
            </w:pPr>
          </w:p>
        </w:tc>
        <w:tc>
          <w:tcPr>
            <w:tcW w:w="1440" w:type="dxa"/>
            <w:vAlign w:val="bottom"/>
            <w:tcBorders>
              <w:bottom w:val="single" w:sz="8" w:color="808080"/>
            </w:tcBorders>
          </w:tcPr>
          <w:p>
            <w:pPr>
              <w:spacing w:after="0" w:line="20" w:lineRule="exact"/>
              <w:rPr>
                <w:sz w:val="1"/>
                <w:szCs w:val="1"/>
                <w:color w:val="auto"/>
              </w:rPr>
            </w:pPr>
          </w:p>
        </w:tc>
        <w:tc>
          <w:tcPr>
            <w:tcW w:w="860" w:type="dxa"/>
            <w:vAlign w:val="bottom"/>
            <w:tcBorders>
              <w:bottom w:val="single" w:sz="8" w:color="808080"/>
            </w:tcBorders>
          </w:tcPr>
          <w:p>
            <w:pPr>
              <w:spacing w:after="0" w:line="20" w:lineRule="exact"/>
              <w:rPr>
                <w:sz w:val="1"/>
                <w:szCs w:val="1"/>
                <w:color w:val="auto"/>
              </w:rPr>
            </w:pPr>
          </w:p>
        </w:tc>
      </w:tr>
      <w:tr>
        <w:trPr>
          <w:trHeight w:val="229"/>
        </w:trPr>
        <w:tc>
          <w:tcPr>
            <w:tcW w:w="3040" w:type="dxa"/>
            <w:vAlign w:val="bottom"/>
          </w:tcPr>
          <w:p>
            <w:pPr>
              <w:ind w:left="80"/>
              <w:spacing w:after="0"/>
              <w:rPr>
                <w:sz w:val="20"/>
                <w:szCs w:val="20"/>
                <w:color w:val="auto"/>
              </w:rPr>
            </w:pPr>
            <w:r>
              <w:rPr>
                <w:rFonts w:ascii="Arial" w:cs="Arial" w:eastAsia="Arial" w:hAnsi="Arial"/>
                <w:sz w:val="16"/>
                <w:szCs w:val="16"/>
                <w:b w:val="1"/>
                <w:bCs w:val="1"/>
                <w:color w:val="342C82"/>
              </w:rPr>
              <w:t>Carrie L. Anderson</w:t>
            </w:r>
          </w:p>
        </w:tc>
        <w:tc>
          <w:tcPr>
            <w:tcW w:w="2120" w:type="dxa"/>
            <w:vAlign w:val="bottom"/>
          </w:tcPr>
          <w:p>
            <w:pPr>
              <w:jc w:val="right"/>
              <w:ind w:right="119"/>
              <w:spacing w:after="0"/>
              <w:rPr>
                <w:sz w:val="20"/>
                <w:szCs w:val="20"/>
                <w:color w:val="auto"/>
              </w:rPr>
            </w:pPr>
            <w:r>
              <w:rPr>
                <w:rFonts w:ascii="Arial" w:cs="Arial" w:eastAsia="Arial" w:hAnsi="Arial"/>
                <w:sz w:val="16"/>
                <w:szCs w:val="16"/>
                <w:color w:val="auto"/>
              </w:rPr>
              <w:t>70,000</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200,004</w:t>
            </w: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7,000</w:t>
            </w: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277,004</w:t>
            </w:r>
          </w:p>
        </w:tc>
      </w:tr>
      <w:tr>
        <w:trPr>
          <w:trHeight w:val="21"/>
        </w:trPr>
        <w:tc>
          <w:tcPr>
            <w:tcW w:w="3040" w:type="dxa"/>
            <w:vAlign w:val="bottom"/>
            <w:tcBorders>
              <w:bottom w:val="single" w:sz="8" w:color="808080"/>
            </w:tcBorders>
          </w:tcPr>
          <w:p>
            <w:pPr>
              <w:spacing w:after="0" w:line="20" w:lineRule="exact"/>
              <w:rPr>
                <w:sz w:val="1"/>
                <w:szCs w:val="1"/>
                <w:color w:val="auto"/>
              </w:rPr>
            </w:pPr>
          </w:p>
        </w:tc>
        <w:tc>
          <w:tcPr>
            <w:tcW w:w="2120" w:type="dxa"/>
            <w:vAlign w:val="bottom"/>
            <w:tcBorders>
              <w:bottom w:val="single" w:sz="8" w:color="808080"/>
            </w:tcBorders>
          </w:tcPr>
          <w:p>
            <w:pPr>
              <w:spacing w:after="0" w:line="20" w:lineRule="exact"/>
              <w:rPr>
                <w:sz w:val="1"/>
                <w:szCs w:val="1"/>
                <w:color w:val="auto"/>
              </w:rPr>
            </w:pPr>
          </w:p>
        </w:tc>
        <w:tc>
          <w:tcPr>
            <w:tcW w:w="960" w:type="dxa"/>
            <w:vAlign w:val="bottom"/>
            <w:tcBorders>
              <w:bottom w:val="single" w:sz="8" w:color="808080"/>
            </w:tcBorders>
          </w:tcPr>
          <w:p>
            <w:pPr>
              <w:spacing w:after="0" w:line="20" w:lineRule="exact"/>
              <w:rPr>
                <w:sz w:val="1"/>
                <w:szCs w:val="1"/>
                <w:color w:val="auto"/>
              </w:rPr>
            </w:pPr>
          </w:p>
        </w:tc>
        <w:tc>
          <w:tcPr>
            <w:tcW w:w="1440" w:type="dxa"/>
            <w:vAlign w:val="bottom"/>
            <w:tcBorders>
              <w:bottom w:val="single" w:sz="8" w:color="808080"/>
            </w:tcBorders>
          </w:tcPr>
          <w:p>
            <w:pPr>
              <w:spacing w:after="0" w:line="20" w:lineRule="exact"/>
              <w:rPr>
                <w:sz w:val="1"/>
                <w:szCs w:val="1"/>
                <w:color w:val="auto"/>
              </w:rPr>
            </w:pPr>
          </w:p>
        </w:tc>
        <w:tc>
          <w:tcPr>
            <w:tcW w:w="860" w:type="dxa"/>
            <w:vAlign w:val="bottom"/>
            <w:tcBorders>
              <w:bottom w:val="single" w:sz="8" w:color="808080"/>
            </w:tcBorders>
          </w:tcPr>
          <w:p>
            <w:pPr>
              <w:spacing w:after="0" w:line="20" w:lineRule="exact"/>
              <w:rPr>
                <w:sz w:val="1"/>
                <w:szCs w:val="1"/>
                <w:color w:val="auto"/>
              </w:rPr>
            </w:pPr>
          </w:p>
        </w:tc>
      </w:tr>
      <w:tr>
        <w:trPr>
          <w:trHeight w:val="229"/>
        </w:trPr>
        <w:tc>
          <w:tcPr>
            <w:tcW w:w="3040" w:type="dxa"/>
            <w:vAlign w:val="bottom"/>
          </w:tcPr>
          <w:p>
            <w:pPr>
              <w:ind w:left="80"/>
              <w:spacing w:after="0"/>
              <w:rPr>
                <w:sz w:val="20"/>
                <w:szCs w:val="20"/>
                <w:color w:val="auto"/>
              </w:rPr>
            </w:pPr>
            <w:r>
              <w:rPr>
                <w:rFonts w:ascii="Arial" w:cs="Arial" w:eastAsia="Arial" w:hAnsi="Arial"/>
                <w:sz w:val="16"/>
                <w:szCs w:val="16"/>
                <w:b w:val="1"/>
                <w:bCs w:val="1"/>
                <w:color w:val="342C82"/>
              </w:rPr>
              <w:t>Christopher R. Reidy</w:t>
            </w:r>
          </w:p>
        </w:tc>
        <w:tc>
          <w:tcPr>
            <w:tcW w:w="2120" w:type="dxa"/>
            <w:vAlign w:val="bottom"/>
          </w:tcPr>
          <w:p>
            <w:pPr>
              <w:jc w:val="right"/>
              <w:ind w:right="119"/>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86,000</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200,004</w:t>
            </w: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2,000</w:t>
            </w: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288,004</w:t>
            </w:r>
          </w:p>
        </w:tc>
      </w:tr>
      <w:tr>
        <w:trPr>
          <w:trHeight w:val="21"/>
        </w:trPr>
        <w:tc>
          <w:tcPr>
            <w:tcW w:w="3040" w:type="dxa"/>
            <w:vAlign w:val="bottom"/>
            <w:tcBorders>
              <w:bottom w:val="single" w:sz="8" w:color="808080"/>
            </w:tcBorders>
          </w:tcPr>
          <w:p>
            <w:pPr>
              <w:spacing w:after="0" w:line="20" w:lineRule="exact"/>
              <w:rPr>
                <w:sz w:val="1"/>
                <w:szCs w:val="1"/>
                <w:color w:val="auto"/>
              </w:rPr>
            </w:pPr>
          </w:p>
        </w:tc>
        <w:tc>
          <w:tcPr>
            <w:tcW w:w="2120" w:type="dxa"/>
            <w:vAlign w:val="bottom"/>
            <w:tcBorders>
              <w:bottom w:val="single" w:sz="8" w:color="808080"/>
            </w:tcBorders>
          </w:tcPr>
          <w:p>
            <w:pPr>
              <w:spacing w:after="0" w:line="20" w:lineRule="exact"/>
              <w:rPr>
                <w:sz w:val="1"/>
                <w:szCs w:val="1"/>
                <w:color w:val="auto"/>
              </w:rPr>
            </w:pPr>
          </w:p>
        </w:tc>
        <w:tc>
          <w:tcPr>
            <w:tcW w:w="960" w:type="dxa"/>
            <w:vAlign w:val="bottom"/>
            <w:tcBorders>
              <w:bottom w:val="single" w:sz="8" w:color="808080"/>
            </w:tcBorders>
          </w:tcPr>
          <w:p>
            <w:pPr>
              <w:spacing w:after="0" w:line="20" w:lineRule="exact"/>
              <w:rPr>
                <w:sz w:val="1"/>
                <w:szCs w:val="1"/>
                <w:color w:val="auto"/>
              </w:rPr>
            </w:pPr>
          </w:p>
        </w:tc>
        <w:tc>
          <w:tcPr>
            <w:tcW w:w="1440" w:type="dxa"/>
            <w:vAlign w:val="bottom"/>
            <w:tcBorders>
              <w:bottom w:val="single" w:sz="8" w:color="808080"/>
            </w:tcBorders>
          </w:tcPr>
          <w:p>
            <w:pPr>
              <w:spacing w:after="0" w:line="20" w:lineRule="exact"/>
              <w:rPr>
                <w:sz w:val="1"/>
                <w:szCs w:val="1"/>
                <w:color w:val="auto"/>
              </w:rPr>
            </w:pPr>
          </w:p>
        </w:tc>
        <w:tc>
          <w:tcPr>
            <w:tcW w:w="860" w:type="dxa"/>
            <w:vAlign w:val="bottom"/>
            <w:tcBorders>
              <w:bottom w:val="single" w:sz="8" w:color="808080"/>
            </w:tcBorders>
          </w:tcPr>
          <w:p>
            <w:pPr>
              <w:spacing w:after="0" w:line="20" w:lineRule="exact"/>
              <w:rPr>
                <w:sz w:val="1"/>
                <w:szCs w:val="1"/>
                <w:color w:val="auto"/>
              </w:rPr>
            </w:pPr>
          </w:p>
        </w:tc>
      </w:tr>
      <w:tr>
        <w:trPr>
          <w:trHeight w:val="229"/>
        </w:trPr>
        <w:tc>
          <w:tcPr>
            <w:tcW w:w="3040" w:type="dxa"/>
            <w:vAlign w:val="bottom"/>
          </w:tcPr>
          <w:p>
            <w:pPr>
              <w:ind w:left="80"/>
              <w:spacing w:after="0"/>
              <w:rPr>
                <w:sz w:val="20"/>
                <w:szCs w:val="20"/>
                <w:color w:val="auto"/>
              </w:rPr>
            </w:pPr>
            <w:r>
              <w:rPr>
                <w:rFonts w:ascii="Arial" w:cs="Arial" w:eastAsia="Arial" w:hAnsi="Arial"/>
                <w:sz w:val="16"/>
                <w:szCs w:val="16"/>
                <w:b w:val="1"/>
                <w:bCs w:val="1"/>
                <w:color w:val="342C82"/>
              </w:rPr>
              <w:t>Robert (Bob) J. Hombach</w:t>
            </w:r>
          </w:p>
        </w:tc>
        <w:tc>
          <w:tcPr>
            <w:tcW w:w="2120" w:type="dxa"/>
            <w:vAlign w:val="bottom"/>
          </w:tcPr>
          <w:p>
            <w:pPr>
              <w:jc w:val="right"/>
              <w:ind w:right="119"/>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90,000</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200,004</w:t>
            </w: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2,000</w:t>
            </w: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292,004</w:t>
            </w:r>
          </w:p>
        </w:tc>
      </w:tr>
      <w:tr>
        <w:trPr>
          <w:trHeight w:val="21"/>
        </w:trPr>
        <w:tc>
          <w:tcPr>
            <w:tcW w:w="3040" w:type="dxa"/>
            <w:vAlign w:val="bottom"/>
            <w:tcBorders>
              <w:bottom w:val="single" w:sz="8" w:color="808080"/>
            </w:tcBorders>
          </w:tcPr>
          <w:p>
            <w:pPr>
              <w:spacing w:after="0" w:line="20" w:lineRule="exact"/>
              <w:rPr>
                <w:sz w:val="1"/>
                <w:szCs w:val="1"/>
                <w:color w:val="auto"/>
              </w:rPr>
            </w:pPr>
          </w:p>
        </w:tc>
        <w:tc>
          <w:tcPr>
            <w:tcW w:w="2120" w:type="dxa"/>
            <w:vAlign w:val="bottom"/>
            <w:tcBorders>
              <w:bottom w:val="single" w:sz="8" w:color="808080"/>
            </w:tcBorders>
          </w:tcPr>
          <w:p>
            <w:pPr>
              <w:spacing w:after="0" w:line="20" w:lineRule="exact"/>
              <w:rPr>
                <w:sz w:val="1"/>
                <w:szCs w:val="1"/>
                <w:color w:val="auto"/>
              </w:rPr>
            </w:pPr>
          </w:p>
        </w:tc>
        <w:tc>
          <w:tcPr>
            <w:tcW w:w="960" w:type="dxa"/>
            <w:vAlign w:val="bottom"/>
            <w:tcBorders>
              <w:bottom w:val="single" w:sz="8" w:color="808080"/>
            </w:tcBorders>
          </w:tcPr>
          <w:p>
            <w:pPr>
              <w:spacing w:after="0" w:line="20" w:lineRule="exact"/>
              <w:rPr>
                <w:sz w:val="1"/>
                <w:szCs w:val="1"/>
                <w:color w:val="auto"/>
              </w:rPr>
            </w:pPr>
          </w:p>
        </w:tc>
        <w:tc>
          <w:tcPr>
            <w:tcW w:w="1440" w:type="dxa"/>
            <w:vAlign w:val="bottom"/>
            <w:tcBorders>
              <w:bottom w:val="single" w:sz="8" w:color="808080"/>
            </w:tcBorders>
          </w:tcPr>
          <w:p>
            <w:pPr>
              <w:spacing w:after="0" w:line="20" w:lineRule="exact"/>
              <w:rPr>
                <w:sz w:val="1"/>
                <w:szCs w:val="1"/>
                <w:color w:val="auto"/>
              </w:rPr>
            </w:pPr>
          </w:p>
        </w:tc>
        <w:tc>
          <w:tcPr>
            <w:tcW w:w="860" w:type="dxa"/>
            <w:vAlign w:val="bottom"/>
            <w:tcBorders>
              <w:bottom w:val="single" w:sz="8" w:color="808080"/>
            </w:tcBorders>
          </w:tcPr>
          <w:p>
            <w:pPr>
              <w:spacing w:after="0" w:line="20" w:lineRule="exact"/>
              <w:rPr>
                <w:sz w:val="1"/>
                <w:szCs w:val="1"/>
                <w:color w:val="auto"/>
              </w:rPr>
            </w:pPr>
          </w:p>
        </w:tc>
      </w:tr>
      <w:tr>
        <w:trPr>
          <w:trHeight w:val="229"/>
        </w:trPr>
        <w:tc>
          <w:tcPr>
            <w:tcW w:w="3040" w:type="dxa"/>
            <w:vAlign w:val="bottom"/>
          </w:tcPr>
          <w:p>
            <w:pPr>
              <w:ind w:left="80"/>
              <w:spacing w:after="0"/>
              <w:rPr>
                <w:sz w:val="20"/>
                <w:szCs w:val="20"/>
                <w:color w:val="auto"/>
              </w:rPr>
            </w:pPr>
            <w:r>
              <w:rPr>
                <w:rFonts w:ascii="Arial" w:cs="Arial" w:eastAsia="Arial" w:hAnsi="Arial"/>
                <w:sz w:val="16"/>
                <w:szCs w:val="16"/>
                <w:b w:val="1"/>
                <w:bCs w:val="1"/>
                <w:color w:val="342C82"/>
              </w:rPr>
              <w:t>Milton M. Morris</w:t>
            </w:r>
          </w:p>
        </w:tc>
        <w:tc>
          <w:tcPr>
            <w:tcW w:w="2120" w:type="dxa"/>
            <w:vAlign w:val="bottom"/>
          </w:tcPr>
          <w:p>
            <w:pPr>
              <w:jc w:val="right"/>
              <w:ind w:right="119"/>
              <w:spacing w:after="0"/>
              <w:rPr>
                <w:sz w:val="20"/>
                <w:szCs w:val="20"/>
                <w:color w:val="auto"/>
              </w:rPr>
            </w:pPr>
            <w:r>
              <w:rPr>
                <w:rFonts w:ascii="Arial" w:cs="Arial" w:eastAsia="Arial" w:hAnsi="Arial"/>
                <w:sz w:val="16"/>
                <w:szCs w:val="16"/>
                <w:color w:val="auto"/>
              </w:rPr>
              <w:t>70,000</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200,004</w:t>
            </w: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7,000</w:t>
            </w: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277,004</w:t>
            </w:r>
          </w:p>
        </w:tc>
      </w:tr>
      <w:tr>
        <w:trPr>
          <w:trHeight w:val="21"/>
        </w:trPr>
        <w:tc>
          <w:tcPr>
            <w:tcW w:w="3040" w:type="dxa"/>
            <w:vAlign w:val="bottom"/>
            <w:tcBorders>
              <w:bottom w:val="single" w:sz="8" w:color="808080"/>
            </w:tcBorders>
          </w:tcPr>
          <w:p>
            <w:pPr>
              <w:spacing w:after="0" w:line="20" w:lineRule="exact"/>
              <w:rPr>
                <w:sz w:val="1"/>
                <w:szCs w:val="1"/>
                <w:color w:val="auto"/>
              </w:rPr>
            </w:pPr>
          </w:p>
        </w:tc>
        <w:tc>
          <w:tcPr>
            <w:tcW w:w="2120" w:type="dxa"/>
            <w:vAlign w:val="bottom"/>
            <w:tcBorders>
              <w:bottom w:val="single" w:sz="8" w:color="808080"/>
            </w:tcBorders>
          </w:tcPr>
          <w:p>
            <w:pPr>
              <w:spacing w:after="0" w:line="20" w:lineRule="exact"/>
              <w:rPr>
                <w:sz w:val="1"/>
                <w:szCs w:val="1"/>
                <w:color w:val="auto"/>
              </w:rPr>
            </w:pPr>
          </w:p>
        </w:tc>
        <w:tc>
          <w:tcPr>
            <w:tcW w:w="960" w:type="dxa"/>
            <w:vAlign w:val="bottom"/>
            <w:tcBorders>
              <w:bottom w:val="single" w:sz="8" w:color="808080"/>
            </w:tcBorders>
          </w:tcPr>
          <w:p>
            <w:pPr>
              <w:spacing w:after="0" w:line="20" w:lineRule="exact"/>
              <w:rPr>
                <w:sz w:val="1"/>
                <w:szCs w:val="1"/>
                <w:color w:val="auto"/>
              </w:rPr>
            </w:pPr>
          </w:p>
        </w:tc>
        <w:tc>
          <w:tcPr>
            <w:tcW w:w="1440" w:type="dxa"/>
            <w:vAlign w:val="bottom"/>
            <w:tcBorders>
              <w:bottom w:val="single" w:sz="8" w:color="808080"/>
            </w:tcBorders>
          </w:tcPr>
          <w:p>
            <w:pPr>
              <w:spacing w:after="0" w:line="20" w:lineRule="exact"/>
              <w:rPr>
                <w:sz w:val="1"/>
                <w:szCs w:val="1"/>
                <w:color w:val="auto"/>
              </w:rPr>
            </w:pPr>
          </w:p>
        </w:tc>
        <w:tc>
          <w:tcPr>
            <w:tcW w:w="860" w:type="dxa"/>
            <w:vAlign w:val="bottom"/>
            <w:tcBorders>
              <w:bottom w:val="single" w:sz="8" w:color="808080"/>
            </w:tcBorders>
          </w:tcPr>
          <w:p>
            <w:pPr>
              <w:spacing w:after="0" w:line="20" w:lineRule="exact"/>
              <w:rPr>
                <w:sz w:val="1"/>
                <w:szCs w:val="1"/>
                <w:color w:val="auto"/>
              </w:rPr>
            </w:pPr>
          </w:p>
        </w:tc>
      </w:tr>
      <w:tr>
        <w:trPr>
          <w:trHeight w:val="229"/>
        </w:trPr>
        <w:tc>
          <w:tcPr>
            <w:tcW w:w="3040" w:type="dxa"/>
            <w:vAlign w:val="bottom"/>
          </w:tcPr>
          <w:p>
            <w:pPr>
              <w:ind w:left="80"/>
              <w:spacing w:after="0"/>
              <w:rPr>
                <w:sz w:val="20"/>
                <w:szCs w:val="20"/>
                <w:color w:val="auto"/>
              </w:rPr>
            </w:pPr>
            <w:r>
              <w:rPr>
                <w:rFonts w:ascii="Arial" w:cs="Arial" w:eastAsia="Arial" w:hAnsi="Arial"/>
                <w:sz w:val="16"/>
                <w:szCs w:val="16"/>
                <w:b w:val="1"/>
                <w:bCs w:val="1"/>
                <w:color w:val="342C82"/>
              </w:rPr>
              <w:t>Claire Pomeroy</w:t>
            </w:r>
          </w:p>
        </w:tc>
        <w:tc>
          <w:tcPr>
            <w:tcW w:w="2120" w:type="dxa"/>
            <w:vAlign w:val="bottom"/>
          </w:tcPr>
          <w:p>
            <w:pPr>
              <w:jc w:val="right"/>
              <w:ind w:right="119"/>
              <w:spacing w:after="0"/>
              <w:rPr>
                <w:sz w:val="20"/>
                <w:szCs w:val="20"/>
                <w:color w:val="auto"/>
              </w:rPr>
            </w:pPr>
            <w:r>
              <w:rPr>
                <w:rFonts w:ascii="Arial" w:cs="Arial" w:eastAsia="Arial" w:hAnsi="Arial"/>
                <w:sz w:val="16"/>
                <w:szCs w:val="16"/>
                <w:color w:val="auto"/>
              </w:rPr>
              <w:t>86,000</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200,004</w:t>
            </w: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7,000</w:t>
            </w: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293,004</w:t>
            </w:r>
          </w:p>
        </w:tc>
      </w:tr>
      <w:tr>
        <w:trPr>
          <w:trHeight w:val="21"/>
        </w:trPr>
        <w:tc>
          <w:tcPr>
            <w:tcW w:w="3040" w:type="dxa"/>
            <w:vAlign w:val="bottom"/>
            <w:tcBorders>
              <w:bottom w:val="single" w:sz="8" w:color="808080"/>
            </w:tcBorders>
          </w:tcPr>
          <w:p>
            <w:pPr>
              <w:spacing w:after="0" w:line="20" w:lineRule="exact"/>
              <w:rPr>
                <w:sz w:val="1"/>
                <w:szCs w:val="1"/>
                <w:color w:val="auto"/>
              </w:rPr>
            </w:pPr>
          </w:p>
        </w:tc>
        <w:tc>
          <w:tcPr>
            <w:tcW w:w="2120" w:type="dxa"/>
            <w:vAlign w:val="bottom"/>
            <w:tcBorders>
              <w:bottom w:val="single" w:sz="8" w:color="808080"/>
            </w:tcBorders>
          </w:tcPr>
          <w:p>
            <w:pPr>
              <w:spacing w:after="0" w:line="20" w:lineRule="exact"/>
              <w:rPr>
                <w:sz w:val="1"/>
                <w:szCs w:val="1"/>
                <w:color w:val="auto"/>
              </w:rPr>
            </w:pPr>
          </w:p>
        </w:tc>
        <w:tc>
          <w:tcPr>
            <w:tcW w:w="960" w:type="dxa"/>
            <w:vAlign w:val="bottom"/>
            <w:tcBorders>
              <w:bottom w:val="single" w:sz="8" w:color="808080"/>
            </w:tcBorders>
          </w:tcPr>
          <w:p>
            <w:pPr>
              <w:spacing w:after="0" w:line="20" w:lineRule="exact"/>
              <w:rPr>
                <w:sz w:val="1"/>
                <w:szCs w:val="1"/>
                <w:color w:val="auto"/>
              </w:rPr>
            </w:pPr>
          </w:p>
        </w:tc>
        <w:tc>
          <w:tcPr>
            <w:tcW w:w="1440" w:type="dxa"/>
            <w:vAlign w:val="bottom"/>
            <w:tcBorders>
              <w:bottom w:val="single" w:sz="8" w:color="808080"/>
            </w:tcBorders>
          </w:tcPr>
          <w:p>
            <w:pPr>
              <w:spacing w:after="0" w:line="20" w:lineRule="exact"/>
              <w:rPr>
                <w:sz w:val="1"/>
                <w:szCs w:val="1"/>
                <w:color w:val="auto"/>
              </w:rPr>
            </w:pPr>
          </w:p>
        </w:tc>
        <w:tc>
          <w:tcPr>
            <w:tcW w:w="860" w:type="dxa"/>
            <w:vAlign w:val="bottom"/>
            <w:tcBorders>
              <w:bottom w:val="single" w:sz="8" w:color="808080"/>
            </w:tcBorders>
          </w:tcPr>
          <w:p>
            <w:pPr>
              <w:spacing w:after="0" w:line="20" w:lineRule="exact"/>
              <w:rPr>
                <w:sz w:val="1"/>
                <w:szCs w:val="1"/>
                <w:color w:val="auto"/>
              </w:rPr>
            </w:pPr>
          </w:p>
        </w:tc>
      </w:tr>
      <w:tr>
        <w:trPr>
          <w:trHeight w:val="223"/>
        </w:trPr>
        <w:tc>
          <w:tcPr>
            <w:tcW w:w="3040" w:type="dxa"/>
            <w:vAlign w:val="bottom"/>
            <w:tcBorders>
              <w:bottom w:val="single" w:sz="8" w:color="342C82"/>
            </w:tcBorders>
          </w:tcPr>
          <w:p>
            <w:pPr>
              <w:ind w:left="80"/>
              <w:spacing w:after="0"/>
              <w:rPr>
                <w:sz w:val="20"/>
                <w:szCs w:val="20"/>
                <w:color w:val="auto"/>
              </w:rPr>
            </w:pPr>
            <w:r>
              <w:rPr>
                <w:rFonts w:ascii="Arial" w:cs="Arial" w:eastAsia="Arial" w:hAnsi="Arial"/>
                <w:sz w:val="16"/>
                <w:szCs w:val="16"/>
                <w:b w:val="1"/>
                <w:bCs w:val="1"/>
                <w:color w:val="342C82"/>
              </w:rPr>
              <w:t>Karen N. Prange</w:t>
            </w:r>
          </w:p>
        </w:tc>
        <w:tc>
          <w:tcPr>
            <w:tcW w:w="2120" w:type="dxa"/>
            <w:vAlign w:val="bottom"/>
            <w:tcBorders>
              <w:bottom w:val="single" w:sz="8" w:color="342C82"/>
            </w:tcBorders>
          </w:tcPr>
          <w:p>
            <w:pPr>
              <w:jc w:val="right"/>
              <w:ind w:right="119"/>
              <w:spacing w:after="0"/>
              <w:rPr>
                <w:sz w:val="20"/>
                <w:szCs w:val="20"/>
                <w:color w:val="auto"/>
              </w:rPr>
            </w:pPr>
            <w:r>
              <w:rPr>
                <w:rFonts w:ascii="Arial" w:cs="Arial" w:eastAsia="Arial" w:hAnsi="Arial"/>
                <w:sz w:val="16"/>
                <w:szCs w:val="16"/>
                <w:color w:val="auto"/>
              </w:rPr>
              <w:t>86,000</w:t>
            </w:r>
          </w:p>
        </w:tc>
        <w:tc>
          <w:tcPr>
            <w:tcW w:w="960" w:type="dxa"/>
            <w:vAlign w:val="bottom"/>
            <w:tcBorders>
              <w:bottom w:val="single" w:sz="8" w:color="342C82"/>
            </w:tcBorders>
          </w:tcPr>
          <w:p>
            <w:pPr>
              <w:jc w:val="right"/>
              <w:ind w:right="179"/>
              <w:spacing w:after="0"/>
              <w:rPr>
                <w:sz w:val="20"/>
                <w:szCs w:val="20"/>
                <w:color w:val="auto"/>
              </w:rPr>
            </w:pPr>
            <w:r>
              <w:rPr>
                <w:rFonts w:ascii="Arial" w:cs="Arial" w:eastAsia="Arial" w:hAnsi="Arial"/>
                <w:sz w:val="16"/>
                <w:szCs w:val="16"/>
                <w:color w:val="auto"/>
              </w:rPr>
              <w:t>200,004</w:t>
            </w:r>
          </w:p>
        </w:tc>
        <w:tc>
          <w:tcPr>
            <w:tcW w:w="1440" w:type="dxa"/>
            <w:vAlign w:val="bottom"/>
            <w:tcBorders>
              <w:bottom w:val="single" w:sz="8" w:color="342C82"/>
            </w:tcBorders>
          </w:tcPr>
          <w:p>
            <w:pPr>
              <w:jc w:val="right"/>
              <w:ind w:right="119"/>
              <w:spacing w:after="0"/>
              <w:rPr>
                <w:sz w:val="20"/>
                <w:szCs w:val="20"/>
                <w:color w:val="auto"/>
              </w:rPr>
            </w:pPr>
            <w:r>
              <w:rPr>
                <w:rFonts w:ascii="Arial" w:cs="Arial" w:eastAsia="Arial" w:hAnsi="Arial"/>
                <w:sz w:val="16"/>
                <w:szCs w:val="16"/>
                <w:color w:val="auto"/>
              </w:rPr>
              <w:t>2,000</w:t>
            </w:r>
          </w:p>
        </w:tc>
        <w:tc>
          <w:tcPr>
            <w:tcW w:w="860" w:type="dxa"/>
            <w:vAlign w:val="bottom"/>
            <w:tcBorders>
              <w:bottom w:val="single" w:sz="8" w:color="342C82"/>
            </w:tcBorders>
          </w:tcPr>
          <w:p>
            <w:pPr>
              <w:jc w:val="right"/>
              <w:ind w:right="99"/>
              <w:spacing w:after="0"/>
              <w:rPr>
                <w:sz w:val="20"/>
                <w:szCs w:val="20"/>
                <w:color w:val="auto"/>
              </w:rPr>
            </w:pPr>
            <w:r>
              <w:rPr>
                <w:rFonts w:ascii="Arial" w:cs="Arial" w:eastAsia="Arial" w:hAnsi="Arial"/>
                <w:sz w:val="16"/>
                <w:szCs w:val="16"/>
                <w:color w:val="auto"/>
              </w:rPr>
              <w:t>288,004</w:t>
            </w:r>
          </w:p>
        </w:tc>
      </w:tr>
    </w:tbl>
    <w:p>
      <w:pPr>
        <w:spacing w:after="0" w:line="166" w:lineRule="exact"/>
        <w:rPr>
          <w:sz w:val="20"/>
          <w:szCs w:val="20"/>
          <w:color w:val="auto"/>
        </w:rPr>
      </w:pPr>
    </w:p>
    <w:p>
      <w:pPr>
        <w:ind w:left="580" w:right="499" w:hanging="288"/>
        <w:spacing w:after="0" w:line="214" w:lineRule="auto"/>
        <w:tabs>
          <w:tab w:leader="none" w:pos="580" w:val="left"/>
        </w:tabs>
        <w:numPr>
          <w:ilvl w:val="0"/>
          <w:numId w:val="14"/>
        </w:numPr>
        <w:rPr>
          <w:rFonts w:ascii="Arial" w:cs="Arial" w:eastAsia="Arial" w:hAnsi="Arial"/>
          <w:sz w:val="22"/>
          <w:szCs w:val="22"/>
          <w:color w:val="auto"/>
          <w:vertAlign w:val="superscript"/>
        </w:rPr>
      </w:pPr>
      <w:r>
        <w:rPr>
          <w:rFonts w:ascii="Arial" w:cs="Arial" w:eastAsia="Arial" w:hAnsi="Arial"/>
          <w:sz w:val="14"/>
          <w:szCs w:val="14"/>
          <w:color w:val="auto"/>
        </w:rPr>
        <w:t>Reflects cash retainer and Committee chair fees, and for LTG (Ret.) Melcher, the non-executive Chair fee. All cash retainer and/or fees paid to Mr. Reidy were deferred pursuant to the Directors’ Deferral Plan, which is described in “Non-management director compensation—Directors’ Deferral Plan” above.</w:t>
      </w:r>
    </w:p>
    <w:p>
      <w:pPr>
        <w:spacing w:after="0" w:line="27" w:lineRule="exact"/>
        <w:rPr>
          <w:rFonts w:ascii="Arial" w:cs="Arial" w:eastAsia="Arial" w:hAnsi="Arial"/>
          <w:sz w:val="22"/>
          <w:szCs w:val="22"/>
          <w:color w:val="auto"/>
          <w:vertAlign w:val="superscript"/>
        </w:rPr>
      </w:pPr>
    </w:p>
    <w:p>
      <w:pPr>
        <w:ind w:left="580" w:right="339" w:hanging="288"/>
        <w:spacing w:after="0" w:line="220" w:lineRule="auto"/>
        <w:tabs>
          <w:tab w:leader="none" w:pos="580" w:val="left"/>
        </w:tabs>
        <w:numPr>
          <w:ilvl w:val="0"/>
          <w:numId w:val="14"/>
        </w:numPr>
        <w:rPr>
          <w:rFonts w:ascii="Arial" w:cs="Arial" w:eastAsia="Arial" w:hAnsi="Arial"/>
          <w:sz w:val="22"/>
          <w:szCs w:val="22"/>
          <w:color w:val="auto"/>
          <w:vertAlign w:val="superscript"/>
        </w:rPr>
      </w:pPr>
      <w:r>
        <w:rPr>
          <w:rFonts w:ascii="Arial" w:cs="Arial" w:eastAsia="Arial" w:hAnsi="Arial"/>
          <w:sz w:val="14"/>
          <w:szCs w:val="14"/>
          <w:color w:val="auto"/>
        </w:rPr>
        <w:t>Amounts reflect the grant date fair value under Financial Accounting Standards Board Accounting Standards Codification Topic 718 (“FASB ASC Topic 718”) of restricted stock units awarded to non-management directors in February 2024. For a discussion of the assumptions made in arriving at the grant date fair value of these awards, see Note 10 to the consolidated financial statements contained in our Annual Report on Form 10-K for the fiscal year ended September 30, 2024.</w:t>
      </w:r>
    </w:p>
    <w:p>
      <w:pPr>
        <w:spacing w:after="0" w:line="1" w:lineRule="exact"/>
        <w:rPr>
          <w:rFonts w:ascii="Arial" w:cs="Arial" w:eastAsia="Arial" w:hAnsi="Arial"/>
          <w:sz w:val="22"/>
          <w:szCs w:val="22"/>
          <w:color w:val="auto"/>
          <w:vertAlign w:val="superscript"/>
        </w:rPr>
      </w:pPr>
    </w:p>
    <w:p>
      <w:pPr>
        <w:ind w:left="580" w:hanging="288"/>
        <w:spacing w:after="0" w:line="191" w:lineRule="auto"/>
        <w:tabs>
          <w:tab w:leader="none" w:pos="580" w:val="left"/>
        </w:tabs>
        <w:numPr>
          <w:ilvl w:val="0"/>
          <w:numId w:val="14"/>
        </w:numPr>
        <w:rPr>
          <w:rFonts w:ascii="Arial" w:cs="Arial" w:eastAsia="Arial" w:hAnsi="Arial"/>
          <w:sz w:val="22"/>
          <w:szCs w:val="22"/>
          <w:color w:val="auto"/>
          <w:vertAlign w:val="superscript"/>
        </w:rPr>
      </w:pPr>
      <w:r>
        <w:rPr>
          <w:rFonts w:ascii="Arial" w:cs="Arial" w:eastAsia="Arial" w:hAnsi="Arial"/>
          <w:sz w:val="14"/>
          <w:szCs w:val="14"/>
          <w:color w:val="auto"/>
        </w:rPr>
        <w:t>Amounts shown represent the aggregate amounts of the matching gifts under Embecta’s Matching Gift Program for</w:t>
      </w:r>
    </w:p>
    <w:p>
      <w:pPr>
        <w:ind w:left="580" w:right="359"/>
        <w:spacing w:after="0" w:line="264" w:lineRule="auto"/>
        <w:rPr>
          <w:rFonts w:ascii="Arial" w:cs="Arial" w:eastAsia="Arial" w:hAnsi="Arial"/>
          <w:sz w:val="22"/>
          <w:szCs w:val="22"/>
          <w:color w:val="auto"/>
          <w:vertAlign w:val="superscript"/>
        </w:rPr>
      </w:pPr>
      <w:r>
        <w:rPr>
          <w:rFonts w:ascii="Arial" w:cs="Arial" w:eastAsia="Arial" w:hAnsi="Arial"/>
          <w:sz w:val="14"/>
          <w:szCs w:val="14"/>
          <w:color w:val="auto"/>
        </w:rPr>
        <w:t>Ms. Anderson and Drs. Morris and Pomeroy in fiscal year 2024, and the quarterly payments paid to the directors with respect to the annual fixed stipend for travel for all directors.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123825</wp:posOffset>
            </wp:positionV>
            <wp:extent cx="699516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0" w:name="page41"/>
    <w:bookmarkEnd w:id="40"/>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6" w:lineRule="exact"/>
        <w:rPr>
          <w:sz w:val="20"/>
          <w:szCs w:val="20"/>
          <w:color w:val="auto"/>
        </w:rPr>
      </w:pPr>
    </w:p>
    <w:p>
      <w:pPr>
        <w:ind w:left="1300" w:right="2980"/>
        <w:spacing w:after="0" w:line="261" w:lineRule="auto"/>
        <w:rPr>
          <w:sz w:val="20"/>
          <w:szCs w:val="20"/>
          <w:color w:val="auto"/>
        </w:rPr>
      </w:pPr>
      <w:r>
        <w:rPr>
          <w:rFonts w:ascii="Arial" w:cs="Arial" w:eastAsia="Arial" w:hAnsi="Arial"/>
          <w:sz w:val="43"/>
          <w:szCs w:val="43"/>
          <w:color w:val="342C82"/>
        </w:rPr>
        <w:t>Proposal 2: Ratification of selection of independent registered public accounting firm</w:t>
      </w:r>
    </w:p>
    <w:p>
      <w:pPr>
        <w:spacing w:after="0" w:line="48" w:lineRule="exact"/>
        <w:rPr>
          <w:sz w:val="20"/>
          <w:szCs w:val="20"/>
          <w:color w:val="auto"/>
        </w:rPr>
      </w:pPr>
    </w:p>
    <w:p>
      <w:pPr>
        <w:ind w:left="1300" w:right="1440"/>
        <w:spacing w:after="0" w:line="259" w:lineRule="auto"/>
        <w:rPr>
          <w:sz w:val="20"/>
          <w:szCs w:val="20"/>
          <w:color w:val="auto"/>
        </w:rPr>
      </w:pPr>
      <w:r>
        <w:rPr>
          <w:rFonts w:ascii="Arial" w:cs="Arial" w:eastAsia="Arial" w:hAnsi="Arial"/>
          <w:sz w:val="16"/>
          <w:szCs w:val="16"/>
          <w:color w:val="auto"/>
        </w:rPr>
        <w:t>E&amp;Y has been selected by the Audit Committee as Embecta’s independent auditors for fiscal year 2025. The Audit Committee is solely responsible for the appointment, compensation, retention and oversight of Embecta’s independent auditors. Stockholders are being asked to ratify the Audit Committee’s selection of E&amp;Y. If ratification is withheld, the Audit Committee will reconsider its selection.</w:t>
      </w:r>
    </w:p>
    <w:p>
      <w:pPr>
        <w:spacing w:after="0" w:line="124" w:lineRule="exact"/>
        <w:rPr>
          <w:sz w:val="20"/>
          <w:szCs w:val="20"/>
          <w:color w:val="auto"/>
        </w:rPr>
      </w:pPr>
    </w:p>
    <w:p>
      <w:pPr>
        <w:ind w:left="1300" w:right="1440"/>
        <w:spacing w:after="0" w:line="286" w:lineRule="auto"/>
        <w:rPr>
          <w:sz w:val="20"/>
          <w:szCs w:val="20"/>
          <w:color w:val="auto"/>
        </w:rPr>
      </w:pPr>
      <w:r>
        <w:rPr>
          <w:rFonts w:ascii="Arial" w:cs="Arial" w:eastAsia="Arial" w:hAnsi="Arial"/>
          <w:sz w:val="16"/>
          <w:szCs w:val="16"/>
          <w:color w:val="auto"/>
        </w:rPr>
        <w:t>A representative of E&amp;Y is expected to attend the 2025 Annual Meeting to respond to appropriate questions and will have the opportunity to make a statement.</w:t>
      </w:r>
    </w:p>
    <w:p>
      <w:pPr>
        <w:spacing w:after="0" w:line="102" w:lineRule="exact"/>
        <w:rPr>
          <w:sz w:val="20"/>
          <w:szCs w:val="20"/>
          <w:color w:val="auto"/>
        </w:rPr>
      </w:pPr>
    </w:p>
    <w:p>
      <w:pPr>
        <w:jc w:val="both"/>
        <w:ind w:left="1300" w:right="1480"/>
        <w:spacing w:after="0" w:line="266" w:lineRule="auto"/>
        <w:rPr>
          <w:sz w:val="20"/>
          <w:szCs w:val="20"/>
          <w:color w:val="auto"/>
        </w:rPr>
      </w:pPr>
      <w:r>
        <w:rPr>
          <w:rFonts w:ascii="Arial" w:cs="Arial" w:eastAsia="Arial" w:hAnsi="Arial"/>
          <w:sz w:val="16"/>
          <w:szCs w:val="16"/>
          <w:color w:val="auto"/>
        </w:rPr>
        <w:t>E&amp;Y began serving as our independent auditors in fiscal year 2022. Listed below are the fees billed to Embecta by E&amp;Y for services rendered during fiscal years 2024 and 2023. All E&amp;Y services for fiscal years 2024 and 2023 were approved in advance by our Audit Committee.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3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b w:val="1"/>
                <w:bCs w:val="1"/>
                <w:color w:val="auto"/>
              </w:rPr>
              <w:t>FY 2024</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FY 2023</w:t>
            </w:r>
          </w:p>
        </w:tc>
        <w:tc>
          <w:tcPr>
            <w:tcW w:w="43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1"/>
        </w:trPr>
        <w:tc>
          <w:tcPr>
            <w:tcW w:w="1300" w:type="dxa"/>
            <w:vAlign w:val="bottom"/>
          </w:tcPr>
          <w:p>
            <w:pPr>
              <w:spacing w:after="0" w:line="20" w:lineRule="exact"/>
              <w:rPr>
                <w:sz w:val="1"/>
                <w:szCs w:val="1"/>
                <w:color w:val="auto"/>
              </w:rPr>
            </w:pPr>
          </w:p>
        </w:tc>
        <w:tc>
          <w:tcPr>
            <w:tcW w:w="1780" w:type="dxa"/>
            <w:vAlign w:val="bottom"/>
            <w:tcBorders>
              <w:bottom w:val="single" w:sz="8" w:color="342C82"/>
            </w:tcBorders>
          </w:tcPr>
          <w:p>
            <w:pPr>
              <w:spacing w:after="0" w:line="20" w:lineRule="exact"/>
              <w:rPr>
                <w:sz w:val="1"/>
                <w:szCs w:val="1"/>
                <w:color w:val="auto"/>
              </w:rPr>
            </w:pPr>
          </w:p>
        </w:tc>
        <w:tc>
          <w:tcPr>
            <w:tcW w:w="440" w:type="dxa"/>
            <w:vAlign w:val="bottom"/>
            <w:tcBorders>
              <w:bottom w:val="single" w:sz="8" w:color="342C82"/>
            </w:tcBorders>
          </w:tcPr>
          <w:p>
            <w:pPr>
              <w:spacing w:after="0" w:line="20" w:lineRule="exact"/>
              <w:rPr>
                <w:sz w:val="1"/>
                <w:szCs w:val="1"/>
                <w:color w:val="auto"/>
              </w:rPr>
            </w:pPr>
          </w:p>
        </w:tc>
        <w:tc>
          <w:tcPr>
            <w:tcW w:w="900" w:type="dxa"/>
            <w:vAlign w:val="bottom"/>
            <w:tcBorders>
              <w:bottom w:val="single" w:sz="8" w:color="342C82"/>
            </w:tcBorders>
          </w:tcPr>
          <w:p>
            <w:pPr>
              <w:spacing w:after="0" w:line="20" w:lineRule="exact"/>
              <w:rPr>
                <w:sz w:val="1"/>
                <w:szCs w:val="1"/>
                <w:color w:val="auto"/>
              </w:rPr>
            </w:pPr>
          </w:p>
        </w:tc>
        <w:tc>
          <w:tcPr>
            <w:tcW w:w="260" w:type="dxa"/>
            <w:vAlign w:val="bottom"/>
            <w:tcBorders>
              <w:bottom w:val="single" w:sz="8" w:color="342C82"/>
            </w:tcBorders>
          </w:tcPr>
          <w:p>
            <w:pPr>
              <w:spacing w:after="0" w:line="20" w:lineRule="exact"/>
              <w:rPr>
                <w:sz w:val="1"/>
                <w:szCs w:val="1"/>
                <w:color w:val="auto"/>
              </w:rPr>
            </w:pPr>
          </w:p>
        </w:tc>
        <w:tc>
          <w:tcPr>
            <w:tcW w:w="720" w:type="dxa"/>
            <w:vAlign w:val="bottom"/>
            <w:tcBorders>
              <w:bottom w:val="single" w:sz="8" w:color="342C82"/>
            </w:tcBorders>
          </w:tcPr>
          <w:p>
            <w:pPr>
              <w:spacing w:after="0" w:line="20" w:lineRule="exact"/>
              <w:rPr>
                <w:sz w:val="1"/>
                <w:szCs w:val="1"/>
                <w:color w:val="auto"/>
              </w:rPr>
            </w:pPr>
          </w:p>
        </w:tc>
        <w:tc>
          <w:tcPr>
            <w:tcW w:w="4320" w:type="dxa"/>
            <w:vAlign w:val="bottom"/>
            <w:tcBorders>
              <w:bottom w:val="single" w:sz="8" w:color="342C82"/>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5"/>
        </w:trPr>
        <w:tc>
          <w:tcPr>
            <w:tcW w:w="1300" w:type="dxa"/>
            <w:vAlign w:val="bottom"/>
          </w:tcPr>
          <w:p>
            <w:pPr>
              <w:spacing w:after="0"/>
              <w:rPr>
                <w:sz w:val="16"/>
                <w:szCs w:val="16"/>
                <w:color w:val="auto"/>
              </w:rPr>
            </w:pPr>
          </w:p>
        </w:tc>
        <w:tc>
          <w:tcPr>
            <w:tcW w:w="1780" w:type="dxa"/>
            <w:vAlign w:val="bottom"/>
          </w:tcPr>
          <w:p>
            <w:pPr>
              <w:ind w:left="80"/>
              <w:spacing w:after="0"/>
              <w:rPr>
                <w:sz w:val="20"/>
                <w:szCs w:val="20"/>
                <w:color w:val="auto"/>
              </w:rPr>
            </w:pPr>
            <w:r>
              <w:rPr>
                <w:rFonts w:ascii="Arial" w:cs="Arial" w:eastAsia="Arial" w:hAnsi="Arial"/>
                <w:sz w:val="16"/>
                <w:szCs w:val="16"/>
                <w:color w:val="auto"/>
              </w:rPr>
              <w:t>Audit Fees</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w w:val="98"/>
              </w:rPr>
              <w:t>6,065,000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98"/>
              </w:rPr>
              <w:t>4,255,000</w:t>
            </w:r>
          </w:p>
        </w:tc>
        <w:tc>
          <w:tcPr>
            <w:tcW w:w="4320" w:type="dxa"/>
            <w:vAlign w:val="bottom"/>
          </w:tcPr>
          <w:p>
            <w:pPr>
              <w:ind w:left="340"/>
              <w:spacing w:after="0"/>
              <w:rPr>
                <w:sz w:val="20"/>
                <w:szCs w:val="20"/>
                <w:color w:val="auto"/>
              </w:rPr>
            </w:pPr>
            <w:r>
              <w:rPr>
                <w:rFonts w:ascii="Arial" w:cs="Arial" w:eastAsia="Arial" w:hAnsi="Arial"/>
                <w:sz w:val="16"/>
                <w:szCs w:val="16"/>
                <w:color w:val="auto"/>
              </w:rPr>
              <w:t>“Audit Fees” include fees associated with the annual</w:t>
            </w:r>
          </w:p>
        </w:tc>
        <w:tc>
          <w:tcPr>
            <w:tcW w:w="1300" w:type="dxa"/>
            <w:vAlign w:val="bottom"/>
          </w:tcPr>
          <w:p>
            <w:pPr>
              <w:spacing w:after="0"/>
              <w:rPr>
                <w:sz w:val="16"/>
                <w:szCs w:val="16"/>
                <w:color w:val="auto"/>
              </w:rPr>
            </w:pPr>
          </w:p>
        </w:tc>
      </w:tr>
      <w:tr>
        <w:trPr>
          <w:trHeight w:val="189"/>
        </w:trPr>
        <w:tc>
          <w:tcPr>
            <w:tcW w:w="13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320" w:type="dxa"/>
            <w:vAlign w:val="bottom"/>
          </w:tcPr>
          <w:p>
            <w:pPr>
              <w:ind w:left="340"/>
              <w:spacing w:after="0"/>
              <w:rPr>
                <w:sz w:val="20"/>
                <w:szCs w:val="20"/>
                <w:color w:val="auto"/>
              </w:rPr>
            </w:pPr>
            <w:r>
              <w:rPr>
                <w:rFonts w:ascii="Arial" w:cs="Arial" w:eastAsia="Arial" w:hAnsi="Arial"/>
                <w:sz w:val="16"/>
                <w:szCs w:val="16"/>
                <w:color w:val="auto"/>
              </w:rPr>
              <w:t>audit of Embecta’s consolidated financial statements,</w:t>
            </w:r>
          </w:p>
        </w:tc>
        <w:tc>
          <w:tcPr>
            <w:tcW w:w="1300" w:type="dxa"/>
            <w:vAlign w:val="bottom"/>
          </w:tcPr>
          <w:p>
            <w:pPr>
              <w:spacing w:after="0"/>
              <w:rPr>
                <w:sz w:val="16"/>
                <w:szCs w:val="16"/>
                <w:color w:val="auto"/>
              </w:rPr>
            </w:pPr>
          </w:p>
        </w:tc>
      </w:tr>
      <w:tr>
        <w:trPr>
          <w:trHeight w:val="189"/>
        </w:trPr>
        <w:tc>
          <w:tcPr>
            <w:tcW w:w="13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320" w:type="dxa"/>
            <w:vAlign w:val="bottom"/>
          </w:tcPr>
          <w:p>
            <w:pPr>
              <w:ind w:left="340"/>
              <w:spacing w:after="0"/>
              <w:rPr>
                <w:sz w:val="20"/>
                <w:szCs w:val="20"/>
                <w:color w:val="auto"/>
              </w:rPr>
            </w:pPr>
            <w:r>
              <w:rPr>
                <w:rFonts w:ascii="Arial" w:cs="Arial" w:eastAsia="Arial" w:hAnsi="Arial"/>
                <w:sz w:val="16"/>
                <w:szCs w:val="16"/>
                <w:color w:val="auto"/>
              </w:rPr>
              <w:t>the audit of Embecta’s internal control over financial</w:t>
            </w:r>
          </w:p>
        </w:tc>
        <w:tc>
          <w:tcPr>
            <w:tcW w:w="1300" w:type="dxa"/>
            <w:vAlign w:val="bottom"/>
          </w:tcPr>
          <w:p>
            <w:pPr>
              <w:spacing w:after="0"/>
              <w:rPr>
                <w:sz w:val="16"/>
                <w:szCs w:val="16"/>
                <w:color w:val="auto"/>
              </w:rPr>
            </w:pPr>
          </w:p>
        </w:tc>
      </w:tr>
      <w:tr>
        <w:trPr>
          <w:trHeight w:val="189"/>
        </w:trPr>
        <w:tc>
          <w:tcPr>
            <w:tcW w:w="13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320" w:type="dxa"/>
            <w:vAlign w:val="bottom"/>
          </w:tcPr>
          <w:p>
            <w:pPr>
              <w:ind w:left="340"/>
              <w:spacing w:after="0"/>
              <w:rPr>
                <w:sz w:val="20"/>
                <w:szCs w:val="20"/>
                <w:color w:val="auto"/>
              </w:rPr>
            </w:pPr>
            <w:r>
              <w:rPr>
                <w:rFonts w:ascii="Arial" w:cs="Arial" w:eastAsia="Arial" w:hAnsi="Arial"/>
                <w:sz w:val="16"/>
                <w:szCs w:val="16"/>
                <w:color w:val="auto"/>
              </w:rPr>
              <w:t>reporting and statutory audits required internationally.</w:t>
            </w:r>
          </w:p>
        </w:tc>
        <w:tc>
          <w:tcPr>
            <w:tcW w:w="1300" w:type="dxa"/>
            <w:vAlign w:val="bottom"/>
          </w:tcPr>
          <w:p>
            <w:pPr>
              <w:spacing w:after="0"/>
              <w:rPr>
                <w:sz w:val="16"/>
                <w:szCs w:val="16"/>
                <w:color w:val="auto"/>
              </w:rPr>
            </w:pPr>
          </w:p>
        </w:tc>
      </w:tr>
      <w:tr>
        <w:trPr>
          <w:trHeight w:val="189"/>
        </w:trPr>
        <w:tc>
          <w:tcPr>
            <w:tcW w:w="13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320" w:type="dxa"/>
            <w:vAlign w:val="bottom"/>
          </w:tcPr>
          <w:p>
            <w:pPr>
              <w:ind w:left="340"/>
              <w:spacing w:after="0"/>
              <w:rPr>
                <w:sz w:val="20"/>
                <w:szCs w:val="20"/>
                <w:color w:val="auto"/>
              </w:rPr>
            </w:pPr>
            <w:r>
              <w:rPr>
                <w:rFonts w:ascii="Arial" w:cs="Arial" w:eastAsia="Arial" w:hAnsi="Arial"/>
                <w:sz w:val="16"/>
                <w:szCs w:val="16"/>
                <w:color w:val="auto"/>
              </w:rPr>
              <w:t>“Audit Fees” also include reviews of Embecta’s</w:t>
            </w:r>
          </w:p>
        </w:tc>
        <w:tc>
          <w:tcPr>
            <w:tcW w:w="1300" w:type="dxa"/>
            <w:vAlign w:val="bottom"/>
          </w:tcPr>
          <w:p>
            <w:pPr>
              <w:spacing w:after="0"/>
              <w:rPr>
                <w:sz w:val="16"/>
                <w:szCs w:val="16"/>
                <w:color w:val="auto"/>
              </w:rPr>
            </w:pPr>
          </w:p>
        </w:tc>
      </w:tr>
      <w:tr>
        <w:trPr>
          <w:trHeight w:val="189"/>
        </w:trPr>
        <w:tc>
          <w:tcPr>
            <w:tcW w:w="13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320" w:type="dxa"/>
            <w:vAlign w:val="bottom"/>
          </w:tcPr>
          <w:p>
            <w:pPr>
              <w:ind w:left="340"/>
              <w:spacing w:after="0"/>
              <w:rPr>
                <w:sz w:val="20"/>
                <w:szCs w:val="20"/>
                <w:color w:val="auto"/>
              </w:rPr>
            </w:pPr>
            <w:r>
              <w:rPr>
                <w:rFonts w:ascii="Arial" w:cs="Arial" w:eastAsia="Arial" w:hAnsi="Arial"/>
                <w:sz w:val="16"/>
                <w:szCs w:val="16"/>
                <w:color w:val="auto"/>
              </w:rPr>
              <w:t>quarterly reports on Form 10-Q and registration</w:t>
            </w:r>
          </w:p>
        </w:tc>
        <w:tc>
          <w:tcPr>
            <w:tcW w:w="1300" w:type="dxa"/>
            <w:vAlign w:val="bottom"/>
          </w:tcPr>
          <w:p>
            <w:pPr>
              <w:spacing w:after="0"/>
              <w:rPr>
                <w:sz w:val="16"/>
                <w:szCs w:val="16"/>
                <w:color w:val="auto"/>
              </w:rPr>
            </w:pPr>
          </w:p>
        </w:tc>
      </w:tr>
      <w:tr>
        <w:trPr>
          <w:trHeight w:val="215"/>
        </w:trPr>
        <w:tc>
          <w:tcPr>
            <w:tcW w:w="1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320" w:type="dxa"/>
            <w:vAlign w:val="bottom"/>
          </w:tcPr>
          <w:p>
            <w:pPr>
              <w:ind w:left="340"/>
              <w:spacing w:after="0"/>
              <w:rPr>
                <w:sz w:val="20"/>
                <w:szCs w:val="20"/>
                <w:color w:val="auto"/>
              </w:rPr>
            </w:pPr>
            <w:r>
              <w:rPr>
                <w:rFonts w:ascii="Arial" w:cs="Arial" w:eastAsia="Arial" w:hAnsi="Arial"/>
                <w:sz w:val="16"/>
                <w:szCs w:val="16"/>
                <w:color w:val="auto"/>
              </w:rPr>
              <w:t>statements filed with the SEC.</w:t>
            </w:r>
          </w:p>
        </w:tc>
        <w:tc>
          <w:tcPr>
            <w:tcW w:w="1300" w:type="dxa"/>
            <w:vAlign w:val="bottom"/>
          </w:tcPr>
          <w:p>
            <w:pPr>
              <w:spacing w:after="0"/>
              <w:rPr>
                <w:sz w:val="18"/>
                <w:szCs w:val="18"/>
                <w:color w:val="auto"/>
              </w:rPr>
            </w:pPr>
          </w:p>
        </w:tc>
      </w:tr>
      <w:tr>
        <w:trPr>
          <w:trHeight w:val="29"/>
        </w:trPr>
        <w:tc>
          <w:tcPr>
            <w:tcW w:w="1300" w:type="dxa"/>
            <w:vAlign w:val="bottom"/>
          </w:tcPr>
          <w:p>
            <w:pPr>
              <w:spacing w:after="0"/>
              <w:rPr>
                <w:sz w:val="2"/>
                <w:szCs w:val="2"/>
                <w:color w:val="auto"/>
              </w:rPr>
            </w:pPr>
          </w:p>
        </w:tc>
        <w:tc>
          <w:tcPr>
            <w:tcW w:w="1780" w:type="dxa"/>
            <w:vAlign w:val="bottom"/>
            <w:tcBorders>
              <w:bottom w:val="single" w:sz="8" w:color="808080"/>
            </w:tcBorders>
          </w:tcPr>
          <w:p>
            <w:pPr>
              <w:spacing w:after="0"/>
              <w:rPr>
                <w:sz w:val="2"/>
                <w:szCs w:val="2"/>
                <w:color w:val="auto"/>
              </w:rPr>
            </w:pPr>
          </w:p>
        </w:tc>
        <w:tc>
          <w:tcPr>
            <w:tcW w:w="440" w:type="dxa"/>
            <w:vAlign w:val="bottom"/>
            <w:tcBorders>
              <w:bottom w:val="single" w:sz="8" w:color="808080"/>
            </w:tcBorders>
          </w:tcPr>
          <w:p>
            <w:pPr>
              <w:spacing w:after="0"/>
              <w:rPr>
                <w:sz w:val="2"/>
                <w:szCs w:val="2"/>
                <w:color w:val="auto"/>
              </w:rPr>
            </w:pPr>
          </w:p>
        </w:tc>
        <w:tc>
          <w:tcPr>
            <w:tcW w:w="900" w:type="dxa"/>
            <w:vAlign w:val="bottom"/>
            <w:tcBorders>
              <w:bottom w:val="single" w:sz="8" w:color="808080"/>
            </w:tcBorders>
          </w:tcPr>
          <w:p>
            <w:pPr>
              <w:spacing w:after="0"/>
              <w:rPr>
                <w:sz w:val="2"/>
                <w:szCs w:val="2"/>
                <w:color w:val="auto"/>
              </w:rPr>
            </w:pPr>
          </w:p>
        </w:tc>
        <w:tc>
          <w:tcPr>
            <w:tcW w:w="26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4320" w:type="dxa"/>
            <w:vAlign w:val="bottom"/>
            <w:tcBorders>
              <w:bottom w:val="single" w:sz="8" w:color="808080"/>
            </w:tcBorders>
          </w:tcPr>
          <w:p>
            <w:pPr>
              <w:spacing w:after="0"/>
              <w:rPr>
                <w:sz w:val="2"/>
                <w:szCs w:val="2"/>
                <w:color w:val="auto"/>
              </w:rPr>
            </w:pPr>
          </w:p>
        </w:tc>
        <w:tc>
          <w:tcPr>
            <w:tcW w:w="1300" w:type="dxa"/>
            <w:vAlign w:val="bottom"/>
          </w:tcPr>
          <w:p>
            <w:pPr>
              <w:spacing w:after="0"/>
              <w:rPr>
                <w:sz w:val="2"/>
                <w:szCs w:val="2"/>
                <w:color w:val="auto"/>
              </w:rPr>
            </w:pPr>
          </w:p>
        </w:tc>
      </w:tr>
      <w:tr>
        <w:trPr>
          <w:trHeight w:val="195"/>
        </w:trPr>
        <w:tc>
          <w:tcPr>
            <w:tcW w:w="1300" w:type="dxa"/>
            <w:vAlign w:val="bottom"/>
          </w:tcPr>
          <w:p>
            <w:pPr>
              <w:spacing w:after="0"/>
              <w:rPr>
                <w:sz w:val="16"/>
                <w:szCs w:val="16"/>
                <w:color w:val="auto"/>
              </w:rPr>
            </w:pPr>
          </w:p>
        </w:tc>
        <w:tc>
          <w:tcPr>
            <w:tcW w:w="1780" w:type="dxa"/>
            <w:vAlign w:val="bottom"/>
          </w:tcPr>
          <w:p>
            <w:pPr>
              <w:ind w:left="80"/>
              <w:spacing w:after="0"/>
              <w:rPr>
                <w:sz w:val="20"/>
                <w:szCs w:val="20"/>
                <w:color w:val="auto"/>
              </w:rPr>
            </w:pPr>
            <w:r>
              <w:rPr>
                <w:rFonts w:ascii="Arial" w:cs="Arial" w:eastAsia="Arial" w:hAnsi="Arial"/>
                <w:sz w:val="16"/>
                <w:szCs w:val="16"/>
                <w:color w:val="auto"/>
              </w:rPr>
              <w:t>Audit Related Fees</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60,000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287,000</w:t>
            </w:r>
          </w:p>
        </w:tc>
        <w:tc>
          <w:tcPr>
            <w:tcW w:w="4320" w:type="dxa"/>
            <w:vAlign w:val="bottom"/>
          </w:tcPr>
          <w:p>
            <w:pPr>
              <w:ind w:left="340"/>
              <w:spacing w:after="0"/>
              <w:rPr>
                <w:sz w:val="20"/>
                <w:szCs w:val="20"/>
                <w:color w:val="auto"/>
              </w:rPr>
            </w:pPr>
            <w:r>
              <w:rPr>
                <w:rFonts w:ascii="Arial" w:cs="Arial" w:eastAsia="Arial" w:hAnsi="Arial"/>
                <w:sz w:val="16"/>
                <w:szCs w:val="16"/>
                <w:color w:val="auto"/>
              </w:rPr>
              <w:t>“Audit Related Fees” include fees associated with the</w:t>
            </w:r>
          </w:p>
        </w:tc>
        <w:tc>
          <w:tcPr>
            <w:tcW w:w="1300" w:type="dxa"/>
            <w:vAlign w:val="bottom"/>
          </w:tcPr>
          <w:p>
            <w:pPr>
              <w:spacing w:after="0"/>
              <w:rPr>
                <w:sz w:val="16"/>
                <w:szCs w:val="16"/>
                <w:color w:val="auto"/>
              </w:rPr>
            </w:pPr>
          </w:p>
        </w:tc>
      </w:tr>
      <w:tr>
        <w:trPr>
          <w:trHeight w:val="189"/>
        </w:trPr>
        <w:tc>
          <w:tcPr>
            <w:tcW w:w="13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320" w:type="dxa"/>
            <w:vAlign w:val="bottom"/>
          </w:tcPr>
          <w:p>
            <w:pPr>
              <w:ind w:left="340"/>
              <w:spacing w:after="0"/>
              <w:rPr>
                <w:sz w:val="20"/>
                <w:szCs w:val="20"/>
                <w:color w:val="auto"/>
              </w:rPr>
            </w:pPr>
            <w:r>
              <w:rPr>
                <w:rFonts w:ascii="Arial" w:cs="Arial" w:eastAsia="Arial" w:hAnsi="Arial"/>
                <w:sz w:val="16"/>
                <w:szCs w:val="16"/>
                <w:color w:val="auto"/>
              </w:rPr>
              <w:t>annual audit of Embecta’s 401(k) Plan and pre-</w:t>
            </w:r>
          </w:p>
        </w:tc>
        <w:tc>
          <w:tcPr>
            <w:tcW w:w="1300" w:type="dxa"/>
            <w:vAlign w:val="bottom"/>
          </w:tcPr>
          <w:p>
            <w:pPr>
              <w:spacing w:after="0"/>
              <w:rPr>
                <w:sz w:val="16"/>
                <w:szCs w:val="16"/>
                <w:color w:val="auto"/>
              </w:rPr>
            </w:pPr>
          </w:p>
        </w:tc>
      </w:tr>
      <w:tr>
        <w:trPr>
          <w:trHeight w:val="189"/>
        </w:trPr>
        <w:tc>
          <w:tcPr>
            <w:tcW w:w="13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320" w:type="dxa"/>
            <w:vAlign w:val="bottom"/>
          </w:tcPr>
          <w:p>
            <w:pPr>
              <w:ind w:left="340"/>
              <w:spacing w:after="0"/>
              <w:rPr>
                <w:sz w:val="20"/>
                <w:szCs w:val="20"/>
                <w:color w:val="auto"/>
              </w:rPr>
            </w:pPr>
            <w:r>
              <w:rPr>
                <w:rFonts w:ascii="Arial" w:cs="Arial" w:eastAsia="Arial" w:hAnsi="Arial"/>
                <w:sz w:val="16"/>
                <w:szCs w:val="16"/>
                <w:color w:val="auto"/>
              </w:rPr>
              <w:t>implementation work associated with Embecta’s</w:t>
            </w:r>
          </w:p>
        </w:tc>
        <w:tc>
          <w:tcPr>
            <w:tcW w:w="1300" w:type="dxa"/>
            <w:vAlign w:val="bottom"/>
          </w:tcPr>
          <w:p>
            <w:pPr>
              <w:spacing w:after="0"/>
              <w:rPr>
                <w:sz w:val="16"/>
                <w:szCs w:val="16"/>
                <w:color w:val="auto"/>
              </w:rPr>
            </w:pPr>
          </w:p>
        </w:tc>
      </w:tr>
      <w:tr>
        <w:trPr>
          <w:trHeight w:val="215"/>
        </w:trPr>
        <w:tc>
          <w:tcPr>
            <w:tcW w:w="1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320" w:type="dxa"/>
            <w:vAlign w:val="bottom"/>
          </w:tcPr>
          <w:p>
            <w:pPr>
              <w:ind w:left="340"/>
              <w:spacing w:after="0"/>
              <w:rPr>
                <w:sz w:val="20"/>
                <w:szCs w:val="20"/>
                <w:color w:val="auto"/>
              </w:rPr>
            </w:pPr>
            <w:r>
              <w:rPr>
                <w:rFonts w:ascii="Arial" w:cs="Arial" w:eastAsia="Arial" w:hAnsi="Arial"/>
                <w:sz w:val="16"/>
                <w:szCs w:val="16"/>
                <w:color w:val="auto"/>
              </w:rPr>
              <w:t>information technology systems.</w:t>
            </w:r>
          </w:p>
        </w:tc>
        <w:tc>
          <w:tcPr>
            <w:tcW w:w="1300" w:type="dxa"/>
            <w:vAlign w:val="bottom"/>
          </w:tcPr>
          <w:p>
            <w:pPr>
              <w:spacing w:after="0"/>
              <w:rPr>
                <w:sz w:val="18"/>
                <w:szCs w:val="18"/>
                <w:color w:val="auto"/>
              </w:rPr>
            </w:pPr>
          </w:p>
        </w:tc>
      </w:tr>
      <w:tr>
        <w:trPr>
          <w:trHeight w:val="29"/>
        </w:trPr>
        <w:tc>
          <w:tcPr>
            <w:tcW w:w="1300" w:type="dxa"/>
            <w:vAlign w:val="bottom"/>
          </w:tcPr>
          <w:p>
            <w:pPr>
              <w:spacing w:after="0"/>
              <w:rPr>
                <w:sz w:val="2"/>
                <w:szCs w:val="2"/>
                <w:color w:val="auto"/>
              </w:rPr>
            </w:pPr>
          </w:p>
        </w:tc>
        <w:tc>
          <w:tcPr>
            <w:tcW w:w="1780" w:type="dxa"/>
            <w:vAlign w:val="bottom"/>
            <w:tcBorders>
              <w:bottom w:val="single" w:sz="8" w:color="808080"/>
            </w:tcBorders>
          </w:tcPr>
          <w:p>
            <w:pPr>
              <w:spacing w:after="0"/>
              <w:rPr>
                <w:sz w:val="2"/>
                <w:szCs w:val="2"/>
                <w:color w:val="auto"/>
              </w:rPr>
            </w:pPr>
          </w:p>
        </w:tc>
        <w:tc>
          <w:tcPr>
            <w:tcW w:w="440" w:type="dxa"/>
            <w:vAlign w:val="bottom"/>
            <w:tcBorders>
              <w:bottom w:val="single" w:sz="8" w:color="808080"/>
            </w:tcBorders>
          </w:tcPr>
          <w:p>
            <w:pPr>
              <w:spacing w:after="0"/>
              <w:rPr>
                <w:sz w:val="2"/>
                <w:szCs w:val="2"/>
                <w:color w:val="auto"/>
              </w:rPr>
            </w:pPr>
          </w:p>
        </w:tc>
        <w:tc>
          <w:tcPr>
            <w:tcW w:w="900" w:type="dxa"/>
            <w:vAlign w:val="bottom"/>
            <w:tcBorders>
              <w:bottom w:val="single" w:sz="8" w:color="808080"/>
            </w:tcBorders>
          </w:tcPr>
          <w:p>
            <w:pPr>
              <w:spacing w:after="0"/>
              <w:rPr>
                <w:sz w:val="2"/>
                <w:szCs w:val="2"/>
                <w:color w:val="auto"/>
              </w:rPr>
            </w:pPr>
          </w:p>
        </w:tc>
        <w:tc>
          <w:tcPr>
            <w:tcW w:w="26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4320" w:type="dxa"/>
            <w:vAlign w:val="bottom"/>
            <w:tcBorders>
              <w:bottom w:val="single" w:sz="8" w:color="808080"/>
            </w:tcBorders>
          </w:tcPr>
          <w:p>
            <w:pPr>
              <w:spacing w:after="0"/>
              <w:rPr>
                <w:sz w:val="2"/>
                <w:szCs w:val="2"/>
                <w:color w:val="auto"/>
              </w:rPr>
            </w:pPr>
          </w:p>
        </w:tc>
        <w:tc>
          <w:tcPr>
            <w:tcW w:w="1300" w:type="dxa"/>
            <w:vAlign w:val="bottom"/>
          </w:tcPr>
          <w:p>
            <w:pPr>
              <w:spacing w:after="0"/>
              <w:rPr>
                <w:sz w:val="2"/>
                <w:szCs w:val="2"/>
                <w:color w:val="auto"/>
              </w:rPr>
            </w:pPr>
          </w:p>
        </w:tc>
      </w:tr>
      <w:tr>
        <w:trPr>
          <w:trHeight w:val="195"/>
        </w:trPr>
        <w:tc>
          <w:tcPr>
            <w:tcW w:w="1300" w:type="dxa"/>
            <w:vAlign w:val="bottom"/>
          </w:tcPr>
          <w:p>
            <w:pPr>
              <w:spacing w:after="0"/>
              <w:rPr>
                <w:sz w:val="16"/>
                <w:szCs w:val="16"/>
                <w:color w:val="auto"/>
              </w:rPr>
            </w:pPr>
          </w:p>
        </w:tc>
        <w:tc>
          <w:tcPr>
            <w:tcW w:w="1780" w:type="dxa"/>
            <w:vAlign w:val="bottom"/>
          </w:tcPr>
          <w:p>
            <w:pPr>
              <w:ind w:left="80"/>
              <w:spacing w:after="0"/>
              <w:rPr>
                <w:sz w:val="20"/>
                <w:szCs w:val="20"/>
                <w:color w:val="auto"/>
              </w:rPr>
            </w:pPr>
            <w:r>
              <w:rPr>
                <w:rFonts w:ascii="Arial" w:cs="Arial" w:eastAsia="Arial" w:hAnsi="Arial"/>
                <w:sz w:val="16"/>
                <w:szCs w:val="16"/>
                <w:color w:val="auto"/>
              </w:rPr>
              <w:t>Tax Fees</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37,000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40,000</w:t>
            </w:r>
          </w:p>
        </w:tc>
        <w:tc>
          <w:tcPr>
            <w:tcW w:w="4320" w:type="dxa"/>
            <w:vAlign w:val="bottom"/>
          </w:tcPr>
          <w:p>
            <w:pPr>
              <w:ind w:left="340"/>
              <w:spacing w:after="0"/>
              <w:rPr>
                <w:sz w:val="20"/>
                <w:szCs w:val="20"/>
                <w:color w:val="auto"/>
              </w:rPr>
            </w:pPr>
            <w:r>
              <w:rPr>
                <w:rFonts w:ascii="Arial" w:cs="Arial" w:eastAsia="Arial" w:hAnsi="Arial"/>
                <w:sz w:val="16"/>
                <w:szCs w:val="16"/>
                <w:color w:val="auto"/>
              </w:rPr>
              <w:t>“Tax Fees” includes tax compliance, assistance with</w:t>
            </w:r>
          </w:p>
        </w:tc>
        <w:tc>
          <w:tcPr>
            <w:tcW w:w="1300" w:type="dxa"/>
            <w:vAlign w:val="bottom"/>
          </w:tcPr>
          <w:p>
            <w:pPr>
              <w:spacing w:after="0"/>
              <w:rPr>
                <w:sz w:val="16"/>
                <w:szCs w:val="16"/>
                <w:color w:val="auto"/>
              </w:rPr>
            </w:pPr>
          </w:p>
        </w:tc>
      </w:tr>
      <w:tr>
        <w:trPr>
          <w:trHeight w:val="215"/>
        </w:trPr>
        <w:tc>
          <w:tcPr>
            <w:tcW w:w="1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320" w:type="dxa"/>
            <w:vAlign w:val="bottom"/>
          </w:tcPr>
          <w:p>
            <w:pPr>
              <w:ind w:left="340"/>
              <w:spacing w:after="0"/>
              <w:rPr>
                <w:sz w:val="20"/>
                <w:szCs w:val="20"/>
                <w:color w:val="auto"/>
              </w:rPr>
            </w:pPr>
            <w:r>
              <w:rPr>
                <w:rFonts w:ascii="Arial" w:cs="Arial" w:eastAsia="Arial" w:hAnsi="Arial"/>
                <w:sz w:val="16"/>
                <w:szCs w:val="16"/>
                <w:color w:val="auto"/>
              </w:rPr>
              <w:t>tax audits, tax advice and tax planning.</w:t>
            </w:r>
          </w:p>
        </w:tc>
        <w:tc>
          <w:tcPr>
            <w:tcW w:w="1300" w:type="dxa"/>
            <w:vAlign w:val="bottom"/>
          </w:tcPr>
          <w:p>
            <w:pPr>
              <w:spacing w:after="0"/>
              <w:rPr>
                <w:sz w:val="18"/>
                <w:szCs w:val="18"/>
                <w:color w:val="auto"/>
              </w:rPr>
            </w:pPr>
          </w:p>
        </w:tc>
      </w:tr>
      <w:tr>
        <w:trPr>
          <w:trHeight w:val="29"/>
        </w:trPr>
        <w:tc>
          <w:tcPr>
            <w:tcW w:w="1300" w:type="dxa"/>
            <w:vAlign w:val="bottom"/>
          </w:tcPr>
          <w:p>
            <w:pPr>
              <w:spacing w:after="0"/>
              <w:rPr>
                <w:sz w:val="2"/>
                <w:szCs w:val="2"/>
                <w:color w:val="auto"/>
              </w:rPr>
            </w:pPr>
          </w:p>
        </w:tc>
        <w:tc>
          <w:tcPr>
            <w:tcW w:w="1780" w:type="dxa"/>
            <w:vAlign w:val="bottom"/>
            <w:tcBorders>
              <w:bottom w:val="single" w:sz="8" w:color="808080"/>
            </w:tcBorders>
          </w:tcPr>
          <w:p>
            <w:pPr>
              <w:spacing w:after="0"/>
              <w:rPr>
                <w:sz w:val="2"/>
                <w:szCs w:val="2"/>
                <w:color w:val="auto"/>
              </w:rPr>
            </w:pPr>
          </w:p>
        </w:tc>
        <w:tc>
          <w:tcPr>
            <w:tcW w:w="440" w:type="dxa"/>
            <w:vAlign w:val="bottom"/>
            <w:tcBorders>
              <w:bottom w:val="single" w:sz="8" w:color="808080"/>
            </w:tcBorders>
          </w:tcPr>
          <w:p>
            <w:pPr>
              <w:spacing w:after="0"/>
              <w:rPr>
                <w:sz w:val="2"/>
                <w:szCs w:val="2"/>
                <w:color w:val="auto"/>
              </w:rPr>
            </w:pPr>
          </w:p>
        </w:tc>
        <w:tc>
          <w:tcPr>
            <w:tcW w:w="900" w:type="dxa"/>
            <w:vAlign w:val="bottom"/>
            <w:tcBorders>
              <w:bottom w:val="single" w:sz="8" w:color="808080"/>
            </w:tcBorders>
          </w:tcPr>
          <w:p>
            <w:pPr>
              <w:spacing w:after="0"/>
              <w:rPr>
                <w:sz w:val="2"/>
                <w:szCs w:val="2"/>
                <w:color w:val="auto"/>
              </w:rPr>
            </w:pPr>
          </w:p>
        </w:tc>
        <w:tc>
          <w:tcPr>
            <w:tcW w:w="26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4320" w:type="dxa"/>
            <w:vAlign w:val="bottom"/>
            <w:tcBorders>
              <w:bottom w:val="single" w:sz="8" w:color="808080"/>
            </w:tcBorders>
          </w:tcPr>
          <w:p>
            <w:pPr>
              <w:spacing w:after="0"/>
              <w:rPr>
                <w:sz w:val="2"/>
                <w:szCs w:val="2"/>
                <w:color w:val="auto"/>
              </w:rPr>
            </w:pPr>
          </w:p>
        </w:tc>
        <w:tc>
          <w:tcPr>
            <w:tcW w:w="1300" w:type="dxa"/>
            <w:vAlign w:val="bottom"/>
          </w:tcPr>
          <w:p>
            <w:pPr>
              <w:spacing w:after="0"/>
              <w:rPr>
                <w:sz w:val="2"/>
                <w:szCs w:val="2"/>
                <w:color w:val="auto"/>
              </w:rPr>
            </w:pPr>
          </w:p>
        </w:tc>
      </w:tr>
      <w:tr>
        <w:trPr>
          <w:trHeight w:val="221"/>
        </w:trPr>
        <w:tc>
          <w:tcPr>
            <w:tcW w:w="1300" w:type="dxa"/>
            <w:vAlign w:val="bottom"/>
          </w:tcPr>
          <w:p>
            <w:pPr>
              <w:spacing w:after="0"/>
              <w:rPr>
                <w:sz w:val="19"/>
                <w:szCs w:val="19"/>
                <w:color w:val="auto"/>
              </w:rPr>
            </w:pPr>
          </w:p>
        </w:tc>
        <w:tc>
          <w:tcPr>
            <w:tcW w:w="1780" w:type="dxa"/>
            <w:vAlign w:val="bottom"/>
          </w:tcPr>
          <w:p>
            <w:pPr>
              <w:ind w:left="80"/>
              <w:spacing w:after="0"/>
              <w:rPr>
                <w:sz w:val="20"/>
                <w:szCs w:val="20"/>
                <w:color w:val="auto"/>
              </w:rPr>
            </w:pPr>
            <w:r>
              <w:rPr>
                <w:rFonts w:ascii="Arial" w:cs="Arial" w:eastAsia="Arial" w:hAnsi="Arial"/>
                <w:sz w:val="16"/>
                <w:szCs w:val="16"/>
                <w:color w:val="auto"/>
              </w:rPr>
              <w:t>All Other Fees</w:t>
            </w:r>
          </w:p>
        </w:tc>
        <w:tc>
          <w:tcPr>
            <w:tcW w:w="440" w:type="dxa"/>
            <w:vAlign w:val="bottom"/>
          </w:tcPr>
          <w:p>
            <w:pPr>
              <w:spacing w:after="0"/>
              <w:rPr>
                <w:sz w:val="19"/>
                <w:szCs w:val="19"/>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4320" w:type="dxa"/>
            <w:vAlign w:val="bottom"/>
          </w:tcPr>
          <w:p>
            <w:pPr>
              <w:ind w:left="340"/>
              <w:spacing w:after="0"/>
              <w:rPr>
                <w:sz w:val="20"/>
                <w:szCs w:val="20"/>
                <w:color w:val="auto"/>
              </w:rPr>
            </w:pPr>
            <w:r>
              <w:rPr>
                <w:rFonts w:ascii="Arial" w:cs="Arial" w:eastAsia="Arial" w:hAnsi="Arial"/>
                <w:sz w:val="16"/>
                <w:szCs w:val="16"/>
                <w:color w:val="auto"/>
              </w:rPr>
              <w:t>—</w:t>
            </w:r>
          </w:p>
        </w:tc>
        <w:tc>
          <w:tcPr>
            <w:tcW w:w="1300" w:type="dxa"/>
            <w:vAlign w:val="bottom"/>
          </w:tcPr>
          <w:p>
            <w:pPr>
              <w:spacing w:after="0"/>
              <w:rPr>
                <w:sz w:val="19"/>
                <w:szCs w:val="19"/>
                <w:color w:val="auto"/>
              </w:rPr>
            </w:pPr>
          </w:p>
        </w:tc>
      </w:tr>
      <w:tr>
        <w:trPr>
          <w:trHeight w:val="29"/>
        </w:trPr>
        <w:tc>
          <w:tcPr>
            <w:tcW w:w="1300" w:type="dxa"/>
            <w:vAlign w:val="bottom"/>
          </w:tcPr>
          <w:p>
            <w:pPr>
              <w:spacing w:after="0"/>
              <w:rPr>
                <w:sz w:val="2"/>
                <w:szCs w:val="2"/>
                <w:color w:val="auto"/>
              </w:rPr>
            </w:pPr>
          </w:p>
        </w:tc>
        <w:tc>
          <w:tcPr>
            <w:tcW w:w="1780" w:type="dxa"/>
            <w:vAlign w:val="bottom"/>
            <w:tcBorders>
              <w:bottom w:val="single" w:sz="8" w:color="808080"/>
            </w:tcBorders>
          </w:tcPr>
          <w:p>
            <w:pPr>
              <w:spacing w:after="0"/>
              <w:rPr>
                <w:sz w:val="2"/>
                <w:szCs w:val="2"/>
                <w:color w:val="auto"/>
              </w:rPr>
            </w:pPr>
          </w:p>
        </w:tc>
        <w:tc>
          <w:tcPr>
            <w:tcW w:w="440" w:type="dxa"/>
            <w:vAlign w:val="bottom"/>
            <w:tcBorders>
              <w:bottom w:val="single" w:sz="8" w:color="808080"/>
            </w:tcBorders>
          </w:tcPr>
          <w:p>
            <w:pPr>
              <w:spacing w:after="0"/>
              <w:rPr>
                <w:sz w:val="2"/>
                <w:szCs w:val="2"/>
                <w:color w:val="auto"/>
              </w:rPr>
            </w:pPr>
          </w:p>
        </w:tc>
        <w:tc>
          <w:tcPr>
            <w:tcW w:w="900" w:type="dxa"/>
            <w:vAlign w:val="bottom"/>
            <w:tcBorders>
              <w:bottom w:val="single" w:sz="8" w:color="808080"/>
            </w:tcBorders>
          </w:tcPr>
          <w:p>
            <w:pPr>
              <w:spacing w:after="0"/>
              <w:rPr>
                <w:sz w:val="2"/>
                <w:szCs w:val="2"/>
                <w:color w:val="auto"/>
              </w:rPr>
            </w:pPr>
          </w:p>
        </w:tc>
        <w:tc>
          <w:tcPr>
            <w:tcW w:w="26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4320" w:type="dxa"/>
            <w:vAlign w:val="bottom"/>
            <w:tcBorders>
              <w:bottom w:val="single" w:sz="8" w:color="808080"/>
            </w:tcBorders>
          </w:tcPr>
          <w:p>
            <w:pPr>
              <w:spacing w:after="0"/>
              <w:rPr>
                <w:sz w:val="2"/>
                <w:szCs w:val="2"/>
                <w:color w:val="auto"/>
              </w:rPr>
            </w:pPr>
          </w:p>
        </w:tc>
        <w:tc>
          <w:tcPr>
            <w:tcW w:w="1300" w:type="dxa"/>
            <w:vAlign w:val="bottom"/>
          </w:tcPr>
          <w:p>
            <w:pPr>
              <w:spacing w:after="0"/>
              <w:rPr>
                <w:sz w:val="2"/>
                <w:szCs w:val="2"/>
                <w:color w:val="auto"/>
              </w:rPr>
            </w:pPr>
          </w:p>
        </w:tc>
      </w:tr>
      <w:tr>
        <w:trPr>
          <w:trHeight w:val="223"/>
        </w:trPr>
        <w:tc>
          <w:tcPr>
            <w:tcW w:w="1300" w:type="dxa"/>
            <w:vAlign w:val="bottom"/>
          </w:tcPr>
          <w:p>
            <w:pPr>
              <w:spacing w:after="0"/>
              <w:rPr>
                <w:sz w:val="19"/>
                <w:szCs w:val="19"/>
                <w:color w:val="auto"/>
              </w:rPr>
            </w:pPr>
          </w:p>
        </w:tc>
        <w:tc>
          <w:tcPr>
            <w:tcW w:w="1780" w:type="dxa"/>
            <w:vAlign w:val="bottom"/>
            <w:tcBorders>
              <w:bottom w:val="single" w:sz="8" w:color="342C82"/>
            </w:tcBorders>
          </w:tcPr>
          <w:p>
            <w:pPr>
              <w:ind w:left="80"/>
              <w:spacing w:after="0"/>
              <w:rPr>
                <w:sz w:val="20"/>
                <w:szCs w:val="20"/>
                <w:color w:val="auto"/>
              </w:rPr>
            </w:pPr>
            <w:r>
              <w:rPr>
                <w:rFonts w:ascii="Arial" w:cs="Arial" w:eastAsia="Arial" w:hAnsi="Arial"/>
                <w:sz w:val="16"/>
                <w:szCs w:val="16"/>
                <w:b w:val="1"/>
                <w:bCs w:val="1"/>
                <w:color w:val="auto"/>
              </w:rPr>
              <w:t>Total</w:t>
            </w:r>
          </w:p>
        </w:tc>
        <w:tc>
          <w:tcPr>
            <w:tcW w:w="440" w:type="dxa"/>
            <w:vAlign w:val="bottom"/>
            <w:tcBorders>
              <w:bottom w:val="single" w:sz="8" w:color="342C82"/>
            </w:tcBorders>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342C82"/>
            </w:tcBorders>
          </w:tcPr>
          <w:p>
            <w:pPr>
              <w:jc w:val="right"/>
              <w:ind w:right="99"/>
              <w:spacing w:after="0"/>
              <w:rPr>
                <w:sz w:val="20"/>
                <w:szCs w:val="20"/>
                <w:color w:val="auto"/>
              </w:rPr>
            </w:pPr>
            <w:r>
              <w:rPr>
                <w:rFonts w:ascii="Arial" w:cs="Arial" w:eastAsia="Arial" w:hAnsi="Arial"/>
                <w:sz w:val="16"/>
                <w:szCs w:val="16"/>
                <w:b w:val="1"/>
                <w:bCs w:val="1"/>
                <w:color w:val="auto"/>
                <w:w w:val="98"/>
              </w:rPr>
              <w:t>6,162,000</w:t>
            </w:r>
          </w:p>
        </w:tc>
        <w:tc>
          <w:tcPr>
            <w:tcW w:w="260" w:type="dxa"/>
            <w:vAlign w:val="bottom"/>
            <w:tcBorders>
              <w:bottom w:val="single" w:sz="8" w:color="342C82"/>
            </w:tcBorders>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342C82"/>
            </w:tcBorders>
          </w:tcPr>
          <w:p>
            <w:pPr>
              <w:jc w:val="right"/>
              <w:spacing w:after="0"/>
              <w:rPr>
                <w:sz w:val="20"/>
                <w:szCs w:val="20"/>
                <w:color w:val="auto"/>
              </w:rPr>
            </w:pPr>
            <w:r>
              <w:rPr>
                <w:rFonts w:ascii="Arial" w:cs="Arial" w:eastAsia="Arial" w:hAnsi="Arial"/>
                <w:sz w:val="16"/>
                <w:szCs w:val="16"/>
                <w:b w:val="1"/>
                <w:bCs w:val="1"/>
                <w:color w:val="auto"/>
                <w:w w:val="98"/>
              </w:rPr>
              <w:t>4,582,000</w:t>
            </w:r>
          </w:p>
        </w:tc>
        <w:tc>
          <w:tcPr>
            <w:tcW w:w="4320" w:type="dxa"/>
            <w:vAlign w:val="bottom"/>
            <w:tcBorders>
              <w:bottom w:val="single" w:sz="8" w:color="342C82"/>
            </w:tcBorders>
          </w:tcPr>
          <w:p>
            <w:pPr>
              <w:spacing w:after="0"/>
              <w:rPr>
                <w:sz w:val="19"/>
                <w:szCs w:val="19"/>
                <w:color w:val="auto"/>
              </w:rPr>
            </w:pPr>
          </w:p>
        </w:tc>
        <w:tc>
          <w:tcPr>
            <w:tcW w:w="1300" w:type="dxa"/>
            <w:vAlign w:val="bottom"/>
          </w:tcPr>
          <w:p>
            <w:pPr>
              <w:spacing w:after="0"/>
              <w:rPr>
                <w:sz w:val="19"/>
                <w:szCs w:val="19"/>
                <w:color w:val="auto"/>
              </w:rPr>
            </w:pPr>
          </w:p>
        </w:tc>
      </w:tr>
      <w:tr>
        <w:trPr>
          <w:trHeight w:val="418"/>
        </w:trPr>
        <w:tc>
          <w:tcPr>
            <w:tcW w:w="1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320" w:type="dxa"/>
            <w:vAlign w:val="bottom"/>
          </w:tcPr>
          <w:p>
            <w:pPr>
              <w:ind w:left="20"/>
              <w:spacing w:after="0"/>
              <w:rPr>
                <w:sz w:val="20"/>
                <w:szCs w:val="20"/>
                <w:color w:val="auto"/>
              </w:rPr>
            </w:pPr>
            <w:r>
              <w:rPr>
                <w:rFonts w:ascii="Arial" w:cs="Arial" w:eastAsia="Arial" w:hAnsi="Arial"/>
                <w:sz w:val="16"/>
                <w:szCs w:val="16"/>
                <w:b w:val="1"/>
                <w:bCs w:val="1"/>
                <w:color w:val="auto"/>
              </w:rPr>
              <w:t>28</w:t>
            </w:r>
          </w:p>
        </w:tc>
        <w:tc>
          <w:tcPr>
            <w:tcW w:w="1300" w:type="dxa"/>
            <w:vAlign w:val="bottom"/>
          </w:tcPr>
          <w:p>
            <w:pPr>
              <w:spacing w:after="0"/>
              <w:rPr>
                <w:sz w:val="24"/>
                <w:szCs w:val="24"/>
                <w:color w:val="auto"/>
              </w:rPr>
            </w:pPr>
          </w:p>
        </w:tc>
      </w:tr>
      <w:tr>
        <w:trPr>
          <w:trHeight w:val="176"/>
        </w:trPr>
        <w:tc>
          <w:tcPr>
            <w:tcW w:w="13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3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114" w:right="439" w:bottom="1440" w:gutter="0" w:footer="0" w:header="0"/>
        </w:sectPr>
      </w:pPr>
    </w:p>
    <w:bookmarkStart w:id="41" w:name="page42"/>
    <w:bookmarkEnd w:id="41"/>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3700"/>
        <w:spacing w:after="0"/>
        <w:rPr>
          <w:sz w:val="20"/>
          <w:szCs w:val="20"/>
          <w:color w:val="auto"/>
        </w:rPr>
      </w:pPr>
      <w:r>
        <w:rPr>
          <w:rFonts w:ascii="Arial" w:cs="Arial" w:eastAsia="Arial" w:hAnsi="Arial"/>
          <w:sz w:val="16"/>
          <w:szCs w:val="16"/>
          <w:color w:val="342C82"/>
        </w:rPr>
        <w:t>Proposal 2: Ratification of selection of independent registered public accounting firm</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29"/>
          <w:szCs w:val="29"/>
          <w:color w:val="342C82"/>
        </w:rPr>
        <w:t>Pre-approval of audit and non-audit services</w:t>
      </w:r>
    </w:p>
    <w:p>
      <w:pPr>
        <w:spacing w:after="0" w:line="130" w:lineRule="exact"/>
        <w:rPr>
          <w:sz w:val="20"/>
          <w:szCs w:val="20"/>
          <w:color w:val="auto"/>
        </w:rPr>
      </w:pPr>
    </w:p>
    <w:p>
      <w:pPr>
        <w:ind w:left="1300" w:right="1360"/>
        <w:spacing w:after="0" w:line="259" w:lineRule="auto"/>
        <w:rPr>
          <w:sz w:val="20"/>
          <w:szCs w:val="20"/>
          <w:color w:val="auto"/>
        </w:rPr>
      </w:pPr>
      <w:r>
        <w:rPr>
          <w:rFonts w:ascii="Arial" w:cs="Arial" w:eastAsia="Arial" w:hAnsi="Arial"/>
          <w:sz w:val="16"/>
          <w:szCs w:val="16"/>
          <w:color w:val="auto"/>
        </w:rPr>
        <w:t>The Audit Committee is responsible for appointing Embecta’s independent auditors and approving the terms of the independent auditors’ services. The Audit Committee has established a policy for the pre-approval of all audit and permissible non-audit services to be provided by the independent auditors, as described below. All the services listed in the previous table were approved pursuant to this policy.</w:t>
      </w:r>
    </w:p>
    <w:p>
      <w:pPr>
        <w:spacing w:after="0" w:line="124" w:lineRule="exact"/>
        <w:rPr>
          <w:sz w:val="20"/>
          <w:szCs w:val="20"/>
          <w:color w:val="auto"/>
        </w:rPr>
      </w:pPr>
    </w:p>
    <w:p>
      <w:pPr>
        <w:ind w:left="1300" w:right="1520"/>
        <w:spacing w:after="0" w:line="286" w:lineRule="auto"/>
        <w:rPr>
          <w:sz w:val="20"/>
          <w:szCs w:val="20"/>
          <w:color w:val="auto"/>
        </w:rPr>
      </w:pPr>
      <w:r>
        <w:rPr>
          <w:rFonts w:ascii="Arial" w:cs="Arial" w:eastAsia="Arial" w:hAnsi="Arial"/>
          <w:sz w:val="16"/>
          <w:szCs w:val="16"/>
          <w:i w:val="1"/>
          <w:iCs w:val="1"/>
          <w:color w:val="auto"/>
        </w:rPr>
        <w:t>Audit Services</w:t>
      </w:r>
      <w:r>
        <w:rPr>
          <w:rFonts w:ascii="Arial" w:cs="Arial" w:eastAsia="Arial" w:hAnsi="Arial"/>
          <w:sz w:val="16"/>
          <w:szCs w:val="16"/>
          <w:color w:val="auto"/>
        </w:rPr>
        <w:t>. Under the policy, the Audit Committee will appoint Embecta’s independent auditors each fiscal year</w:t>
      </w:r>
      <w:r>
        <w:rPr>
          <w:rFonts w:ascii="Arial" w:cs="Arial" w:eastAsia="Arial" w:hAnsi="Arial"/>
          <w:sz w:val="16"/>
          <w:szCs w:val="16"/>
          <w:i w:val="1"/>
          <w:iCs w:val="1"/>
          <w:color w:val="auto"/>
        </w:rPr>
        <w:t xml:space="preserve"> </w:t>
      </w:r>
      <w:r>
        <w:rPr>
          <w:rFonts w:ascii="Arial" w:cs="Arial" w:eastAsia="Arial" w:hAnsi="Arial"/>
          <w:sz w:val="16"/>
          <w:szCs w:val="16"/>
          <w:color w:val="auto"/>
        </w:rPr>
        <w:t>and pre-approve the engagement of the independent auditors for the audit services to be provided.</w:t>
      </w:r>
    </w:p>
    <w:p>
      <w:pPr>
        <w:spacing w:after="0" w:line="102" w:lineRule="exact"/>
        <w:rPr>
          <w:sz w:val="20"/>
          <w:szCs w:val="20"/>
          <w:color w:val="auto"/>
        </w:rPr>
      </w:pPr>
    </w:p>
    <w:p>
      <w:pPr>
        <w:ind w:left="1300" w:right="1400"/>
        <w:spacing w:after="0" w:line="254" w:lineRule="auto"/>
        <w:rPr>
          <w:sz w:val="20"/>
          <w:szCs w:val="20"/>
          <w:color w:val="auto"/>
        </w:rPr>
      </w:pPr>
      <w:r>
        <w:rPr>
          <w:rFonts w:ascii="Arial" w:cs="Arial" w:eastAsia="Arial" w:hAnsi="Arial"/>
          <w:sz w:val="16"/>
          <w:szCs w:val="16"/>
          <w:i w:val="1"/>
          <w:iCs w:val="1"/>
          <w:color w:val="auto"/>
        </w:rPr>
        <w:t>Non-Audit Services</w:t>
      </w:r>
      <w:r>
        <w:rPr>
          <w:rFonts w:ascii="Arial" w:cs="Arial" w:eastAsia="Arial" w:hAnsi="Arial"/>
          <w:sz w:val="16"/>
          <w:szCs w:val="16"/>
          <w:color w:val="auto"/>
        </w:rPr>
        <w:t>. In accordance with the policy, the Audit Committee has established detailed pre-approved</w:t>
      </w:r>
      <w:r>
        <w:rPr>
          <w:rFonts w:ascii="Arial" w:cs="Arial" w:eastAsia="Arial" w:hAnsi="Arial"/>
          <w:sz w:val="16"/>
          <w:szCs w:val="16"/>
          <w:i w:val="1"/>
          <w:iCs w:val="1"/>
          <w:color w:val="auto"/>
        </w:rPr>
        <w:t xml:space="preserve"> </w:t>
      </w:r>
      <w:r>
        <w:rPr>
          <w:rFonts w:ascii="Arial" w:cs="Arial" w:eastAsia="Arial" w:hAnsi="Arial"/>
          <w:sz w:val="16"/>
          <w:szCs w:val="16"/>
          <w:color w:val="auto"/>
        </w:rPr>
        <w:t>categories of non-audit services that may be performed by the independent auditors during the fiscal year, subject to certain dollar limits. The Audit Committee may, from time to time, delegate its authority to pre-approve non-audit services to one or more Audit Committee members, provided that such designees present any such approvals to the full Audit Committee at the next Audit Committee meeting. All other non-audit services are required to be pre-approved by the entire Audit Committee.</w:t>
      </w:r>
    </w:p>
    <w:p>
      <w:pPr>
        <w:spacing w:after="0" w:line="128" w:lineRule="exact"/>
        <w:rPr>
          <w:sz w:val="20"/>
          <w:szCs w:val="20"/>
          <w:color w:val="auto"/>
        </w:rPr>
      </w:pPr>
    </w:p>
    <w:p>
      <w:pPr>
        <w:ind w:left="1300" w:right="1400"/>
        <w:spacing w:after="0" w:line="259" w:lineRule="auto"/>
        <w:rPr>
          <w:sz w:val="20"/>
          <w:szCs w:val="20"/>
          <w:color w:val="auto"/>
        </w:rPr>
      </w:pPr>
      <w:r>
        <w:rPr>
          <w:rFonts w:ascii="Arial" w:cs="Arial" w:eastAsia="Arial" w:hAnsi="Arial"/>
          <w:sz w:val="16"/>
          <w:szCs w:val="16"/>
          <w:color w:val="auto"/>
        </w:rPr>
        <w:t>The Audit Committee believes that the provision of the non-audit services described above by E&amp;Y is consistent with maintaining the independence of E&amp;Y. The Audit Committee periodically considers the rotation of the independent auditors. The Audit Committee believes that the continued retention of E&amp;Y to serve as Embecta’s independent auditors is in the best interests of Embecta and its stockholders.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467"/>
        </w:trPr>
        <w:tc>
          <w:tcPr>
            <w:tcW w:w="1300" w:type="dxa"/>
            <w:vAlign w:val="bottom"/>
          </w:tcPr>
          <w:p>
            <w:pPr>
              <w:spacing w:after="0"/>
              <w:rPr>
                <w:sz w:val="24"/>
                <w:szCs w:val="24"/>
                <w:color w:val="auto"/>
              </w:rPr>
            </w:pPr>
          </w:p>
        </w:tc>
        <w:tc>
          <w:tcPr>
            <w:tcW w:w="920" w:type="dxa"/>
            <w:vAlign w:val="bottom"/>
            <w:tcBorders>
              <w:top w:val="single" w:sz="8" w:color="auto"/>
              <w:right w:val="single" w:sz="8" w:color="auto"/>
            </w:tcBorders>
            <w:vMerge w:val="restart"/>
          </w:tcPr>
          <w:p>
            <w:pPr>
              <w:ind w:left="480"/>
              <w:spacing w:after="0"/>
              <w:rPr>
                <w:sz w:val="20"/>
                <w:szCs w:val="20"/>
                <w:color w:val="auto"/>
              </w:rPr>
            </w:pPr>
            <w:r>
              <w:rPr>
                <w:rFonts w:ascii="Arial" w:cs="Arial" w:eastAsia="Arial" w:hAnsi="Arial"/>
                <w:sz w:val="18"/>
                <w:szCs w:val="18"/>
                <w:color w:val="auto"/>
              </w:rPr>
              <w:t> </w:t>
            </w:r>
          </w:p>
        </w:tc>
        <w:tc>
          <w:tcPr>
            <w:tcW w:w="7500" w:type="dxa"/>
            <w:vAlign w:val="bottom"/>
            <w:tcBorders>
              <w:top w:val="single" w:sz="8" w:color="auto"/>
            </w:tcBorders>
          </w:tcPr>
          <w:p>
            <w:pPr>
              <w:ind w:left="360"/>
              <w:spacing w:after="0"/>
              <w:rPr>
                <w:sz w:val="20"/>
                <w:szCs w:val="20"/>
                <w:color w:val="auto"/>
              </w:rPr>
            </w:pPr>
            <w:r>
              <w:rPr>
                <w:rFonts w:ascii="Arial" w:cs="Arial" w:eastAsia="Arial" w:hAnsi="Arial"/>
                <w:sz w:val="18"/>
                <w:szCs w:val="18"/>
                <w:b w:val="1"/>
                <w:bCs w:val="1"/>
                <w:color w:val="auto"/>
              </w:rPr>
              <w:t>THE BOARD OF DIRECTORS RECOMMENDS A VOTE “FOR”</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920" w:type="dxa"/>
            <w:vAlign w:val="bottom"/>
            <w:tcBorders>
              <w:right w:val="single" w:sz="8" w:color="auto"/>
            </w:tcBorders>
            <w:vMerge w:val="continue"/>
          </w:tcPr>
          <w:p>
            <w:pPr>
              <w:spacing w:after="0"/>
              <w:rPr>
                <w:sz w:val="21"/>
                <w:szCs w:val="21"/>
                <w:color w:val="auto"/>
              </w:rPr>
            </w:pPr>
          </w:p>
        </w:tc>
        <w:tc>
          <w:tcPr>
            <w:tcW w:w="7500" w:type="dxa"/>
            <w:vAlign w:val="bottom"/>
          </w:tcPr>
          <w:p>
            <w:pPr>
              <w:ind w:left="360"/>
              <w:spacing w:after="0"/>
              <w:rPr>
                <w:sz w:val="20"/>
                <w:szCs w:val="20"/>
                <w:color w:val="auto"/>
              </w:rPr>
            </w:pPr>
            <w:r>
              <w:rPr>
                <w:rFonts w:ascii="Arial" w:cs="Arial" w:eastAsia="Arial" w:hAnsi="Arial"/>
                <w:sz w:val="18"/>
                <w:szCs w:val="18"/>
                <w:b w:val="1"/>
                <w:bCs w:val="1"/>
                <w:color w:val="auto"/>
              </w:rPr>
              <w:t>PROPOSAL 2.</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1300" w:type="dxa"/>
            <w:vAlign w:val="bottom"/>
          </w:tcPr>
          <w:p>
            <w:pPr>
              <w:spacing w:after="0"/>
              <w:rPr>
                <w:sz w:val="16"/>
                <w:szCs w:val="16"/>
                <w:color w:val="auto"/>
              </w:rPr>
            </w:pPr>
          </w:p>
        </w:tc>
        <w:tc>
          <w:tcPr>
            <w:tcW w:w="920" w:type="dxa"/>
            <w:vAlign w:val="bottom"/>
            <w:tcBorders>
              <w:bottom w:val="single" w:sz="8" w:color="auto"/>
              <w:right w:val="single" w:sz="8" w:color="auto"/>
            </w:tcBorders>
          </w:tcPr>
          <w:p>
            <w:pPr>
              <w:spacing w:after="0"/>
              <w:rPr>
                <w:sz w:val="16"/>
                <w:szCs w:val="16"/>
                <w:color w:val="auto"/>
              </w:rPr>
            </w:pPr>
          </w:p>
        </w:tc>
        <w:tc>
          <w:tcPr>
            <w:tcW w:w="7500" w:type="dxa"/>
            <w:vAlign w:val="bottom"/>
            <w:tcBorders>
              <w:bottom w:val="single" w:sz="8" w:color="auto"/>
            </w:tcBorders>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8"/>
        </w:trPr>
        <w:tc>
          <w:tcPr>
            <w:tcW w:w="1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500" w:type="dxa"/>
            <w:vAlign w:val="bottom"/>
          </w:tcPr>
          <w:p>
            <w:pPr>
              <w:jc w:val="right"/>
              <w:ind w:right="4033"/>
              <w:spacing w:after="0"/>
              <w:rPr>
                <w:sz w:val="20"/>
                <w:szCs w:val="20"/>
                <w:color w:val="auto"/>
              </w:rPr>
            </w:pPr>
            <w:r>
              <w:rPr>
                <w:rFonts w:ascii="Arial" w:cs="Arial" w:eastAsia="Arial" w:hAnsi="Arial"/>
                <w:sz w:val="16"/>
                <w:szCs w:val="16"/>
                <w:b w:val="1"/>
                <w:bCs w:val="1"/>
                <w:color w:val="auto"/>
              </w:rPr>
              <w:t>29</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1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75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14" w:right="439"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6"/>
          <w:szCs w:val="16"/>
          <w:color w:val="342C82"/>
        </w:rPr>
        <w:t>Proposal 2: Ratification of selection of independent registered public accounting firm</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29"/>
          <w:szCs w:val="29"/>
          <w:color w:val="342C82"/>
        </w:rPr>
        <w:t>Report of the audit committee</w:t>
      </w:r>
    </w:p>
    <w:p>
      <w:pPr>
        <w:spacing w:after="0" w:line="130" w:lineRule="exact"/>
        <w:rPr>
          <w:sz w:val="20"/>
          <w:szCs w:val="20"/>
          <w:color w:val="auto"/>
        </w:rPr>
      </w:pPr>
    </w:p>
    <w:p>
      <w:pPr>
        <w:ind w:left="300" w:right="379"/>
        <w:spacing w:after="0" w:line="256" w:lineRule="auto"/>
        <w:rPr>
          <w:sz w:val="20"/>
          <w:szCs w:val="20"/>
          <w:color w:val="auto"/>
        </w:rPr>
      </w:pPr>
      <w:r>
        <w:rPr>
          <w:rFonts w:ascii="Arial" w:cs="Arial" w:eastAsia="Arial" w:hAnsi="Arial"/>
          <w:sz w:val="16"/>
          <w:szCs w:val="16"/>
          <w:color w:val="auto"/>
        </w:rPr>
        <w:t>The Audit Committee reviews Embecta’s financial reporting process on behalf of the Board. Management has the primary responsibility for the financial statements and the reporting process, including the system of internal controls. The independent auditors are responsible for performing an independent audit of Embecta’s consolidated financial statements in accordance with generally accepted auditing standards and to issue a report thereon. The Audit Committee monitors these processes.</w:t>
      </w:r>
    </w:p>
    <w:p>
      <w:pPr>
        <w:spacing w:after="0" w:line="126" w:lineRule="exact"/>
        <w:rPr>
          <w:sz w:val="20"/>
          <w:szCs w:val="20"/>
          <w:color w:val="auto"/>
        </w:rPr>
      </w:pPr>
    </w:p>
    <w:p>
      <w:pPr>
        <w:ind w:left="300" w:right="379"/>
        <w:spacing w:after="0" w:line="254" w:lineRule="auto"/>
        <w:rPr>
          <w:sz w:val="20"/>
          <w:szCs w:val="20"/>
          <w:color w:val="auto"/>
        </w:rPr>
      </w:pPr>
      <w:r>
        <w:rPr>
          <w:rFonts w:ascii="Arial" w:cs="Arial" w:eastAsia="Arial" w:hAnsi="Arial"/>
          <w:sz w:val="16"/>
          <w:szCs w:val="16"/>
          <w:color w:val="auto"/>
        </w:rPr>
        <w:t>In this context, the Audit Committee met and held discussions with management and the independent auditors. Management represented to the Audit Committee that Embecta’s consolidated financial statements were prepared in accordance with accounting principles generally accepted in the United States, and the Audit Committee reviewed and discussed the consolidated financial statements with management and the independent auditors. The Audit Committee also discussed with the independent auditors the matters required to be discussed by the applicable requirements of the Public Company Accounting Oversight Board (“PCAOB”) and the SEC.</w:t>
      </w:r>
    </w:p>
    <w:p>
      <w:pPr>
        <w:spacing w:after="0" w:line="128" w:lineRule="exact"/>
        <w:rPr>
          <w:sz w:val="20"/>
          <w:szCs w:val="20"/>
          <w:color w:val="auto"/>
        </w:rPr>
      </w:pPr>
    </w:p>
    <w:p>
      <w:pPr>
        <w:ind w:left="300" w:right="299"/>
        <w:spacing w:after="0" w:line="250" w:lineRule="auto"/>
        <w:rPr>
          <w:sz w:val="20"/>
          <w:szCs w:val="20"/>
          <w:color w:val="auto"/>
        </w:rPr>
      </w:pPr>
      <w:r>
        <w:rPr>
          <w:rFonts w:ascii="Arial" w:cs="Arial" w:eastAsia="Arial" w:hAnsi="Arial"/>
          <w:sz w:val="16"/>
          <w:szCs w:val="16"/>
          <w:color w:val="auto"/>
        </w:rPr>
        <w:t>In addition, the Audit Committee discussed with the independent auditors the auditors’ independence from Embecta and its management, and the independent auditors provided to the Audit Committee the written disclosures and the letter pursuant to the applicable requirements of the PCAOB regarding the independent auditors’ communications with the Audit Committee concerning independence. The Audit Committee discussed with Embecta’s internal and independent auditors the overall scope and plans for their respective audits. The Audit Committee met with the internal and independent auditors, with and without management present, to discuss the results of their examinations, their evaluations of Embecta’s internal controls, and the overall quality of Embecta’s financial reporting. Management has also reviewed with the Audit Committee its report on the effectiveness of Embecta’s internal control over financial reporting. The Audit Committee also received the report from the independent auditors on Embecta’s internal control over financial reporting.</w:t>
      </w:r>
    </w:p>
    <w:p>
      <w:pPr>
        <w:spacing w:after="0" w:line="135" w:lineRule="exact"/>
        <w:rPr>
          <w:sz w:val="20"/>
          <w:szCs w:val="20"/>
          <w:color w:val="auto"/>
        </w:rPr>
      </w:pPr>
    </w:p>
    <w:p>
      <w:pPr>
        <w:ind w:left="300" w:right="399"/>
        <w:spacing w:after="0" w:line="266" w:lineRule="auto"/>
        <w:rPr>
          <w:sz w:val="20"/>
          <w:szCs w:val="20"/>
          <w:color w:val="auto"/>
        </w:rPr>
      </w:pPr>
      <w:r>
        <w:rPr>
          <w:rFonts w:ascii="Arial" w:cs="Arial" w:eastAsia="Arial" w:hAnsi="Arial"/>
          <w:sz w:val="16"/>
          <w:szCs w:val="16"/>
          <w:color w:val="auto"/>
        </w:rPr>
        <w:t>Based on the reviews and discussions referred to above, the Audit Committee recommended to the Board, and the Board has approved, that the audited financial statements be included in Embecta’s Annual Report on Form 10-K for the fiscal year ended September 30, 2024, for filing with the SEC.</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AUDIT COMMITTEE</w:t>
      </w:r>
    </w:p>
    <w:p>
      <w:pPr>
        <w:spacing w:after="0" w:line="216" w:lineRule="exact"/>
        <w:rPr>
          <w:sz w:val="20"/>
          <w:szCs w:val="20"/>
          <w:color w:val="auto"/>
        </w:rPr>
      </w:pPr>
    </w:p>
    <w:p>
      <w:pPr>
        <w:ind w:left="300"/>
        <w:spacing w:after="0"/>
        <w:tabs>
          <w:tab w:leader="none" w:pos="4640" w:val="left"/>
          <w:tab w:leader="none" w:pos="7060" w:val="left"/>
        </w:tabs>
        <w:rPr>
          <w:sz w:val="20"/>
          <w:szCs w:val="20"/>
          <w:color w:val="auto"/>
        </w:rPr>
      </w:pPr>
      <w:r>
        <w:rPr>
          <w:rFonts w:ascii="Arial" w:cs="Arial" w:eastAsia="Arial" w:hAnsi="Arial"/>
          <w:sz w:val="16"/>
          <w:szCs w:val="16"/>
          <w:color w:val="auto"/>
        </w:rPr>
        <w:t>Robert (Bob) J. Hombach (Chair)</w:t>
      </w:r>
      <w:r>
        <w:rPr>
          <w:sz w:val="20"/>
          <w:szCs w:val="20"/>
          <w:color w:val="auto"/>
        </w:rPr>
        <w:tab/>
      </w:r>
      <w:r>
        <w:rPr>
          <w:rFonts w:ascii="Arial" w:cs="Arial" w:eastAsia="Arial" w:hAnsi="Arial"/>
          <w:sz w:val="16"/>
          <w:szCs w:val="16"/>
          <w:color w:val="auto"/>
        </w:rPr>
        <w:t>Karen N. Prange</w:t>
      </w:r>
      <w:r>
        <w:rPr>
          <w:sz w:val="20"/>
          <w:szCs w:val="20"/>
          <w:color w:val="auto"/>
        </w:rPr>
        <w:tab/>
      </w:r>
      <w:r>
        <w:rPr>
          <w:rFonts w:ascii="Arial" w:cs="Arial" w:eastAsia="Arial" w:hAnsi="Arial"/>
          <w:sz w:val="16"/>
          <w:szCs w:val="16"/>
          <w:color w:val="auto"/>
        </w:rPr>
        <w:t>Carrie L. Anderson</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123825</wp:posOffset>
            </wp:positionV>
            <wp:extent cx="699516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3" w:name="page44"/>
    <w:bookmarkEnd w:id="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6" w:lineRule="exact"/>
        <w:rPr>
          <w:sz w:val="20"/>
          <w:szCs w:val="20"/>
          <w:color w:val="auto"/>
        </w:rPr>
      </w:pPr>
    </w:p>
    <w:p>
      <w:pPr>
        <w:ind w:left="300" w:right="1359"/>
        <w:spacing w:after="0" w:line="279" w:lineRule="auto"/>
        <w:rPr>
          <w:sz w:val="20"/>
          <w:szCs w:val="20"/>
          <w:color w:val="auto"/>
        </w:rPr>
      </w:pPr>
      <w:r>
        <w:rPr>
          <w:rFonts w:ascii="Arial" w:cs="Arial" w:eastAsia="Arial" w:hAnsi="Arial"/>
          <w:sz w:val="43"/>
          <w:szCs w:val="43"/>
          <w:color w:val="342C82"/>
        </w:rPr>
        <w:t>Proposal 3: Advisory vote to approve named executive officer compensation</w:t>
      </w:r>
    </w:p>
    <w:p>
      <w:pPr>
        <w:spacing w:after="0" w:line="12" w:lineRule="exact"/>
        <w:rPr>
          <w:sz w:val="20"/>
          <w:szCs w:val="20"/>
          <w:color w:val="auto"/>
        </w:rPr>
      </w:pPr>
    </w:p>
    <w:p>
      <w:pPr>
        <w:ind w:left="300" w:right="419"/>
        <w:spacing w:after="0" w:line="259" w:lineRule="auto"/>
        <w:rPr>
          <w:sz w:val="20"/>
          <w:szCs w:val="20"/>
          <w:color w:val="auto"/>
        </w:rPr>
      </w:pPr>
      <w:r>
        <w:rPr>
          <w:rFonts w:ascii="Arial" w:cs="Arial" w:eastAsia="Arial" w:hAnsi="Arial"/>
          <w:sz w:val="16"/>
          <w:szCs w:val="16"/>
          <w:color w:val="auto"/>
        </w:rPr>
        <w:t xml:space="preserve">The Compensation Discussion and Analysis beginning on page </w:t>
      </w:r>
      <w:r>
        <w:rPr>
          <w:rFonts w:ascii="Arial" w:cs="Arial" w:eastAsia="Arial" w:hAnsi="Arial"/>
          <w:sz w:val="16"/>
          <w:szCs w:val="16"/>
          <w:u w:val="single" w:color="auto"/>
          <w:color w:val="0000EE"/>
        </w:rPr>
        <w:t>34</w:t>
      </w:r>
      <w:r>
        <w:rPr>
          <w:rFonts w:ascii="Arial" w:cs="Arial" w:eastAsia="Arial" w:hAnsi="Arial"/>
          <w:sz w:val="16"/>
          <w:szCs w:val="16"/>
          <w:color w:val="auto"/>
        </w:rPr>
        <w:t xml:space="preserve"> of this proxy statement describes Embecta’s executive compensation program and the compensation decisions made with respect to our CEO and the other named executive officers reflected in the Summary Compensation Table on page </w:t>
      </w:r>
      <w:r>
        <w:rPr>
          <w:rFonts w:ascii="Arial" w:cs="Arial" w:eastAsia="Arial" w:hAnsi="Arial"/>
          <w:sz w:val="16"/>
          <w:szCs w:val="16"/>
          <w:u w:val="single" w:color="auto"/>
          <w:color w:val="0000EE"/>
        </w:rPr>
        <w:t>50</w:t>
      </w:r>
      <w:r>
        <w:rPr>
          <w:rFonts w:ascii="Arial" w:cs="Arial" w:eastAsia="Arial" w:hAnsi="Arial"/>
          <w:sz w:val="16"/>
          <w:szCs w:val="16"/>
          <w:color w:val="auto"/>
        </w:rPr>
        <w:t>. Pursuant to Section 14A of the Exchange Act, the Board is asking stockholders to cast a non-binding advisory vote on the following resolution:</w:t>
      </w:r>
    </w:p>
    <w:p>
      <w:pPr>
        <w:spacing w:after="0" w:line="124" w:lineRule="exact"/>
        <w:rPr>
          <w:sz w:val="20"/>
          <w:szCs w:val="20"/>
          <w:color w:val="auto"/>
        </w:rPr>
      </w:pPr>
    </w:p>
    <w:p>
      <w:pPr>
        <w:ind w:left="660" w:right="339"/>
        <w:spacing w:after="0" w:line="256" w:lineRule="auto"/>
        <w:rPr>
          <w:sz w:val="20"/>
          <w:szCs w:val="20"/>
          <w:color w:val="auto"/>
        </w:rPr>
      </w:pPr>
      <w:r>
        <w:rPr>
          <w:rFonts w:ascii="Arial" w:cs="Arial" w:eastAsia="Arial" w:hAnsi="Arial"/>
          <w:sz w:val="16"/>
          <w:szCs w:val="16"/>
          <w:color w:val="auto"/>
        </w:rPr>
        <w:t>“RESOLVED, that the stockholders of Embecta approve the compensation of the Embecta executive officers named in the Summary Compensation Table, as disclosed in this proxy statement pursuant to the compensation disclosure rules of the Securities and Exchange Commission (which disclosure includes the Compensation Discussion and Analysis, the executive compensation tables and the related footnotes and narrative accompanying the tables).”</w:t>
      </w:r>
    </w:p>
    <w:p>
      <w:pPr>
        <w:spacing w:after="0" w:line="126" w:lineRule="exact"/>
        <w:rPr>
          <w:sz w:val="20"/>
          <w:szCs w:val="20"/>
          <w:color w:val="auto"/>
        </w:rPr>
      </w:pPr>
    </w:p>
    <w:p>
      <w:pPr>
        <w:ind w:left="300" w:right="299"/>
        <w:spacing w:after="0" w:line="256" w:lineRule="auto"/>
        <w:rPr>
          <w:sz w:val="20"/>
          <w:szCs w:val="20"/>
          <w:color w:val="auto"/>
        </w:rPr>
      </w:pPr>
      <w:r>
        <w:rPr>
          <w:rFonts w:ascii="Arial" w:cs="Arial" w:eastAsia="Arial" w:hAnsi="Arial"/>
          <w:sz w:val="16"/>
          <w:szCs w:val="16"/>
          <w:color w:val="auto"/>
        </w:rPr>
        <w:t>As we describe in the Compensation Discussion and Analysis, our executive compensation program embodies a pay-for-performance philosophy that supports Embecta’s business strategy and aligns the interests of our executives with those of our stockholders. At the same time, we believe our program does not encourage excessive risk-taking by management. We believe that the compensation actions discussed in the Compensation Discussion and Analysis appropriately reflected the performance of our named executive officers and Embecta during the year.</w:t>
      </w:r>
    </w:p>
    <w:p>
      <w:pPr>
        <w:spacing w:after="0" w:line="126" w:lineRule="exact"/>
        <w:rPr>
          <w:sz w:val="20"/>
          <w:szCs w:val="20"/>
          <w:color w:val="auto"/>
        </w:rPr>
      </w:pPr>
    </w:p>
    <w:p>
      <w:pPr>
        <w:ind w:left="300" w:right="439"/>
        <w:spacing w:after="0" w:line="259" w:lineRule="auto"/>
        <w:rPr>
          <w:sz w:val="20"/>
          <w:szCs w:val="20"/>
          <w:color w:val="auto"/>
        </w:rPr>
      </w:pPr>
      <w:r>
        <w:rPr>
          <w:rFonts w:ascii="Arial" w:cs="Arial" w:eastAsia="Arial" w:hAnsi="Arial"/>
          <w:sz w:val="16"/>
          <w:szCs w:val="16"/>
          <w:color w:val="auto"/>
        </w:rPr>
        <w:t>For these reasons, the Board is asking stockholders to support this Proposal. While the advisory vote we are asking you to cast is non-binding, the Compensation Committee and the Board value the views of our stockholders and will take into account the outcome of the vote when considering our compensation program and future compensation decisions for our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27305</wp:posOffset>
            </wp:positionV>
            <wp:extent cx="5349240" cy="5226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349240" cy="522605"/>
                    </a:xfrm>
                    <a:prstGeom prst="rect">
                      <a:avLst/>
                    </a:prstGeom>
                    <a:noFill/>
                  </pic:spPr>
                </pic:pic>
              </a:graphicData>
            </a:graphic>
          </wp:anchor>
        </w:drawing>
      </w:r>
    </w:p>
    <w:p>
      <w:pPr>
        <w:spacing w:after="0" w:line="175" w:lineRule="exact"/>
        <w:rPr>
          <w:sz w:val="20"/>
          <w:szCs w:val="20"/>
          <w:color w:val="auto"/>
        </w:rPr>
      </w:pPr>
    </w:p>
    <w:p>
      <w:pPr>
        <w:ind w:left="1580" w:hanging="802"/>
        <w:spacing w:after="0"/>
        <w:tabs>
          <w:tab w:leader="none" w:pos="1580" w:val="left"/>
        </w:tabs>
        <w:numPr>
          <w:ilvl w:val="0"/>
          <w:numId w:val="15"/>
        </w:numPr>
        <w:rPr>
          <w:rFonts w:ascii="Arial" w:cs="Arial" w:eastAsia="Arial" w:hAnsi="Arial"/>
          <w:sz w:val="36"/>
          <w:szCs w:val="36"/>
          <w:color w:val="auto"/>
          <w:vertAlign w:val="subscript"/>
        </w:rPr>
      </w:pPr>
      <w:r>
        <w:rPr>
          <w:rFonts w:ascii="Arial" w:cs="Arial" w:eastAsia="Arial" w:hAnsi="Arial"/>
          <w:sz w:val="18"/>
          <w:szCs w:val="18"/>
          <w:b w:val="1"/>
          <w:bCs w:val="1"/>
          <w:color w:val="auto"/>
        </w:rPr>
        <w:t>THE BOARD OF DIRECTORS RECOMMENDS A VOTE “FOR” PROPOSAL 3.</w:t>
      </w:r>
    </w:p>
    <w:p>
      <w:pPr>
        <w:spacing w:after="0" w:line="200" w:lineRule="exact"/>
        <w:rPr>
          <w:rFonts w:ascii="Arial" w:cs="Arial" w:eastAsia="Arial" w:hAnsi="Arial"/>
          <w:sz w:val="36"/>
          <w:szCs w:val="36"/>
          <w:color w:val="auto"/>
          <w:vertAlign w:val="subscript"/>
        </w:rPr>
      </w:pPr>
    </w:p>
    <w:p>
      <w:pPr>
        <w:spacing w:after="0" w:line="259" w:lineRule="exact"/>
        <w:rPr>
          <w:rFonts w:ascii="Arial" w:cs="Arial" w:eastAsia="Arial" w:hAnsi="Arial"/>
          <w:sz w:val="36"/>
          <w:szCs w:val="36"/>
          <w:color w:val="auto"/>
          <w:vertAlign w:val="subscript"/>
        </w:rPr>
      </w:pPr>
    </w:p>
    <w:p>
      <w:pPr>
        <w:ind w:left="4420"/>
        <w:spacing w:after="0"/>
        <w:rPr>
          <w:rFonts w:ascii="Arial" w:cs="Arial" w:eastAsia="Arial" w:hAnsi="Arial"/>
          <w:sz w:val="36"/>
          <w:szCs w:val="36"/>
          <w:color w:val="auto"/>
          <w:vertAlign w:val="subscript"/>
        </w:rPr>
      </w:pPr>
      <w:r>
        <w:rPr>
          <w:rFonts w:ascii="Arial" w:cs="Arial" w:eastAsia="Arial" w:hAnsi="Arial"/>
          <w:sz w:val="16"/>
          <w:szCs w:val="16"/>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123825</wp:posOffset>
            </wp:positionV>
            <wp:extent cx="699516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4" w:name="page45"/>
    <w:bookmarkEnd w:id="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6"/>
          <w:szCs w:val="16"/>
          <w:color w:val="342C82"/>
        </w:rPr>
        <w:t>Proposal 3: Advisory vote to approve named executive officer compensation</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43"/>
          <w:szCs w:val="43"/>
          <w:color w:val="342C82"/>
        </w:rPr>
        <w:t>Management</w:t>
      </w:r>
    </w:p>
    <w:p>
      <w:pPr>
        <w:spacing w:after="0" w:line="298" w:lineRule="exact"/>
        <w:rPr>
          <w:sz w:val="20"/>
          <w:szCs w:val="20"/>
          <w:color w:val="auto"/>
        </w:rPr>
      </w:pPr>
    </w:p>
    <w:p>
      <w:pPr>
        <w:ind w:left="300"/>
        <w:spacing w:after="0"/>
        <w:rPr>
          <w:sz w:val="20"/>
          <w:szCs w:val="20"/>
          <w:color w:val="auto"/>
        </w:rPr>
      </w:pPr>
      <w:r>
        <w:rPr>
          <w:rFonts w:ascii="Arial" w:cs="Arial" w:eastAsia="Arial" w:hAnsi="Arial"/>
          <w:sz w:val="29"/>
          <w:szCs w:val="29"/>
          <w:color w:val="auto"/>
        </w:rPr>
        <w:t>Senior leadership</w:t>
      </w:r>
    </w:p>
    <w:p>
      <w:pPr>
        <w:spacing w:after="0" w:line="144" w:lineRule="exact"/>
        <w:rPr>
          <w:sz w:val="20"/>
          <w:szCs w:val="20"/>
          <w:color w:val="auto"/>
        </w:rPr>
      </w:pPr>
    </w:p>
    <w:p>
      <w:pPr>
        <w:ind w:left="300" w:right="399"/>
        <w:spacing w:after="0" w:line="266" w:lineRule="auto"/>
        <w:rPr>
          <w:sz w:val="20"/>
          <w:szCs w:val="20"/>
          <w:color w:val="auto"/>
        </w:rPr>
      </w:pPr>
      <w:r>
        <w:rPr>
          <w:rFonts w:ascii="Arial" w:cs="Arial" w:eastAsia="Arial" w:hAnsi="Arial"/>
          <w:sz w:val="16"/>
          <w:szCs w:val="16"/>
          <w:color w:val="auto"/>
        </w:rPr>
        <w:t>The following table sets forth information regarding the individuals who are currently serving on the senior leadership team of Embecta. One member of Embecta’s senior leadership team, Devdatt (Dev) Kurdikar, also holds a position as a member of Embecta’s Board.</w:t>
      </w:r>
    </w:p>
    <w:p>
      <w:pPr>
        <w:spacing w:after="0" w:line="171" w:lineRule="exact"/>
        <w:rPr>
          <w:sz w:val="20"/>
          <w:szCs w:val="20"/>
          <w:color w:val="auto"/>
        </w:rPr>
      </w:pPr>
    </w:p>
    <w:tbl>
      <w:tblPr>
        <w:tblLayout w:type="fixed"/>
        <w:tblInd w:w="300" w:type="dxa"/>
        <w:tblCellMar>
          <w:top w:w="0" w:type="dxa"/>
          <w:left w:w="0" w:type="dxa"/>
          <w:bottom w:w="0" w:type="dxa"/>
          <w:right w:w="0" w:type="dxa"/>
        </w:tblCellMar>
      </w:tblPr>
      <w:tr>
        <w:trPr>
          <w:trHeight w:val="223"/>
        </w:trPr>
        <w:tc>
          <w:tcPr>
            <w:tcW w:w="2280" w:type="dxa"/>
            <w:vAlign w:val="bottom"/>
          </w:tcPr>
          <w:p>
            <w:pPr>
              <w:ind w:left="160"/>
              <w:spacing w:after="0"/>
              <w:rPr>
                <w:sz w:val="20"/>
                <w:szCs w:val="20"/>
                <w:color w:val="auto"/>
              </w:rPr>
            </w:pPr>
            <w:r>
              <w:rPr>
                <w:rFonts w:ascii="Arial" w:cs="Arial" w:eastAsia="Arial" w:hAnsi="Arial"/>
                <w:sz w:val="16"/>
                <w:szCs w:val="16"/>
                <w:b w:val="1"/>
                <w:bCs w:val="1"/>
                <w:color w:val="auto"/>
              </w:rPr>
              <w:t>Name</w:t>
            </w:r>
          </w:p>
        </w:tc>
        <w:tc>
          <w:tcPr>
            <w:tcW w:w="6140" w:type="dxa"/>
            <w:vAlign w:val="bottom"/>
          </w:tcPr>
          <w:p>
            <w:pPr>
              <w:ind w:left="300"/>
              <w:spacing w:after="0"/>
              <w:rPr>
                <w:sz w:val="20"/>
                <w:szCs w:val="20"/>
                <w:color w:val="auto"/>
              </w:rPr>
            </w:pPr>
            <w:r>
              <w:rPr>
                <w:rFonts w:ascii="Arial" w:cs="Arial" w:eastAsia="Arial" w:hAnsi="Arial"/>
                <w:sz w:val="16"/>
                <w:szCs w:val="16"/>
                <w:b w:val="1"/>
                <w:bCs w:val="1"/>
                <w:color w:val="auto"/>
              </w:rPr>
              <w:t>Position</w:t>
            </w:r>
          </w:p>
        </w:tc>
      </w:tr>
      <w:tr>
        <w:trPr>
          <w:trHeight w:val="21"/>
        </w:trPr>
        <w:tc>
          <w:tcPr>
            <w:tcW w:w="2280" w:type="dxa"/>
            <w:vAlign w:val="bottom"/>
            <w:tcBorders>
              <w:bottom w:val="single" w:sz="8" w:color="342C82"/>
            </w:tcBorders>
          </w:tcPr>
          <w:p>
            <w:pPr>
              <w:spacing w:after="0" w:line="20" w:lineRule="exact"/>
              <w:rPr>
                <w:sz w:val="1"/>
                <w:szCs w:val="1"/>
                <w:color w:val="auto"/>
              </w:rPr>
            </w:pPr>
          </w:p>
        </w:tc>
        <w:tc>
          <w:tcPr>
            <w:tcW w:w="6140" w:type="dxa"/>
            <w:vAlign w:val="bottom"/>
            <w:tcBorders>
              <w:bottom w:val="single" w:sz="8" w:color="342C82"/>
            </w:tcBorders>
          </w:tcPr>
          <w:p>
            <w:pPr>
              <w:spacing w:after="0" w:line="20" w:lineRule="exact"/>
              <w:rPr>
                <w:sz w:val="1"/>
                <w:szCs w:val="1"/>
                <w:color w:val="auto"/>
              </w:rPr>
            </w:pPr>
          </w:p>
        </w:tc>
      </w:tr>
      <w:tr>
        <w:trPr>
          <w:trHeight w:val="233"/>
        </w:trPr>
        <w:tc>
          <w:tcPr>
            <w:tcW w:w="2280" w:type="dxa"/>
            <w:vAlign w:val="bottom"/>
            <w:tcBorders>
              <w:bottom w:val="single" w:sz="8" w:color="808080"/>
            </w:tcBorders>
          </w:tcPr>
          <w:p>
            <w:pPr>
              <w:ind w:left="160"/>
              <w:spacing w:after="0"/>
              <w:rPr>
                <w:sz w:val="20"/>
                <w:szCs w:val="20"/>
                <w:color w:val="auto"/>
              </w:rPr>
            </w:pPr>
            <w:r>
              <w:rPr>
                <w:rFonts w:ascii="Arial" w:cs="Arial" w:eastAsia="Arial" w:hAnsi="Arial"/>
                <w:sz w:val="16"/>
                <w:szCs w:val="16"/>
                <w:b w:val="1"/>
                <w:bCs w:val="1"/>
                <w:color w:val="342C82"/>
              </w:rPr>
              <w:t>Devdatt (Dev) Kurdikar*</w:t>
            </w:r>
          </w:p>
        </w:tc>
        <w:tc>
          <w:tcPr>
            <w:tcW w:w="6140" w:type="dxa"/>
            <w:vAlign w:val="bottom"/>
            <w:tcBorders>
              <w:bottom w:val="single" w:sz="8" w:color="808080"/>
            </w:tcBorders>
          </w:tcPr>
          <w:p>
            <w:pPr>
              <w:ind w:left="300"/>
              <w:spacing w:after="0"/>
              <w:rPr>
                <w:sz w:val="20"/>
                <w:szCs w:val="20"/>
                <w:color w:val="auto"/>
              </w:rPr>
            </w:pPr>
            <w:r>
              <w:rPr>
                <w:rFonts w:ascii="Arial" w:cs="Arial" w:eastAsia="Arial" w:hAnsi="Arial"/>
                <w:sz w:val="16"/>
                <w:szCs w:val="16"/>
                <w:color w:val="auto"/>
              </w:rPr>
              <w:t>President and Chief Executive Officer</w:t>
            </w:r>
          </w:p>
        </w:tc>
      </w:tr>
      <w:tr>
        <w:trPr>
          <w:trHeight w:val="237"/>
        </w:trPr>
        <w:tc>
          <w:tcPr>
            <w:tcW w:w="2280" w:type="dxa"/>
            <w:vAlign w:val="bottom"/>
            <w:tcBorders>
              <w:bottom w:val="single" w:sz="8" w:color="808080"/>
            </w:tcBorders>
          </w:tcPr>
          <w:p>
            <w:pPr>
              <w:ind w:left="160"/>
              <w:spacing w:after="0"/>
              <w:rPr>
                <w:sz w:val="20"/>
                <w:szCs w:val="20"/>
                <w:color w:val="auto"/>
              </w:rPr>
            </w:pPr>
            <w:r>
              <w:rPr>
                <w:rFonts w:ascii="Arial" w:cs="Arial" w:eastAsia="Arial" w:hAnsi="Arial"/>
                <w:sz w:val="16"/>
                <w:szCs w:val="16"/>
                <w:b w:val="1"/>
                <w:bCs w:val="1"/>
                <w:color w:val="342C82"/>
              </w:rPr>
              <w:t>Jacob (Jake) Elguicze*</w:t>
            </w:r>
          </w:p>
        </w:tc>
        <w:tc>
          <w:tcPr>
            <w:tcW w:w="6140" w:type="dxa"/>
            <w:vAlign w:val="bottom"/>
            <w:tcBorders>
              <w:bottom w:val="single" w:sz="8" w:color="808080"/>
            </w:tcBorders>
          </w:tcPr>
          <w:p>
            <w:pPr>
              <w:ind w:left="300"/>
              <w:spacing w:after="0"/>
              <w:rPr>
                <w:sz w:val="20"/>
                <w:szCs w:val="20"/>
                <w:color w:val="auto"/>
              </w:rPr>
            </w:pPr>
            <w:r>
              <w:rPr>
                <w:rFonts w:ascii="Arial" w:cs="Arial" w:eastAsia="Arial" w:hAnsi="Arial"/>
                <w:sz w:val="16"/>
                <w:szCs w:val="16"/>
                <w:color w:val="auto"/>
              </w:rPr>
              <w:t>Senior Vice President and Chief Financial Officer</w:t>
            </w:r>
          </w:p>
        </w:tc>
      </w:tr>
      <w:tr>
        <w:trPr>
          <w:trHeight w:val="236"/>
        </w:trPr>
        <w:tc>
          <w:tcPr>
            <w:tcW w:w="2280" w:type="dxa"/>
            <w:vAlign w:val="bottom"/>
            <w:tcBorders>
              <w:bottom w:val="single" w:sz="8" w:color="808080"/>
            </w:tcBorders>
          </w:tcPr>
          <w:p>
            <w:pPr>
              <w:ind w:left="160"/>
              <w:spacing w:after="0"/>
              <w:rPr>
                <w:sz w:val="20"/>
                <w:szCs w:val="20"/>
                <w:color w:val="auto"/>
              </w:rPr>
            </w:pPr>
            <w:r>
              <w:rPr>
                <w:rFonts w:ascii="Arial" w:cs="Arial" w:eastAsia="Arial" w:hAnsi="Arial"/>
                <w:sz w:val="16"/>
                <w:szCs w:val="16"/>
                <w:b w:val="1"/>
                <w:bCs w:val="1"/>
                <w:color w:val="342C82"/>
              </w:rPr>
              <w:t>Ginny Blocki</w:t>
            </w:r>
          </w:p>
        </w:tc>
        <w:tc>
          <w:tcPr>
            <w:tcW w:w="6140" w:type="dxa"/>
            <w:vAlign w:val="bottom"/>
            <w:tcBorders>
              <w:bottom w:val="single" w:sz="8" w:color="808080"/>
            </w:tcBorders>
          </w:tcPr>
          <w:p>
            <w:pPr>
              <w:ind w:left="300"/>
              <w:spacing w:after="0"/>
              <w:rPr>
                <w:sz w:val="20"/>
                <w:szCs w:val="20"/>
                <w:color w:val="auto"/>
              </w:rPr>
            </w:pPr>
            <w:r>
              <w:rPr>
                <w:rFonts w:ascii="Arial" w:cs="Arial" w:eastAsia="Arial" w:hAnsi="Arial"/>
                <w:sz w:val="16"/>
                <w:szCs w:val="16"/>
                <w:color w:val="auto"/>
              </w:rPr>
              <w:t>Senior Vice President, Product Management and Global Marketing</w:t>
            </w:r>
          </w:p>
        </w:tc>
      </w:tr>
      <w:tr>
        <w:trPr>
          <w:trHeight w:val="237"/>
        </w:trPr>
        <w:tc>
          <w:tcPr>
            <w:tcW w:w="2280" w:type="dxa"/>
            <w:vAlign w:val="bottom"/>
            <w:tcBorders>
              <w:bottom w:val="single" w:sz="8" w:color="808080"/>
            </w:tcBorders>
          </w:tcPr>
          <w:p>
            <w:pPr>
              <w:ind w:left="160"/>
              <w:spacing w:after="0"/>
              <w:rPr>
                <w:sz w:val="20"/>
                <w:szCs w:val="20"/>
                <w:color w:val="auto"/>
              </w:rPr>
            </w:pPr>
            <w:r>
              <w:rPr>
                <w:rFonts w:ascii="Arial" w:cs="Arial" w:eastAsia="Arial" w:hAnsi="Arial"/>
                <w:sz w:val="16"/>
                <w:szCs w:val="16"/>
                <w:b w:val="1"/>
                <w:bCs w:val="1"/>
                <w:color w:val="342C82"/>
              </w:rPr>
              <w:t>Tom Blount</w:t>
            </w:r>
          </w:p>
        </w:tc>
        <w:tc>
          <w:tcPr>
            <w:tcW w:w="6140" w:type="dxa"/>
            <w:vAlign w:val="bottom"/>
            <w:tcBorders>
              <w:bottom w:val="single" w:sz="8" w:color="808080"/>
            </w:tcBorders>
          </w:tcPr>
          <w:p>
            <w:pPr>
              <w:ind w:left="300"/>
              <w:spacing w:after="0"/>
              <w:rPr>
                <w:sz w:val="20"/>
                <w:szCs w:val="20"/>
                <w:color w:val="auto"/>
              </w:rPr>
            </w:pPr>
            <w:r>
              <w:rPr>
                <w:rFonts w:ascii="Arial" w:cs="Arial" w:eastAsia="Arial" w:hAnsi="Arial"/>
                <w:sz w:val="16"/>
                <w:szCs w:val="16"/>
                <w:color w:val="auto"/>
              </w:rPr>
              <w:t>Senior Vice President and President, North America</w:t>
            </w:r>
          </w:p>
        </w:tc>
      </w:tr>
      <w:tr>
        <w:trPr>
          <w:trHeight w:val="237"/>
        </w:trPr>
        <w:tc>
          <w:tcPr>
            <w:tcW w:w="2280" w:type="dxa"/>
            <w:vAlign w:val="bottom"/>
            <w:tcBorders>
              <w:bottom w:val="single" w:sz="8" w:color="808080"/>
            </w:tcBorders>
          </w:tcPr>
          <w:p>
            <w:pPr>
              <w:ind w:left="160"/>
              <w:spacing w:after="0"/>
              <w:rPr>
                <w:sz w:val="20"/>
                <w:szCs w:val="20"/>
                <w:color w:val="auto"/>
              </w:rPr>
            </w:pPr>
            <w:r>
              <w:rPr>
                <w:rFonts w:ascii="Arial" w:cs="Arial" w:eastAsia="Arial" w:hAnsi="Arial"/>
                <w:sz w:val="16"/>
                <w:szCs w:val="16"/>
                <w:b w:val="1"/>
                <w:bCs w:val="1"/>
                <w:color w:val="342C82"/>
              </w:rPr>
              <w:t>Shaun Curtis*</w:t>
            </w:r>
          </w:p>
        </w:tc>
        <w:tc>
          <w:tcPr>
            <w:tcW w:w="6140" w:type="dxa"/>
            <w:vAlign w:val="bottom"/>
            <w:tcBorders>
              <w:bottom w:val="single" w:sz="8" w:color="808080"/>
            </w:tcBorders>
          </w:tcPr>
          <w:p>
            <w:pPr>
              <w:ind w:left="300"/>
              <w:spacing w:after="0"/>
              <w:rPr>
                <w:sz w:val="20"/>
                <w:szCs w:val="20"/>
                <w:color w:val="auto"/>
              </w:rPr>
            </w:pPr>
            <w:r>
              <w:rPr>
                <w:rFonts w:ascii="Arial" w:cs="Arial" w:eastAsia="Arial" w:hAnsi="Arial"/>
                <w:sz w:val="16"/>
                <w:szCs w:val="16"/>
                <w:color w:val="auto"/>
              </w:rPr>
              <w:t>Senior Vice President, Global Manufacturing, Supply Chain and Quality</w:t>
            </w:r>
          </w:p>
        </w:tc>
      </w:tr>
      <w:tr>
        <w:trPr>
          <w:trHeight w:val="237"/>
        </w:trPr>
        <w:tc>
          <w:tcPr>
            <w:tcW w:w="2280" w:type="dxa"/>
            <w:vAlign w:val="bottom"/>
            <w:tcBorders>
              <w:bottom w:val="single" w:sz="8" w:color="808080"/>
            </w:tcBorders>
          </w:tcPr>
          <w:p>
            <w:pPr>
              <w:ind w:left="160"/>
              <w:spacing w:after="0"/>
              <w:rPr>
                <w:sz w:val="20"/>
                <w:szCs w:val="20"/>
                <w:color w:val="auto"/>
              </w:rPr>
            </w:pPr>
            <w:r>
              <w:rPr>
                <w:rFonts w:ascii="Arial" w:cs="Arial" w:eastAsia="Arial" w:hAnsi="Arial"/>
                <w:sz w:val="16"/>
                <w:szCs w:val="16"/>
                <w:b w:val="1"/>
                <w:bCs w:val="1"/>
                <w:color w:val="342C82"/>
              </w:rPr>
              <w:t>Jean Casner*</w:t>
            </w:r>
          </w:p>
        </w:tc>
        <w:tc>
          <w:tcPr>
            <w:tcW w:w="6140" w:type="dxa"/>
            <w:vAlign w:val="bottom"/>
            <w:tcBorders>
              <w:bottom w:val="single" w:sz="8" w:color="808080"/>
            </w:tcBorders>
          </w:tcPr>
          <w:p>
            <w:pPr>
              <w:ind w:left="300"/>
              <w:spacing w:after="0"/>
              <w:rPr>
                <w:sz w:val="20"/>
                <w:szCs w:val="20"/>
                <w:color w:val="auto"/>
              </w:rPr>
            </w:pPr>
            <w:r>
              <w:rPr>
                <w:rFonts w:ascii="Arial" w:cs="Arial" w:eastAsia="Arial" w:hAnsi="Arial"/>
                <w:sz w:val="16"/>
                <w:szCs w:val="16"/>
                <w:color w:val="auto"/>
              </w:rPr>
              <w:t>Senior Vice President and Chief Human Resources Officer</w:t>
            </w:r>
          </w:p>
        </w:tc>
      </w:tr>
      <w:tr>
        <w:trPr>
          <w:trHeight w:val="236"/>
        </w:trPr>
        <w:tc>
          <w:tcPr>
            <w:tcW w:w="2280" w:type="dxa"/>
            <w:vAlign w:val="bottom"/>
            <w:tcBorders>
              <w:bottom w:val="single" w:sz="8" w:color="808080"/>
            </w:tcBorders>
          </w:tcPr>
          <w:p>
            <w:pPr>
              <w:ind w:left="160"/>
              <w:spacing w:after="0"/>
              <w:rPr>
                <w:sz w:val="20"/>
                <w:szCs w:val="20"/>
                <w:color w:val="auto"/>
              </w:rPr>
            </w:pPr>
            <w:r>
              <w:rPr>
                <w:rFonts w:ascii="Arial" w:cs="Arial" w:eastAsia="Arial" w:hAnsi="Arial"/>
                <w:sz w:val="16"/>
                <w:szCs w:val="16"/>
                <w:b w:val="1"/>
                <w:bCs w:val="1"/>
                <w:color w:val="342C82"/>
              </w:rPr>
              <w:t>Jeff Mann*</w:t>
            </w:r>
          </w:p>
        </w:tc>
        <w:tc>
          <w:tcPr>
            <w:tcW w:w="6140" w:type="dxa"/>
            <w:vAlign w:val="bottom"/>
            <w:tcBorders>
              <w:bottom w:val="single" w:sz="8" w:color="808080"/>
            </w:tcBorders>
          </w:tcPr>
          <w:p>
            <w:pPr>
              <w:ind w:left="300"/>
              <w:spacing w:after="0"/>
              <w:rPr>
                <w:sz w:val="20"/>
                <w:szCs w:val="20"/>
                <w:color w:val="auto"/>
              </w:rPr>
            </w:pPr>
            <w:r>
              <w:rPr>
                <w:rFonts w:ascii="Arial" w:cs="Arial" w:eastAsia="Arial" w:hAnsi="Arial"/>
                <w:sz w:val="16"/>
                <w:szCs w:val="16"/>
                <w:color w:val="auto"/>
              </w:rPr>
              <w:t>Senior Vice President, General Counsel and Product Development</w:t>
            </w:r>
          </w:p>
        </w:tc>
      </w:tr>
      <w:tr>
        <w:trPr>
          <w:trHeight w:val="237"/>
        </w:trPr>
        <w:tc>
          <w:tcPr>
            <w:tcW w:w="2280" w:type="dxa"/>
            <w:vAlign w:val="bottom"/>
            <w:tcBorders>
              <w:bottom w:val="single" w:sz="8" w:color="808080"/>
            </w:tcBorders>
          </w:tcPr>
          <w:p>
            <w:pPr>
              <w:ind w:left="160"/>
              <w:spacing w:after="0"/>
              <w:rPr>
                <w:sz w:val="20"/>
                <w:szCs w:val="20"/>
                <w:color w:val="auto"/>
              </w:rPr>
            </w:pPr>
            <w:r>
              <w:rPr>
                <w:rFonts w:ascii="Arial" w:cs="Arial" w:eastAsia="Arial" w:hAnsi="Arial"/>
                <w:sz w:val="16"/>
                <w:szCs w:val="16"/>
                <w:b w:val="1"/>
                <w:bCs w:val="1"/>
                <w:color w:val="342C82"/>
              </w:rPr>
              <w:t>Slobodan Radumilo</w:t>
            </w:r>
          </w:p>
        </w:tc>
        <w:tc>
          <w:tcPr>
            <w:tcW w:w="6140" w:type="dxa"/>
            <w:vAlign w:val="bottom"/>
            <w:tcBorders>
              <w:bottom w:val="single" w:sz="8" w:color="808080"/>
            </w:tcBorders>
          </w:tcPr>
          <w:p>
            <w:pPr>
              <w:ind w:left="300"/>
              <w:spacing w:after="0"/>
              <w:rPr>
                <w:sz w:val="20"/>
                <w:szCs w:val="20"/>
                <w:color w:val="auto"/>
              </w:rPr>
            </w:pPr>
            <w:r>
              <w:rPr>
                <w:rFonts w:ascii="Arial" w:cs="Arial" w:eastAsia="Arial" w:hAnsi="Arial"/>
                <w:sz w:val="16"/>
                <w:szCs w:val="16"/>
                <w:color w:val="auto"/>
              </w:rPr>
              <w:t>Senior Vice President and President, International</w:t>
            </w:r>
          </w:p>
        </w:tc>
      </w:tr>
      <w:tr>
        <w:trPr>
          <w:trHeight w:val="227"/>
        </w:trPr>
        <w:tc>
          <w:tcPr>
            <w:tcW w:w="2280" w:type="dxa"/>
            <w:vAlign w:val="bottom"/>
            <w:tcBorders>
              <w:bottom w:val="single" w:sz="8" w:color="342C82"/>
            </w:tcBorders>
          </w:tcPr>
          <w:p>
            <w:pPr>
              <w:ind w:left="160"/>
              <w:spacing w:after="0"/>
              <w:rPr>
                <w:sz w:val="20"/>
                <w:szCs w:val="20"/>
                <w:color w:val="auto"/>
              </w:rPr>
            </w:pPr>
            <w:r>
              <w:rPr>
                <w:rFonts w:ascii="Arial" w:cs="Arial" w:eastAsia="Arial" w:hAnsi="Arial"/>
                <w:sz w:val="16"/>
                <w:szCs w:val="16"/>
                <w:b w:val="1"/>
                <w:bCs w:val="1"/>
                <w:color w:val="342C82"/>
              </w:rPr>
              <w:t>Colleen Riley</w:t>
            </w:r>
          </w:p>
        </w:tc>
        <w:tc>
          <w:tcPr>
            <w:tcW w:w="6140" w:type="dxa"/>
            <w:vAlign w:val="bottom"/>
            <w:tcBorders>
              <w:bottom w:val="single" w:sz="8" w:color="342C82"/>
            </w:tcBorders>
          </w:tcPr>
          <w:p>
            <w:pPr>
              <w:ind w:left="300"/>
              <w:spacing w:after="0"/>
              <w:rPr>
                <w:sz w:val="20"/>
                <w:szCs w:val="20"/>
                <w:color w:val="auto"/>
              </w:rPr>
            </w:pPr>
            <w:r>
              <w:rPr>
                <w:rFonts w:ascii="Arial" w:cs="Arial" w:eastAsia="Arial" w:hAnsi="Arial"/>
                <w:sz w:val="16"/>
                <w:szCs w:val="16"/>
                <w:color w:val="auto"/>
              </w:rPr>
              <w:t>Senior Vice President and Chief Technology Officer</w:t>
            </w:r>
          </w:p>
        </w:tc>
      </w:tr>
    </w:tbl>
    <w:p>
      <w:pPr>
        <w:spacing w:after="0" w:line="166" w:lineRule="exact"/>
        <w:rPr>
          <w:sz w:val="20"/>
          <w:szCs w:val="20"/>
          <w:color w:val="auto"/>
        </w:rPr>
      </w:pPr>
    </w:p>
    <w:p>
      <w:pPr>
        <w:ind w:left="420" w:right="799" w:hanging="128"/>
        <w:spacing w:after="0" w:line="285" w:lineRule="auto"/>
        <w:tabs>
          <w:tab w:leader="none" w:pos="4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This senior leadership member has been designated as an “executive officer” under Item 401 of Regulation S-K (17 CFR § 229.401).</w:t>
      </w:r>
    </w:p>
    <w:p>
      <w:pPr>
        <w:spacing w:after="0" w:line="99" w:lineRule="exact"/>
        <w:rPr>
          <w:sz w:val="20"/>
          <w:szCs w:val="20"/>
          <w:color w:val="auto"/>
        </w:rPr>
      </w:pPr>
    </w:p>
    <w:p>
      <w:pPr>
        <w:ind w:left="300" w:right="999"/>
        <w:spacing w:after="0" w:line="286" w:lineRule="auto"/>
        <w:rPr>
          <w:sz w:val="20"/>
          <w:szCs w:val="20"/>
          <w:color w:val="auto"/>
        </w:rPr>
      </w:pPr>
      <w:r>
        <w:rPr>
          <w:rFonts w:ascii="Arial" w:cs="Arial" w:eastAsia="Arial" w:hAnsi="Arial"/>
          <w:sz w:val="16"/>
          <w:szCs w:val="16"/>
          <w:color w:val="auto"/>
        </w:rPr>
        <w:t>Biography for Devdatt (Dev) Kurdikar is provided above in “Directors whose terms expire at the 2025 annual stockholder meeting.”</w:t>
      </w:r>
    </w:p>
    <w:p>
      <w:pPr>
        <w:spacing w:after="0" w:line="102" w:lineRule="exact"/>
        <w:rPr>
          <w:sz w:val="20"/>
          <w:szCs w:val="20"/>
          <w:color w:val="auto"/>
        </w:rPr>
      </w:pPr>
    </w:p>
    <w:p>
      <w:pPr>
        <w:ind w:left="300" w:right="379"/>
        <w:spacing w:after="0" w:line="251" w:lineRule="auto"/>
        <w:rPr>
          <w:sz w:val="20"/>
          <w:szCs w:val="20"/>
          <w:color w:val="auto"/>
        </w:rPr>
      </w:pPr>
      <w:r>
        <w:rPr>
          <w:rFonts w:ascii="Arial" w:cs="Arial" w:eastAsia="Arial" w:hAnsi="Arial"/>
          <w:sz w:val="16"/>
          <w:szCs w:val="16"/>
          <w:b w:val="1"/>
          <w:bCs w:val="1"/>
          <w:i w:val="1"/>
          <w:iCs w:val="1"/>
          <w:color w:val="auto"/>
        </w:rPr>
        <w:t>Jacob (Jake) Elguicze</w:t>
      </w:r>
      <w:r>
        <w:rPr>
          <w:rFonts w:ascii="Arial" w:cs="Arial" w:eastAsia="Arial" w:hAnsi="Arial"/>
          <w:sz w:val="16"/>
          <w:szCs w:val="16"/>
          <w:color w:val="auto"/>
        </w:rPr>
        <w:t>, 51, serves as Senior Vice President and Chief Financial Officer, prior to which he served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Senior Vice President, Finance of Diabetes Care at BD until the Separation. Previously, Jake was the Treasurer and Vice President of Investor Relations of Teleflex Incorporated (NYSE: TFX), a global provider of medical technologies designed to improve the health and quality of people’s lives. Before assuming the role of Treasurer and Vice President of Investor Relations, Jake was the Vice President of Financial Planning and Analysis at Teleflex. Prior to that role, Jake worked at Motorola, Inc. in a variety of corporate finance roles of increasing responsibility, including most recently the Director of Finance for one of Motorola’s strategic business units. Before joining Motorola, Jake served as an auditor for PricewaterhouseCoopers, LLP. Jake holds a Bachelor of Science degree in Accounting from the University of Scranton and a Master of Business Administration degree from Saint Joseph’s University.</w:t>
      </w:r>
    </w:p>
    <w:p>
      <w:pPr>
        <w:spacing w:after="0" w:line="131" w:lineRule="exact"/>
        <w:rPr>
          <w:sz w:val="20"/>
          <w:szCs w:val="20"/>
          <w:color w:val="auto"/>
        </w:rPr>
      </w:pPr>
    </w:p>
    <w:p>
      <w:pPr>
        <w:ind w:left="300" w:right="579"/>
        <w:spacing w:after="0" w:line="252" w:lineRule="auto"/>
        <w:rPr>
          <w:sz w:val="20"/>
          <w:szCs w:val="20"/>
          <w:color w:val="auto"/>
        </w:rPr>
      </w:pPr>
      <w:r>
        <w:rPr>
          <w:rFonts w:ascii="Arial" w:cs="Arial" w:eastAsia="Arial" w:hAnsi="Arial"/>
          <w:sz w:val="16"/>
          <w:szCs w:val="16"/>
          <w:b w:val="1"/>
          <w:bCs w:val="1"/>
          <w:i w:val="1"/>
          <w:iCs w:val="1"/>
          <w:color w:val="auto"/>
        </w:rPr>
        <w:t xml:space="preserve">Ginny Blocki </w:t>
      </w:r>
      <w:r>
        <w:rPr>
          <w:rFonts w:ascii="Arial" w:cs="Arial" w:eastAsia="Arial" w:hAnsi="Arial"/>
          <w:sz w:val="16"/>
          <w:szCs w:val="16"/>
          <w:color w:val="auto"/>
        </w:rPr>
        <w:t>serves as Senior Vice President, Product Management and Global Marketing, prior to which she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served as Senior Vice President, Product Management and Global Marketing of Diabetes Care at BD prior to the Separation, a position she had held since October 2021. Prior to that, Ginny was head of U.S. medication delivery marketing for Baxter International Inc. (NYSE: BAX) until 2021, and before that held leadership roles with Assertio Therapeutics, Inc. (Nasdaq: ASRT) until 2020, Abbott Laboratories (NYSE: ABT) until 2018, and prior to that at Baxalta (which was later acquired by Shire PLC ADR (Nasdaq: SHPC)). She has a Bachelor of Science degree in finance from Indiana University and completed the Executive Scholar Program in General Management at Kellogg School of Management, Northwestern University.</w:t>
      </w:r>
    </w:p>
    <w:p>
      <w:pPr>
        <w:spacing w:after="0" w:line="129" w:lineRule="exact"/>
        <w:rPr>
          <w:sz w:val="20"/>
          <w:szCs w:val="20"/>
          <w:color w:val="auto"/>
        </w:rPr>
      </w:pPr>
    </w:p>
    <w:p>
      <w:pPr>
        <w:ind w:left="300" w:right="459"/>
        <w:spacing w:after="0" w:line="254" w:lineRule="auto"/>
        <w:rPr>
          <w:sz w:val="20"/>
          <w:szCs w:val="20"/>
          <w:color w:val="auto"/>
        </w:rPr>
      </w:pPr>
      <w:r>
        <w:rPr>
          <w:rFonts w:ascii="Arial" w:cs="Arial" w:eastAsia="Arial" w:hAnsi="Arial"/>
          <w:sz w:val="16"/>
          <w:szCs w:val="16"/>
          <w:b w:val="1"/>
          <w:bCs w:val="1"/>
          <w:i w:val="1"/>
          <w:iCs w:val="1"/>
          <w:color w:val="auto"/>
        </w:rPr>
        <w:t>Tom Blount</w:t>
      </w:r>
      <w:r>
        <w:rPr>
          <w:rFonts w:ascii="Arial" w:cs="Arial" w:eastAsia="Arial" w:hAnsi="Arial"/>
          <w:sz w:val="16"/>
          <w:szCs w:val="16"/>
          <w:color w:val="auto"/>
        </w:rPr>
        <w:t>, 51, serves as Senior Vice President and President, North America. Previously, Tom joined BD in 2016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served as Vice President and General Manager, U.S. Diabetes Care, from May 2020 until the Separation. Prior to BD, he spent 16 years in roles of increasing leadership responsibility at Sanofi S.A. (Nasdaq: SNY) following five years on active duty in the U.S. Army. He holds a Bachelor of Science degree in German/French from the United States Military Academy at West Point and a Master of Science degree in International Relations from Troy University – European Campus.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123825</wp:posOffset>
            </wp:positionV>
            <wp:extent cx="699516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5" w:name="page46"/>
    <w:bookmarkEnd w:id="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3260"/>
        <w:spacing w:after="0"/>
        <w:rPr>
          <w:sz w:val="20"/>
          <w:szCs w:val="20"/>
          <w:color w:val="auto"/>
        </w:rPr>
      </w:pPr>
      <w:r>
        <w:rPr>
          <w:rFonts w:ascii="Arial" w:cs="Arial" w:eastAsia="Arial" w:hAnsi="Arial"/>
          <w:sz w:val="16"/>
          <w:szCs w:val="16"/>
          <w:color w:val="342C82"/>
        </w:rPr>
        <w:t>Proposal 3: Advisory vote to approve named executive officer compensation</w:t>
      </w:r>
    </w:p>
    <w:p>
      <w:pPr>
        <w:spacing w:after="0" w:line="113" w:lineRule="exact"/>
        <w:rPr>
          <w:sz w:val="20"/>
          <w:szCs w:val="20"/>
          <w:color w:val="auto"/>
        </w:rPr>
      </w:pPr>
    </w:p>
    <w:p>
      <w:pPr>
        <w:ind w:left="300" w:right="339"/>
        <w:spacing w:after="0" w:line="252" w:lineRule="auto"/>
        <w:rPr>
          <w:sz w:val="20"/>
          <w:szCs w:val="20"/>
          <w:color w:val="auto"/>
        </w:rPr>
      </w:pPr>
      <w:r>
        <w:rPr>
          <w:rFonts w:ascii="Arial" w:cs="Arial" w:eastAsia="Arial" w:hAnsi="Arial"/>
          <w:sz w:val="16"/>
          <w:szCs w:val="16"/>
          <w:b w:val="1"/>
          <w:bCs w:val="1"/>
          <w:i w:val="1"/>
          <w:iCs w:val="1"/>
          <w:color w:val="auto"/>
        </w:rPr>
        <w:t>Shaun Curtis</w:t>
      </w:r>
      <w:r>
        <w:rPr>
          <w:rFonts w:ascii="Arial" w:cs="Arial" w:eastAsia="Arial" w:hAnsi="Arial"/>
          <w:sz w:val="16"/>
          <w:szCs w:val="16"/>
          <w:color w:val="auto"/>
        </w:rPr>
        <w:t>, 55, serves as Senior Vice President, Global Manufacturing, Supply Chain and Quality, prior to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 served as the Worldwide Vice President of Operations for Diabetes Care at BD, from 2018 until the Separation. Previously, Shaun was the Manufacturing Director at BD Plymouth, UK (part of the Integrated Diagnostic Solutions Business) since 2012. Prior to joining BD, Shaun was the Engineering Manager at Cooper Standard Automotive, Plymouth, UK. Before his role at Cooper Standard Automotive, Shaun worked at Pall Filtration, UK. Shaun started his career at Rio Tinto Zinc as an underground maintenance engineer. Shaun holds a Master of Business Administration degree from Northampton University, UK. He earned an Honors Degree in Mechanical Engineering from Plymouth University. He also achieved a Higher National Diploma in Mechanical Engineering at Swindon College.</w:t>
      </w:r>
    </w:p>
    <w:p>
      <w:pPr>
        <w:spacing w:after="0" w:line="129" w:lineRule="exact"/>
        <w:rPr>
          <w:sz w:val="20"/>
          <w:szCs w:val="20"/>
          <w:color w:val="auto"/>
        </w:rPr>
      </w:pPr>
    </w:p>
    <w:p>
      <w:pPr>
        <w:ind w:left="300" w:right="339"/>
        <w:spacing w:after="0" w:line="250" w:lineRule="auto"/>
        <w:rPr>
          <w:sz w:val="20"/>
          <w:szCs w:val="20"/>
          <w:color w:val="auto"/>
        </w:rPr>
      </w:pPr>
      <w:r>
        <w:rPr>
          <w:rFonts w:ascii="Arial" w:cs="Arial" w:eastAsia="Arial" w:hAnsi="Arial"/>
          <w:sz w:val="16"/>
          <w:szCs w:val="16"/>
          <w:b w:val="1"/>
          <w:bCs w:val="1"/>
          <w:i w:val="1"/>
          <w:iCs w:val="1"/>
          <w:color w:val="auto"/>
        </w:rPr>
        <w:t>Jean Casner</w:t>
      </w:r>
      <w:r>
        <w:rPr>
          <w:rFonts w:ascii="Arial" w:cs="Arial" w:eastAsia="Arial" w:hAnsi="Arial"/>
          <w:sz w:val="16"/>
          <w:szCs w:val="16"/>
          <w:color w:val="auto"/>
        </w:rPr>
        <w:t>, 66, serves as Senior Vice President and Chief Human Resources Officer, and has over 30 years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global human resources strategy, design and operations experience across a range of industries. Most recently, she served as Senior Vice President and Chief Human Resources Officer for Renalytix, PLC, an emerging in-vitro diagnostic medical device company, where she was responsible for building the HR function in preparation for rapid growth following FDA approval of its groundbreaking diagnostic test, KidneyIntelX.dkd. Prior to Renalytix, Jean served as Senior Vice President &amp; Chief Human Resources Officer of Cantel Medical Corp., a global medical products company focused on infection prevention products. There, she was responsible for the global human capital strategy, encompassing talent development, talent acquisition, succession planning, total rewards, benefits, diversity, equity and inclusion and HR operations. Previously, Jean also held executive HR leadership positions in the areas of HR Operations, executive compensation, total rewards, global mobility, HRIS, HRIT and talent acquisition, at the National Basketball Association (NBA), Merck &amp; Co., The Dial Corporation (now Henkel), Johnson &amp; Johnson, and ORC (now Mercer). Jean holds a Bachelor of Arts degree in English from the University of Virginia.</w:t>
      </w:r>
    </w:p>
    <w:p>
      <w:pPr>
        <w:spacing w:after="0" w:line="130" w:lineRule="exact"/>
        <w:rPr>
          <w:sz w:val="20"/>
          <w:szCs w:val="20"/>
          <w:color w:val="auto"/>
        </w:rPr>
      </w:pPr>
    </w:p>
    <w:p>
      <w:pPr>
        <w:ind w:left="300" w:right="319"/>
        <w:spacing w:after="0" w:line="252" w:lineRule="auto"/>
        <w:rPr>
          <w:sz w:val="20"/>
          <w:szCs w:val="20"/>
          <w:color w:val="auto"/>
        </w:rPr>
      </w:pPr>
      <w:r>
        <w:rPr>
          <w:rFonts w:ascii="Arial" w:cs="Arial" w:eastAsia="Arial" w:hAnsi="Arial"/>
          <w:sz w:val="16"/>
          <w:szCs w:val="16"/>
          <w:b w:val="1"/>
          <w:bCs w:val="1"/>
          <w:i w:val="1"/>
          <w:iCs w:val="1"/>
          <w:color w:val="auto"/>
        </w:rPr>
        <w:t>Jeff Mann</w:t>
      </w:r>
      <w:r>
        <w:rPr>
          <w:rFonts w:ascii="Arial" w:cs="Arial" w:eastAsia="Arial" w:hAnsi="Arial"/>
          <w:sz w:val="16"/>
          <w:szCs w:val="16"/>
          <w:color w:val="auto"/>
        </w:rPr>
        <w:t>, 52, serves as Senior Vice President, General Counsel and Product Development, prior to which 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served as the Senior Vice President, General Counsel and Head of Corporate Development of Diabetes Care at BD until the Separation. Previously, Jeff served as General Counsel and Corporate Secretary of Cantel Medical Corp (Cantel). Prior to Cantel, Jeff spent 14 years with Boston Scientific Corporation in roles including M&amp;A, venture capital investments, SEC and corporate governance, patent strategy, litigation, and business unit support for the Med Surg group. Jeff also served on the Board of Directors of Preventice Solutions and as Chair of its Compensation Committee. Jeff holds a Bachelor of Science degree in Civil and Environmental Engineering from Lafayette College in Easton, PA, and a J.D. from Boston College Law School, </w:t>
      </w:r>
      <w:r>
        <w:rPr>
          <w:rFonts w:ascii="Arial" w:cs="Arial" w:eastAsia="Arial" w:hAnsi="Arial"/>
          <w:sz w:val="16"/>
          <w:szCs w:val="16"/>
          <w:i w:val="1"/>
          <w:iCs w:val="1"/>
          <w:color w:val="auto"/>
        </w:rPr>
        <w:t>magna cum laude</w:t>
      </w:r>
      <w:r>
        <w:rPr>
          <w:rFonts w:ascii="Arial" w:cs="Arial" w:eastAsia="Arial" w:hAnsi="Arial"/>
          <w:sz w:val="16"/>
          <w:szCs w:val="16"/>
          <w:color w:val="auto"/>
        </w:rPr>
        <w:t>.</w:t>
      </w:r>
    </w:p>
    <w:p>
      <w:pPr>
        <w:spacing w:after="0" w:line="129" w:lineRule="exact"/>
        <w:rPr>
          <w:sz w:val="20"/>
          <w:szCs w:val="20"/>
          <w:color w:val="auto"/>
        </w:rPr>
      </w:pPr>
    </w:p>
    <w:p>
      <w:pPr>
        <w:ind w:left="300" w:right="359"/>
        <w:spacing w:after="0" w:line="252" w:lineRule="auto"/>
        <w:rPr>
          <w:sz w:val="20"/>
          <w:szCs w:val="20"/>
          <w:color w:val="auto"/>
        </w:rPr>
      </w:pPr>
      <w:r>
        <w:rPr>
          <w:rFonts w:ascii="Arial" w:cs="Arial" w:eastAsia="Arial" w:hAnsi="Arial"/>
          <w:sz w:val="16"/>
          <w:szCs w:val="16"/>
          <w:b w:val="1"/>
          <w:bCs w:val="1"/>
          <w:i w:val="1"/>
          <w:iCs w:val="1"/>
          <w:color w:val="auto"/>
        </w:rPr>
        <w:t>Slobodan Radumilo</w:t>
      </w:r>
      <w:r>
        <w:rPr>
          <w:rFonts w:ascii="Arial" w:cs="Arial" w:eastAsia="Arial" w:hAnsi="Arial"/>
          <w:sz w:val="16"/>
          <w:szCs w:val="16"/>
          <w:color w:val="auto"/>
        </w:rPr>
        <w:t>, 54, serves as Senior Vice President and President, International, prior to which he was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and General Manager of Diabetes Care for BD in the EMEA region, from 2016 until the Separation. Previously, he held roles of increasing responsibility at Medtronic plc (NYSE: MDT) from 1997 to 2016, most recently as vice president of neuromodulation for Europe and Canada, regional vice president for Central and Eastern Europe and Central Asia, and regional vice president for Central and Eastern Europe, Greece and Israel. He holds a Bachelor of Science degree in Electrical Engineering, a Master of Science degree in Biomedical Engineering and a Diploma in Management from the University of Zagreb in Croatia, as well as a Diploma in Leadership from the Glasgow Caledonian University.</w:t>
      </w:r>
    </w:p>
    <w:p>
      <w:pPr>
        <w:spacing w:after="0" w:line="129" w:lineRule="exact"/>
        <w:rPr>
          <w:sz w:val="20"/>
          <w:szCs w:val="20"/>
          <w:color w:val="auto"/>
        </w:rPr>
      </w:pPr>
    </w:p>
    <w:p>
      <w:pPr>
        <w:jc w:val="both"/>
        <w:ind w:left="300" w:right="319"/>
        <w:spacing w:after="0" w:line="250" w:lineRule="auto"/>
        <w:rPr>
          <w:sz w:val="20"/>
          <w:szCs w:val="20"/>
          <w:color w:val="auto"/>
        </w:rPr>
      </w:pPr>
      <w:r>
        <w:rPr>
          <w:rFonts w:ascii="Arial" w:cs="Arial" w:eastAsia="Arial" w:hAnsi="Arial"/>
          <w:sz w:val="16"/>
          <w:szCs w:val="16"/>
          <w:b w:val="1"/>
          <w:bCs w:val="1"/>
          <w:i w:val="1"/>
          <w:iCs w:val="1"/>
          <w:color w:val="auto"/>
        </w:rPr>
        <w:t>Colleen Riley</w:t>
      </w:r>
      <w:r>
        <w:rPr>
          <w:rFonts w:ascii="Arial" w:cs="Arial" w:eastAsia="Arial" w:hAnsi="Arial"/>
          <w:sz w:val="16"/>
          <w:szCs w:val="16"/>
          <w:color w:val="auto"/>
        </w:rPr>
        <w:t>, 60, serves as Senior Vice President and Chief Technology Officer, prior to which she was Senior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Chief Technology Officer of Diabetes Care at BD from October 2021 until the Separation. Prior to that, she was the senior vice president of innovation and development for Terumo Blood and Cell Technologies since 2019 and previously served in a leadership role at Stryker Orthopedics (NYSE: SYK) from 2014 to 2019. Previously, she served in leadership rules at Novartis International AG (NYSE: NVS), Nexis Vision Inc. and Johnson &amp; Johnson (NYSE:</w:t>
      </w:r>
    </w:p>
    <w:p>
      <w:pPr>
        <w:spacing w:after="0" w:line="3" w:lineRule="exact"/>
        <w:rPr>
          <w:sz w:val="20"/>
          <w:szCs w:val="20"/>
          <w:color w:val="auto"/>
        </w:rPr>
      </w:pPr>
    </w:p>
    <w:p>
      <w:pPr>
        <w:ind w:left="300" w:right="579"/>
        <w:spacing w:after="0" w:line="265" w:lineRule="auto"/>
        <w:rPr>
          <w:sz w:val="20"/>
          <w:szCs w:val="20"/>
          <w:color w:val="auto"/>
        </w:rPr>
      </w:pPr>
      <w:r>
        <w:rPr>
          <w:rFonts w:ascii="Arial" w:cs="Arial" w:eastAsia="Arial" w:hAnsi="Arial"/>
          <w:sz w:val="16"/>
          <w:szCs w:val="16"/>
          <w:color w:val="auto"/>
        </w:rPr>
        <w:t>JNJ). She holds a Bachelor of Arts degree in Chemistry, a Master of Science degree in Physiological Optics and a Doctor of Optometry degree from Indiana University.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123825</wp:posOffset>
            </wp:positionV>
            <wp:extent cx="699516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6" w:name="page47"/>
    <w:bookmarkEnd w:id="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6" w:lineRule="exact"/>
        <w:rPr>
          <w:sz w:val="20"/>
          <w:szCs w:val="20"/>
          <w:color w:val="auto"/>
        </w:rPr>
      </w:pPr>
    </w:p>
    <w:p>
      <w:pPr>
        <w:ind w:left="300"/>
        <w:spacing w:after="0"/>
        <w:rPr>
          <w:sz w:val="20"/>
          <w:szCs w:val="20"/>
          <w:color w:val="auto"/>
        </w:rPr>
      </w:pPr>
      <w:r>
        <w:rPr>
          <w:rFonts w:ascii="Arial" w:cs="Arial" w:eastAsia="Arial" w:hAnsi="Arial"/>
          <w:sz w:val="43"/>
          <w:szCs w:val="43"/>
          <w:color w:val="342C82"/>
        </w:rPr>
        <w:t>Compensation Discussion and Analysis</w:t>
      </w:r>
    </w:p>
    <w:p>
      <w:pPr>
        <w:spacing w:after="0" w:line="298" w:lineRule="exact"/>
        <w:rPr>
          <w:sz w:val="20"/>
          <w:szCs w:val="20"/>
          <w:color w:val="auto"/>
        </w:rPr>
      </w:pPr>
    </w:p>
    <w:p>
      <w:pPr>
        <w:ind w:left="300"/>
        <w:spacing w:after="0"/>
        <w:rPr>
          <w:sz w:val="20"/>
          <w:szCs w:val="20"/>
          <w:color w:val="auto"/>
        </w:rPr>
      </w:pPr>
      <w:r>
        <w:rPr>
          <w:rFonts w:ascii="Arial" w:cs="Arial" w:eastAsia="Arial" w:hAnsi="Arial"/>
          <w:sz w:val="29"/>
          <w:szCs w:val="29"/>
          <w:color w:val="auto"/>
        </w:rPr>
        <w:t>Introduction</w:t>
      </w:r>
    </w:p>
    <w:p>
      <w:pPr>
        <w:spacing w:after="0" w:line="144" w:lineRule="exact"/>
        <w:rPr>
          <w:sz w:val="20"/>
          <w:szCs w:val="20"/>
          <w:color w:val="auto"/>
        </w:rPr>
      </w:pPr>
    </w:p>
    <w:p>
      <w:pPr>
        <w:ind w:left="300" w:right="359"/>
        <w:spacing w:after="0" w:line="266" w:lineRule="auto"/>
        <w:rPr>
          <w:sz w:val="20"/>
          <w:szCs w:val="20"/>
          <w:color w:val="auto"/>
        </w:rPr>
      </w:pPr>
      <w:r>
        <w:rPr>
          <w:rFonts w:ascii="Arial" w:cs="Arial" w:eastAsia="Arial" w:hAnsi="Arial"/>
          <w:sz w:val="16"/>
          <w:szCs w:val="16"/>
          <w:color w:val="auto"/>
        </w:rPr>
        <w:t>This section provides an overview of our executive compensation philosophy and executive compensation programs, the compensation actions taken with respect to our named executive officers, or our “NEOs,” in 2024, as well as the principles and processes the Compensation Committee has established in determining NEO compensation.</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named executive officers for 2024 are listed below.</w:t>
      </w:r>
    </w:p>
    <w:p>
      <w:pPr>
        <w:spacing w:after="0" w:line="167" w:lineRule="exact"/>
        <w:rPr>
          <w:sz w:val="20"/>
          <w:szCs w:val="20"/>
          <w:color w:val="auto"/>
        </w:rPr>
      </w:pPr>
    </w:p>
    <w:p>
      <w:pPr>
        <w:ind w:left="500" w:hanging="208"/>
        <w:spacing w:after="0"/>
        <w:tabs>
          <w:tab w:leader="none" w:pos="500" w:val="left"/>
        </w:tabs>
        <w:numPr>
          <w:ilvl w:val="0"/>
          <w:numId w:val="17"/>
        </w:numPr>
        <w:rPr>
          <w:rFonts w:ascii="Arial" w:cs="Arial" w:eastAsia="Arial" w:hAnsi="Arial"/>
          <w:sz w:val="16"/>
          <w:szCs w:val="16"/>
          <w:color w:val="342C82"/>
        </w:rPr>
      </w:pPr>
      <w:r>
        <w:rPr>
          <w:rFonts w:ascii="Arial" w:cs="Arial" w:eastAsia="Arial" w:hAnsi="Arial"/>
          <w:sz w:val="16"/>
          <w:szCs w:val="16"/>
          <w:b w:val="1"/>
          <w:bCs w:val="1"/>
          <w:color w:val="342C82"/>
        </w:rPr>
        <w:t>Devdatt (Dev) Kurdikar</w:t>
      </w:r>
      <w:r>
        <w:rPr>
          <w:rFonts w:ascii="Arial" w:cs="Arial" w:eastAsia="Arial" w:hAnsi="Arial"/>
          <w:sz w:val="16"/>
          <w:szCs w:val="16"/>
          <w:color w:val="000000"/>
        </w:rPr>
        <w:t>, President, Chief Executive Officer and Director</w:t>
      </w:r>
    </w:p>
    <w:p>
      <w:pPr>
        <w:spacing w:after="0" w:line="59" w:lineRule="exact"/>
        <w:rPr>
          <w:rFonts w:ascii="Arial" w:cs="Arial" w:eastAsia="Arial" w:hAnsi="Arial"/>
          <w:sz w:val="16"/>
          <w:szCs w:val="16"/>
          <w:color w:val="342C82"/>
        </w:rPr>
      </w:pPr>
    </w:p>
    <w:p>
      <w:pPr>
        <w:ind w:left="500" w:hanging="208"/>
        <w:spacing w:after="0"/>
        <w:tabs>
          <w:tab w:leader="none" w:pos="500" w:val="left"/>
        </w:tabs>
        <w:numPr>
          <w:ilvl w:val="0"/>
          <w:numId w:val="17"/>
        </w:numPr>
        <w:rPr>
          <w:rFonts w:ascii="Arial" w:cs="Arial" w:eastAsia="Arial" w:hAnsi="Arial"/>
          <w:sz w:val="16"/>
          <w:szCs w:val="16"/>
          <w:color w:val="342C82"/>
        </w:rPr>
      </w:pPr>
      <w:r>
        <w:rPr>
          <w:rFonts w:ascii="Arial" w:cs="Arial" w:eastAsia="Arial" w:hAnsi="Arial"/>
          <w:sz w:val="16"/>
          <w:szCs w:val="16"/>
          <w:b w:val="1"/>
          <w:bCs w:val="1"/>
          <w:color w:val="342C82"/>
        </w:rPr>
        <w:t>Jacob (Jake) Elguicze</w:t>
      </w:r>
      <w:r>
        <w:rPr>
          <w:rFonts w:ascii="Arial" w:cs="Arial" w:eastAsia="Arial" w:hAnsi="Arial"/>
          <w:sz w:val="16"/>
          <w:szCs w:val="16"/>
          <w:color w:val="000000"/>
        </w:rPr>
        <w:t>, Senior Vice President and Chief Financial Officer</w:t>
      </w:r>
    </w:p>
    <w:p>
      <w:pPr>
        <w:spacing w:after="0" w:line="59" w:lineRule="exact"/>
        <w:rPr>
          <w:rFonts w:ascii="Arial" w:cs="Arial" w:eastAsia="Arial" w:hAnsi="Arial"/>
          <w:sz w:val="16"/>
          <w:szCs w:val="16"/>
          <w:color w:val="342C82"/>
        </w:rPr>
      </w:pPr>
    </w:p>
    <w:p>
      <w:pPr>
        <w:ind w:left="500" w:hanging="208"/>
        <w:spacing w:after="0"/>
        <w:tabs>
          <w:tab w:leader="none" w:pos="500" w:val="left"/>
        </w:tabs>
        <w:numPr>
          <w:ilvl w:val="0"/>
          <w:numId w:val="17"/>
        </w:numPr>
        <w:rPr>
          <w:rFonts w:ascii="Arial" w:cs="Arial" w:eastAsia="Arial" w:hAnsi="Arial"/>
          <w:sz w:val="16"/>
          <w:szCs w:val="16"/>
          <w:color w:val="342C82"/>
        </w:rPr>
      </w:pPr>
      <w:r>
        <w:rPr>
          <w:rFonts w:ascii="Arial" w:cs="Arial" w:eastAsia="Arial" w:hAnsi="Arial"/>
          <w:sz w:val="16"/>
          <w:szCs w:val="16"/>
          <w:b w:val="1"/>
          <w:bCs w:val="1"/>
          <w:color w:val="342C82"/>
        </w:rPr>
        <w:t>Shaun Curtis</w:t>
      </w:r>
      <w:r>
        <w:rPr>
          <w:rFonts w:ascii="Arial" w:cs="Arial" w:eastAsia="Arial" w:hAnsi="Arial"/>
          <w:sz w:val="16"/>
          <w:szCs w:val="16"/>
          <w:color w:val="000000"/>
        </w:rPr>
        <w:t>, Senior Vice President, Global Manufacturing, Supply Chain and Quality</w:t>
      </w:r>
    </w:p>
    <w:p>
      <w:pPr>
        <w:spacing w:after="0" w:line="59" w:lineRule="exact"/>
        <w:rPr>
          <w:rFonts w:ascii="Arial" w:cs="Arial" w:eastAsia="Arial" w:hAnsi="Arial"/>
          <w:sz w:val="16"/>
          <w:szCs w:val="16"/>
          <w:color w:val="342C82"/>
        </w:rPr>
      </w:pPr>
    </w:p>
    <w:p>
      <w:pPr>
        <w:ind w:left="500" w:hanging="208"/>
        <w:spacing w:after="0"/>
        <w:tabs>
          <w:tab w:leader="none" w:pos="500" w:val="left"/>
        </w:tabs>
        <w:numPr>
          <w:ilvl w:val="0"/>
          <w:numId w:val="17"/>
        </w:numPr>
        <w:rPr>
          <w:rFonts w:ascii="Arial" w:cs="Arial" w:eastAsia="Arial" w:hAnsi="Arial"/>
          <w:sz w:val="16"/>
          <w:szCs w:val="16"/>
          <w:color w:val="342C82"/>
        </w:rPr>
      </w:pPr>
      <w:r>
        <w:rPr>
          <w:rFonts w:ascii="Arial" w:cs="Arial" w:eastAsia="Arial" w:hAnsi="Arial"/>
          <w:sz w:val="16"/>
          <w:szCs w:val="16"/>
          <w:b w:val="1"/>
          <w:bCs w:val="1"/>
          <w:color w:val="342C82"/>
        </w:rPr>
        <w:t>Jeff Mann</w:t>
      </w:r>
      <w:r>
        <w:rPr>
          <w:rFonts w:ascii="Arial" w:cs="Arial" w:eastAsia="Arial" w:hAnsi="Arial"/>
          <w:sz w:val="16"/>
          <w:szCs w:val="16"/>
          <w:color w:val="000000"/>
        </w:rPr>
        <w:t>, Senior Vice President, General Counsel and Product Development</w:t>
      </w:r>
    </w:p>
    <w:p>
      <w:pPr>
        <w:spacing w:after="0" w:line="59" w:lineRule="exact"/>
        <w:rPr>
          <w:rFonts w:ascii="Arial" w:cs="Arial" w:eastAsia="Arial" w:hAnsi="Arial"/>
          <w:sz w:val="16"/>
          <w:szCs w:val="16"/>
          <w:color w:val="342C82"/>
        </w:rPr>
      </w:pPr>
    </w:p>
    <w:p>
      <w:pPr>
        <w:ind w:left="500" w:hanging="208"/>
        <w:spacing w:after="0"/>
        <w:tabs>
          <w:tab w:leader="none" w:pos="500" w:val="left"/>
        </w:tabs>
        <w:numPr>
          <w:ilvl w:val="0"/>
          <w:numId w:val="17"/>
        </w:numPr>
        <w:rPr>
          <w:rFonts w:ascii="Arial" w:cs="Arial" w:eastAsia="Arial" w:hAnsi="Arial"/>
          <w:sz w:val="16"/>
          <w:szCs w:val="16"/>
          <w:color w:val="342C82"/>
        </w:rPr>
      </w:pPr>
      <w:r>
        <w:rPr>
          <w:rFonts w:ascii="Arial" w:cs="Arial" w:eastAsia="Arial" w:hAnsi="Arial"/>
          <w:sz w:val="16"/>
          <w:szCs w:val="16"/>
          <w:b w:val="1"/>
          <w:bCs w:val="1"/>
          <w:color w:val="342C82"/>
        </w:rPr>
        <w:t>Jean Casner</w:t>
      </w:r>
      <w:r>
        <w:rPr>
          <w:rFonts w:ascii="Arial" w:cs="Arial" w:eastAsia="Arial" w:hAnsi="Arial"/>
          <w:sz w:val="16"/>
          <w:szCs w:val="16"/>
          <w:color w:val="000000"/>
        </w:rPr>
        <w:t>, Senior Vice President and Chief Human Resources Officer</w:t>
      </w:r>
    </w:p>
    <w:p>
      <w:pPr>
        <w:spacing w:after="0" w:line="167" w:lineRule="exact"/>
        <w:rPr>
          <w:sz w:val="20"/>
          <w:szCs w:val="20"/>
          <w:color w:val="auto"/>
        </w:rPr>
      </w:pPr>
    </w:p>
    <w:p>
      <w:pPr>
        <w:ind w:left="300" w:right="1019"/>
        <w:spacing w:after="0" w:line="286" w:lineRule="auto"/>
        <w:rPr>
          <w:sz w:val="20"/>
          <w:szCs w:val="20"/>
          <w:color w:val="auto"/>
        </w:rPr>
      </w:pPr>
      <w:r>
        <w:rPr>
          <w:rFonts w:ascii="Arial" w:cs="Arial" w:eastAsia="Arial" w:hAnsi="Arial"/>
          <w:sz w:val="16"/>
          <w:szCs w:val="16"/>
          <w:color w:val="auto"/>
        </w:rPr>
        <w:t>All references in this section to years are references to our fiscal year, which ends on September 30, unless otherwise noted.</w:t>
      </w:r>
    </w:p>
    <w:p>
      <w:pPr>
        <w:spacing w:after="0" w:line="273" w:lineRule="exact"/>
        <w:rPr>
          <w:sz w:val="20"/>
          <w:szCs w:val="20"/>
          <w:color w:val="auto"/>
        </w:rPr>
      </w:pPr>
    </w:p>
    <w:p>
      <w:pPr>
        <w:ind w:left="300"/>
        <w:spacing w:after="0"/>
        <w:rPr>
          <w:sz w:val="20"/>
          <w:szCs w:val="20"/>
          <w:color w:val="auto"/>
        </w:rPr>
      </w:pPr>
      <w:r>
        <w:rPr>
          <w:rFonts w:ascii="Arial" w:cs="Arial" w:eastAsia="Arial" w:hAnsi="Arial"/>
          <w:sz w:val="29"/>
          <w:szCs w:val="29"/>
          <w:color w:val="auto"/>
        </w:rPr>
        <w:t>Executive summary</w:t>
      </w:r>
    </w:p>
    <w:p>
      <w:pPr>
        <w:spacing w:after="0" w:line="144" w:lineRule="exact"/>
        <w:rPr>
          <w:sz w:val="20"/>
          <w:szCs w:val="20"/>
          <w:color w:val="auto"/>
        </w:rPr>
      </w:pPr>
    </w:p>
    <w:p>
      <w:pPr>
        <w:ind w:left="300" w:right="319"/>
        <w:spacing w:after="0" w:line="259" w:lineRule="auto"/>
        <w:rPr>
          <w:sz w:val="20"/>
          <w:szCs w:val="20"/>
          <w:color w:val="auto"/>
        </w:rPr>
      </w:pPr>
      <w:r>
        <w:rPr>
          <w:rFonts w:ascii="Arial" w:cs="Arial" w:eastAsia="Arial" w:hAnsi="Arial"/>
          <w:sz w:val="16"/>
          <w:szCs w:val="16"/>
          <w:color w:val="auto"/>
        </w:rPr>
        <w:t>Our compensation program serves as a key vehicle for attracting, retaining and motivating top talent. In designing our overall compensation structure, we carefully review the programs in which our executive officers and other employees participate to ensure these programs address the needs of our business. We continually refine elements of our compensation program based on our strategy, scale of operations, and workforce.</w:t>
      </w:r>
    </w:p>
    <w:p>
      <w:pPr>
        <w:spacing w:after="0" w:line="124" w:lineRule="exact"/>
        <w:rPr>
          <w:sz w:val="20"/>
          <w:szCs w:val="20"/>
          <w:color w:val="auto"/>
        </w:rPr>
      </w:pPr>
    </w:p>
    <w:p>
      <w:pPr>
        <w:ind w:left="300" w:right="299"/>
        <w:spacing w:after="0" w:line="252" w:lineRule="auto"/>
        <w:rPr>
          <w:sz w:val="20"/>
          <w:szCs w:val="20"/>
          <w:color w:val="auto"/>
        </w:rPr>
      </w:pPr>
      <w:r>
        <w:rPr>
          <w:rFonts w:ascii="Arial" w:cs="Arial" w:eastAsia="Arial" w:hAnsi="Arial"/>
          <w:sz w:val="16"/>
          <w:szCs w:val="16"/>
          <w:color w:val="auto"/>
        </w:rPr>
        <w:t>Our compensation philosophy in 2024 was designed to align the interests of our executive officers with those of our stockholders by providing pay that is directly linked to the achievement of performance goals established to create sustainable long-term stockholder value. The use of variable, at-risk compensation is a key element of our executive pay that connects pay outcomes with company performance. Embecta believes in providing executive compensation that is competitive with our peers, has meaningful performance components and has equity-based elements that encourage executives to maintain an appropriate ownership interest in the Company. Our performance-based compensation programs result in a majority of the compensation of our CEO being linked to the achievement of short-term and long-term Company goals and to increasing stockholder value.</w:t>
      </w:r>
    </w:p>
    <w:p>
      <w:pPr>
        <w:spacing w:after="0" w:line="350" w:lineRule="exact"/>
        <w:rPr>
          <w:sz w:val="20"/>
          <w:szCs w:val="20"/>
          <w:color w:val="auto"/>
        </w:rPr>
      </w:pPr>
    </w:p>
    <w:p>
      <w:pPr>
        <w:ind w:left="300"/>
        <w:spacing w:after="0"/>
        <w:rPr>
          <w:sz w:val="20"/>
          <w:szCs w:val="20"/>
          <w:color w:val="auto"/>
        </w:rPr>
      </w:pPr>
      <w:r>
        <w:rPr>
          <w:rFonts w:ascii="Arial" w:cs="Arial" w:eastAsia="Arial" w:hAnsi="Arial"/>
          <w:sz w:val="25"/>
          <w:szCs w:val="25"/>
          <w:color w:val="342C82"/>
        </w:rPr>
        <w:t>Our compensation philosophy, objectives and practices</w:t>
      </w:r>
    </w:p>
    <w:p>
      <w:pPr>
        <w:spacing w:after="0" w:line="139" w:lineRule="exact"/>
        <w:rPr>
          <w:sz w:val="20"/>
          <w:szCs w:val="20"/>
          <w:color w:val="auto"/>
        </w:rPr>
      </w:pPr>
    </w:p>
    <w:p>
      <w:pPr>
        <w:ind w:left="300" w:right="419"/>
        <w:spacing w:after="0" w:line="253" w:lineRule="auto"/>
        <w:rPr>
          <w:sz w:val="20"/>
          <w:szCs w:val="20"/>
          <w:color w:val="auto"/>
        </w:rPr>
      </w:pPr>
      <w:r>
        <w:rPr>
          <w:rFonts w:ascii="Arial" w:cs="Arial" w:eastAsia="Arial" w:hAnsi="Arial"/>
          <w:sz w:val="16"/>
          <w:szCs w:val="16"/>
          <w:color w:val="auto"/>
        </w:rPr>
        <w:t>As we operate in a highly competitive and rapidly evolving market as an independent publicly listed global company with a complex geographic footprint, we monitor our executive compensation philosophy, program and approach to ensure alignment with our long-term strategy and the unique characteristics of Embecta. The Embecta executive compensation program has three primary objectives: to attract and retain talent; to drive performance to achieve strategic objectives; and to create long-term value for our stockholders. The executive compensation philosophy adopted by the Compensation Committee reflects where Embecta is in its life cycle as a maturing public company. It includes the following guiding principles that we believe are critical to our success.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123825</wp:posOffset>
            </wp:positionV>
            <wp:extent cx="699516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7" w:name="page48"/>
    <w:bookmarkEnd w:id="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jc w:val="right"/>
        <w:ind w:right="299"/>
        <w:spacing w:after="0"/>
        <w:rPr>
          <w:sz w:val="20"/>
          <w:szCs w:val="20"/>
          <w:color w:val="auto"/>
        </w:rPr>
      </w:pPr>
      <w:r>
        <w:rPr>
          <w:rFonts w:ascii="Arial" w:cs="Arial" w:eastAsia="Arial" w:hAnsi="Arial"/>
          <w:sz w:val="16"/>
          <w:szCs w:val="16"/>
          <w:color w:val="342C82"/>
        </w:rPr>
        <w:t>Compensation Discussion and Analysis</w:t>
      </w:r>
    </w:p>
    <w:p>
      <w:pPr>
        <w:spacing w:after="0" w:line="128" w:lineRule="exact"/>
        <w:rPr>
          <w:sz w:val="20"/>
          <w:szCs w:val="20"/>
          <w:color w:val="auto"/>
        </w:rPr>
      </w:pPr>
    </w:p>
    <w:p>
      <w:pPr>
        <w:ind w:left="300"/>
        <w:spacing w:after="0"/>
        <w:rPr>
          <w:sz w:val="20"/>
          <w:szCs w:val="20"/>
          <w:color w:val="auto"/>
        </w:rPr>
      </w:pPr>
      <w:r>
        <w:rPr>
          <w:rFonts w:ascii="Arial" w:cs="Arial" w:eastAsia="Arial" w:hAnsi="Arial"/>
          <w:sz w:val="22"/>
          <w:szCs w:val="22"/>
          <w:color w:val="342C82"/>
        </w:rPr>
        <w:t>Pay for performance</w:t>
      </w:r>
    </w:p>
    <w:p>
      <w:pPr>
        <w:spacing w:after="0" w:line="56" w:lineRule="exact"/>
        <w:rPr>
          <w:sz w:val="20"/>
          <w:szCs w:val="20"/>
          <w:color w:val="auto"/>
        </w:rPr>
      </w:pPr>
    </w:p>
    <w:p>
      <w:pPr>
        <w:ind w:left="500" w:right="319" w:hanging="208"/>
        <w:spacing w:after="0" w:line="266" w:lineRule="auto"/>
        <w:tabs>
          <w:tab w:leader="none" w:pos="500" w:val="left"/>
        </w:tabs>
        <w:numPr>
          <w:ilvl w:val="0"/>
          <w:numId w:val="18"/>
        </w:numPr>
        <w:rPr>
          <w:rFonts w:ascii="Arial" w:cs="Arial" w:eastAsia="Arial" w:hAnsi="Arial"/>
          <w:sz w:val="16"/>
          <w:szCs w:val="16"/>
          <w:color w:val="342C82"/>
        </w:rPr>
      </w:pPr>
      <w:r>
        <w:rPr>
          <w:rFonts w:ascii="Arial" w:cs="Arial" w:eastAsia="Arial" w:hAnsi="Arial"/>
          <w:sz w:val="16"/>
          <w:szCs w:val="16"/>
          <w:color w:val="auto"/>
        </w:rPr>
        <w:t>We link pay and performance by delivering 50% or more of executive total compensation opportunity through variable, at-risk incentives designed to incentivize increasing long-term stockholder value through the achievement of predetermined company performance goals.</w:t>
      </w:r>
    </w:p>
    <w:p>
      <w:pPr>
        <w:spacing w:after="0" w:line="213" w:lineRule="exact"/>
        <w:rPr>
          <w:sz w:val="20"/>
          <w:szCs w:val="20"/>
          <w:color w:val="auto"/>
        </w:rPr>
      </w:pPr>
    </w:p>
    <w:p>
      <w:pPr>
        <w:ind w:left="300"/>
        <w:spacing w:after="0"/>
        <w:rPr>
          <w:sz w:val="20"/>
          <w:szCs w:val="20"/>
          <w:color w:val="auto"/>
        </w:rPr>
      </w:pPr>
      <w:r>
        <w:rPr>
          <w:rFonts w:ascii="Arial" w:cs="Arial" w:eastAsia="Arial" w:hAnsi="Arial"/>
          <w:sz w:val="22"/>
          <w:szCs w:val="22"/>
          <w:color w:val="342C82"/>
        </w:rPr>
        <w:t>Accountability</w:t>
      </w:r>
    </w:p>
    <w:p>
      <w:pPr>
        <w:spacing w:after="0" w:line="56" w:lineRule="exact"/>
        <w:rPr>
          <w:sz w:val="20"/>
          <w:szCs w:val="20"/>
          <w:color w:val="auto"/>
        </w:rPr>
      </w:pPr>
    </w:p>
    <w:p>
      <w:pPr>
        <w:ind w:left="500" w:right="479" w:hanging="208"/>
        <w:spacing w:after="0" w:line="266" w:lineRule="auto"/>
        <w:tabs>
          <w:tab w:leader="none" w:pos="500" w:val="left"/>
        </w:tabs>
        <w:numPr>
          <w:ilvl w:val="0"/>
          <w:numId w:val="19"/>
        </w:numPr>
        <w:rPr>
          <w:rFonts w:ascii="Arial" w:cs="Arial" w:eastAsia="Arial" w:hAnsi="Arial"/>
          <w:sz w:val="16"/>
          <w:szCs w:val="16"/>
          <w:color w:val="342C82"/>
        </w:rPr>
      </w:pPr>
      <w:r>
        <w:rPr>
          <w:rFonts w:ascii="Arial" w:cs="Arial" w:eastAsia="Arial" w:hAnsi="Arial"/>
          <w:sz w:val="16"/>
          <w:szCs w:val="16"/>
          <w:color w:val="auto"/>
        </w:rPr>
        <w:t>Our compensation program incorporates a short-term incentive plan that holds management accountable for the achievement of financial metrics and strategic objectives, as well as a long-term incentive framework that is heavily weighted on company performance.</w:t>
      </w:r>
    </w:p>
    <w:p>
      <w:pPr>
        <w:spacing w:after="0" w:line="199" w:lineRule="exact"/>
        <w:rPr>
          <w:sz w:val="20"/>
          <w:szCs w:val="20"/>
          <w:color w:val="auto"/>
        </w:rPr>
      </w:pPr>
    </w:p>
    <w:p>
      <w:pPr>
        <w:ind w:left="300"/>
        <w:spacing w:after="0"/>
        <w:rPr>
          <w:sz w:val="20"/>
          <w:szCs w:val="20"/>
          <w:color w:val="auto"/>
        </w:rPr>
      </w:pPr>
      <w:r>
        <w:rPr>
          <w:rFonts w:ascii="Arial" w:cs="Arial" w:eastAsia="Arial" w:hAnsi="Arial"/>
          <w:sz w:val="22"/>
          <w:szCs w:val="22"/>
          <w:color w:val="342C82"/>
        </w:rPr>
        <w:t>Competitive positioning</w:t>
      </w:r>
    </w:p>
    <w:p>
      <w:pPr>
        <w:spacing w:after="0" w:line="56" w:lineRule="exact"/>
        <w:rPr>
          <w:sz w:val="20"/>
          <w:szCs w:val="20"/>
          <w:color w:val="auto"/>
        </w:rPr>
      </w:pPr>
    </w:p>
    <w:p>
      <w:pPr>
        <w:ind w:left="500" w:right="559" w:hanging="208"/>
        <w:spacing w:after="0" w:line="259" w:lineRule="auto"/>
        <w:tabs>
          <w:tab w:leader="none" w:pos="500" w:val="left"/>
        </w:tabs>
        <w:numPr>
          <w:ilvl w:val="0"/>
          <w:numId w:val="20"/>
        </w:numPr>
        <w:rPr>
          <w:rFonts w:ascii="Arial" w:cs="Arial" w:eastAsia="Arial" w:hAnsi="Arial"/>
          <w:sz w:val="16"/>
          <w:szCs w:val="16"/>
          <w:color w:val="342C82"/>
        </w:rPr>
      </w:pPr>
      <w:r>
        <w:rPr>
          <w:rFonts w:ascii="Arial" w:cs="Arial" w:eastAsia="Arial" w:hAnsi="Arial"/>
          <w:sz w:val="16"/>
          <w:szCs w:val="16"/>
          <w:color w:val="auto"/>
        </w:rPr>
        <w:t>Total compensation opportunity is generally targeted around the median compensation at peer companies, with flexibility to determine individual compensation based on an executive’s scope, experience, criticality of role, performance and internal equity. Our executives have deep expertise that is highly valued by the market and important to our success and their retention through competitive positioning is a key priority.</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22"/>
          <w:szCs w:val="22"/>
          <w:color w:val="342C82"/>
        </w:rPr>
        <w:t>Stockholder alignment</w:t>
      </w:r>
    </w:p>
    <w:p>
      <w:pPr>
        <w:spacing w:after="0" w:line="56" w:lineRule="exact"/>
        <w:rPr>
          <w:sz w:val="20"/>
          <w:szCs w:val="20"/>
          <w:color w:val="auto"/>
        </w:rPr>
      </w:pPr>
    </w:p>
    <w:p>
      <w:pPr>
        <w:ind w:left="500" w:right="579" w:hanging="208"/>
        <w:spacing w:after="0" w:line="266" w:lineRule="auto"/>
        <w:tabs>
          <w:tab w:leader="none" w:pos="500" w:val="left"/>
        </w:tabs>
        <w:numPr>
          <w:ilvl w:val="0"/>
          <w:numId w:val="21"/>
        </w:numPr>
        <w:rPr>
          <w:rFonts w:ascii="Arial" w:cs="Arial" w:eastAsia="Arial" w:hAnsi="Arial"/>
          <w:sz w:val="16"/>
          <w:szCs w:val="16"/>
          <w:color w:val="342C82"/>
        </w:rPr>
      </w:pPr>
      <w:r>
        <w:rPr>
          <w:rFonts w:ascii="Arial" w:cs="Arial" w:eastAsia="Arial" w:hAnsi="Arial"/>
          <w:sz w:val="16"/>
          <w:szCs w:val="16"/>
          <w:color w:val="auto"/>
        </w:rPr>
        <w:t>We establish and maintain a well-governed compensation program that creates long-term stockholder value by rewarding our executives when stockholder value is created while also mitigating excessive risk-taking and behavior that is inconsistent with our strategic plans and Embecta’s mission, vision and values.</w:t>
      </w:r>
    </w:p>
    <w:p>
      <w:pPr>
        <w:spacing w:after="0" w:line="117" w:lineRule="exact"/>
        <w:rPr>
          <w:sz w:val="20"/>
          <w:szCs w:val="20"/>
          <w:color w:val="auto"/>
        </w:rPr>
      </w:pPr>
    </w:p>
    <w:p>
      <w:pPr>
        <w:ind w:left="300" w:right="499"/>
        <w:spacing w:after="0" w:line="256" w:lineRule="auto"/>
        <w:rPr>
          <w:sz w:val="20"/>
          <w:szCs w:val="20"/>
          <w:color w:val="auto"/>
        </w:rPr>
      </w:pPr>
      <w:r>
        <w:rPr>
          <w:rFonts w:ascii="Arial" w:cs="Arial" w:eastAsia="Arial" w:hAnsi="Arial"/>
          <w:sz w:val="16"/>
          <w:szCs w:val="16"/>
          <w:color w:val="auto"/>
        </w:rPr>
        <w:t>In administering the program, the Compensation Committee seeks to provide transparency to Embecta executives, employees and stockholders on all aspects of Embecta’s compensation structure. This includes disclosure of performance targets, payout formulas and the Compensation Committee’s use of discretion in determining award payouts. As a maturing independent public company, Embecta will continue to assess its compensation program to ensure appropriate alignment with its business strategy and stockholders’ expectations.</w:t>
      </w:r>
    </w:p>
    <w:p>
      <w:pPr>
        <w:spacing w:after="0" w:line="297" w:lineRule="exact"/>
        <w:rPr>
          <w:sz w:val="20"/>
          <w:szCs w:val="20"/>
          <w:color w:val="auto"/>
        </w:rPr>
      </w:pPr>
    </w:p>
    <w:p>
      <w:pPr>
        <w:ind w:left="300"/>
        <w:spacing w:after="0"/>
        <w:rPr>
          <w:sz w:val="20"/>
          <w:szCs w:val="20"/>
          <w:color w:val="auto"/>
        </w:rPr>
      </w:pPr>
      <w:r>
        <w:rPr>
          <w:rFonts w:ascii="Arial" w:cs="Arial" w:eastAsia="Arial" w:hAnsi="Arial"/>
          <w:sz w:val="29"/>
          <w:szCs w:val="29"/>
          <w:color w:val="342C82"/>
        </w:rPr>
        <w:t>How we set executive compensation</w:t>
      </w:r>
    </w:p>
    <w:p>
      <w:pPr>
        <w:spacing w:after="0" w:line="311" w:lineRule="exact"/>
        <w:rPr>
          <w:sz w:val="20"/>
          <w:szCs w:val="20"/>
          <w:color w:val="auto"/>
        </w:rPr>
      </w:pPr>
    </w:p>
    <w:p>
      <w:pPr>
        <w:ind w:left="300" w:right="2519"/>
        <w:spacing w:after="0" w:line="285" w:lineRule="auto"/>
        <w:rPr>
          <w:sz w:val="20"/>
          <w:szCs w:val="20"/>
          <w:color w:val="auto"/>
        </w:rPr>
      </w:pPr>
      <w:r>
        <w:rPr>
          <w:rFonts w:ascii="Arial" w:cs="Arial" w:eastAsia="Arial" w:hAnsi="Arial"/>
          <w:sz w:val="25"/>
          <w:szCs w:val="25"/>
          <w:color w:val="342C82"/>
        </w:rPr>
        <w:t>The role of the Compensation Committee, its consultant and management</w:t>
      </w:r>
    </w:p>
    <w:p>
      <w:pPr>
        <w:spacing w:after="0" w:line="28" w:lineRule="exact"/>
        <w:rPr>
          <w:sz w:val="20"/>
          <w:szCs w:val="20"/>
          <w:color w:val="auto"/>
        </w:rPr>
      </w:pPr>
    </w:p>
    <w:p>
      <w:pPr>
        <w:ind w:left="300" w:right="319"/>
        <w:spacing w:after="0" w:line="252" w:lineRule="auto"/>
        <w:rPr>
          <w:sz w:val="20"/>
          <w:szCs w:val="20"/>
          <w:color w:val="auto"/>
        </w:rPr>
      </w:pPr>
      <w:r>
        <w:rPr>
          <w:rFonts w:ascii="Arial" w:cs="Arial" w:eastAsia="Arial" w:hAnsi="Arial"/>
          <w:sz w:val="16"/>
          <w:szCs w:val="16"/>
          <w:color w:val="auto"/>
        </w:rPr>
        <w:t>The Compensation Committee oversees the compensation program for our executive officers, including the program design and performance targets. The Compensation Committee recommends compensation actions with respect to the CEO for approval by the independent members of the Board and sets the compensation of the other NEOs. The Compensation Committee is assisted in fulfilling its responsibilities by its independent compensation consultant, Korn Ferry, and Embecta’s senior management, but final decisions are made by the Compensation Committee or the Board, as applicable, in its sole discretion. The Compensation Committee has utilized Korn Ferry as its independent executive compensation consultant since 2022. In its role as the Compensation Committee’s executive compensation consultant during fiscal 2024, Korn Ferry (among other things):</w:t>
      </w:r>
    </w:p>
    <w:p>
      <w:pPr>
        <w:spacing w:after="0" w:line="129" w:lineRule="exact"/>
        <w:rPr>
          <w:sz w:val="20"/>
          <w:szCs w:val="20"/>
          <w:color w:val="auto"/>
        </w:rPr>
      </w:pPr>
    </w:p>
    <w:p>
      <w:pPr>
        <w:ind w:left="500" w:right="379" w:hanging="208"/>
        <w:spacing w:after="0" w:line="266" w:lineRule="auto"/>
        <w:tabs>
          <w:tab w:leader="none" w:pos="500" w:val="left"/>
        </w:tabs>
        <w:numPr>
          <w:ilvl w:val="0"/>
          <w:numId w:val="22"/>
        </w:numPr>
        <w:rPr>
          <w:rFonts w:ascii="Arial" w:cs="Arial" w:eastAsia="Arial" w:hAnsi="Arial"/>
          <w:sz w:val="16"/>
          <w:szCs w:val="16"/>
          <w:color w:val="342C82"/>
        </w:rPr>
      </w:pPr>
      <w:r>
        <w:rPr>
          <w:rFonts w:ascii="Arial" w:cs="Arial" w:eastAsia="Arial" w:hAnsi="Arial"/>
          <w:sz w:val="16"/>
          <w:szCs w:val="16"/>
          <w:color w:val="auto"/>
        </w:rPr>
        <w:t>assisted the Compensation Committee in the design and implementation of our executive compensation program, including the selection of the key elements of the program, setting of targeted payments for each element, and establishment of performance targets;</w:t>
      </w:r>
    </w:p>
    <w:p>
      <w:pPr>
        <w:spacing w:after="0" w:line="9" w:lineRule="exact"/>
        <w:rPr>
          <w:rFonts w:ascii="Arial" w:cs="Arial" w:eastAsia="Arial" w:hAnsi="Arial"/>
          <w:sz w:val="16"/>
          <w:szCs w:val="16"/>
          <w:color w:val="342C82"/>
        </w:rPr>
      </w:pPr>
    </w:p>
    <w:p>
      <w:pPr>
        <w:ind w:left="500" w:right="559" w:hanging="208"/>
        <w:spacing w:after="0" w:line="281" w:lineRule="auto"/>
        <w:tabs>
          <w:tab w:leader="none" w:pos="500" w:val="left"/>
        </w:tabs>
        <w:numPr>
          <w:ilvl w:val="0"/>
          <w:numId w:val="22"/>
        </w:numPr>
        <w:rPr>
          <w:rFonts w:ascii="Arial" w:cs="Arial" w:eastAsia="Arial" w:hAnsi="Arial"/>
          <w:sz w:val="16"/>
          <w:szCs w:val="16"/>
          <w:color w:val="342C82"/>
        </w:rPr>
      </w:pPr>
      <w:r>
        <w:rPr>
          <w:rFonts w:ascii="Arial" w:cs="Arial" w:eastAsia="Arial" w:hAnsi="Arial"/>
          <w:sz w:val="16"/>
          <w:szCs w:val="16"/>
          <w:color w:val="auto"/>
        </w:rPr>
        <w:t>made recommendations regarding the compensation of our CEO and other NEOs and the compensation of our directors;</w:t>
      </w:r>
    </w:p>
    <w:p>
      <w:pPr>
        <w:spacing w:after="0" w:line="1" w:lineRule="exact"/>
        <w:rPr>
          <w:rFonts w:ascii="Arial" w:cs="Arial" w:eastAsia="Arial" w:hAnsi="Arial"/>
          <w:sz w:val="16"/>
          <w:szCs w:val="16"/>
          <w:color w:val="342C82"/>
        </w:rPr>
      </w:pPr>
    </w:p>
    <w:p>
      <w:pPr>
        <w:ind w:left="500" w:hanging="208"/>
        <w:spacing w:after="0"/>
        <w:tabs>
          <w:tab w:leader="none" w:pos="500" w:val="left"/>
        </w:tabs>
        <w:numPr>
          <w:ilvl w:val="0"/>
          <w:numId w:val="22"/>
        </w:numPr>
        <w:rPr>
          <w:rFonts w:ascii="Arial" w:cs="Arial" w:eastAsia="Arial" w:hAnsi="Arial"/>
          <w:sz w:val="16"/>
          <w:szCs w:val="16"/>
          <w:color w:val="342C82"/>
        </w:rPr>
      </w:pPr>
      <w:r>
        <w:rPr>
          <w:rFonts w:ascii="Arial" w:cs="Arial" w:eastAsia="Arial" w:hAnsi="Arial"/>
          <w:sz w:val="16"/>
          <w:szCs w:val="16"/>
          <w:color w:val="auto"/>
        </w:rPr>
        <w:t>conducted an annual review of the composition of the peer group;</w:t>
      </w:r>
    </w:p>
    <w:p>
      <w:pPr>
        <w:spacing w:after="0" w:line="59" w:lineRule="exact"/>
        <w:rPr>
          <w:rFonts w:ascii="Arial" w:cs="Arial" w:eastAsia="Arial" w:hAnsi="Arial"/>
          <w:sz w:val="16"/>
          <w:szCs w:val="16"/>
          <w:color w:val="342C82"/>
        </w:rPr>
      </w:pPr>
    </w:p>
    <w:p>
      <w:pPr>
        <w:ind w:left="500" w:right="1119" w:hanging="208"/>
        <w:spacing w:after="0" w:line="286" w:lineRule="auto"/>
        <w:tabs>
          <w:tab w:leader="none" w:pos="500" w:val="left"/>
        </w:tabs>
        <w:numPr>
          <w:ilvl w:val="0"/>
          <w:numId w:val="22"/>
        </w:numPr>
        <w:rPr>
          <w:rFonts w:ascii="Arial" w:cs="Arial" w:eastAsia="Arial" w:hAnsi="Arial"/>
          <w:sz w:val="16"/>
          <w:szCs w:val="16"/>
          <w:color w:val="342C82"/>
        </w:rPr>
      </w:pPr>
      <w:r>
        <w:rPr>
          <w:rFonts w:ascii="Arial" w:cs="Arial" w:eastAsia="Arial" w:hAnsi="Arial"/>
          <w:sz w:val="16"/>
          <w:szCs w:val="16"/>
          <w:color w:val="auto"/>
        </w:rPr>
        <w:t>advised the Compensation Committee with respect to the competitiveness of our executive and director compensation programs;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132080</wp:posOffset>
            </wp:positionV>
            <wp:extent cx="699516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8" w:name="page49"/>
    <w:bookmarkEnd w:id="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6"/>
          <w:szCs w:val="16"/>
          <w:color w:val="342C82"/>
        </w:rPr>
        <w:t>Compensation Discussion and Analysis</w:t>
      </w:r>
    </w:p>
    <w:p>
      <w:pPr>
        <w:spacing w:after="0" w:line="113" w:lineRule="exact"/>
        <w:rPr>
          <w:sz w:val="20"/>
          <w:szCs w:val="20"/>
          <w:color w:val="auto"/>
        </w:rPr>
      </w:pPr>
    </w:p>
    <w:p>
      <w:pPr>
        <w:ind w:left="500" w:hanging="208"/>
        <w:spacing w:after="0"/>
        <w:tabs>
          <w:tab w:leader="none" w:pos="500" w:val="left"/>
        </w:tabs>
        <w:numPr>
          <w:ilvl w:val="0"/>
          <w:numId w:val="23"/>
        </w:numPr>
        <w:rPr>
          <w:rFonts w:ascii="Arial" w:cs="Arial" w:eastAsia="Arial" w:hAnsi="Arial"/>
          <w:sz w:val="16"/>
          <w:szCs w:val="16"/>
          <w:color w:val="342C82"/>
        </w:rPr>
      </w:pPr>
      <w:r>
        <w:rPr>
          <w:rFonts w:ascii="Arial" w:cs="Arial" w:eastAsia="Arial" w:hAnsi="Arial"/>
          <w:sz w:val="16"/>
          <w:szCs w:val="16"/>
          <w:color w:val="auto"/>
        </w:rPr>
        <w:t>attended Compensation Committee meetings; and</w:t>
      </w:r>
    </w:p>
    <w:p>
      <w:pPr>
        <w:spacing w:after="0" w:line="59" w:lineRule="exact"/>
        <w:rPr>
          <w:rFonts w:ascii="Arial" w:cs="Arial" w:eastAsia="Arial" w:hAnsi="Arial"/>
          <w:sz w:val="16"/>
          <w:szCs w:val="16"/>
          <w:color w:val="342C82"/>
        </w:rPr>
      </w:pPr>
    </w:p>
    <w:p>
      <w:pPr>
        <w:ind w:left="500" w:hanging="208"/>
        <w:spacing w:after="0"/>
        <w:tabs>
          <w:tab w:leader="none" w:pos="500" w:val="left"/>
        </w:tabs>
        <w:numPr>
          <w:ilvl w:val="0"/>
          <w:numId w:val="23"/>
        </w:numPr>
        <w:rPr>
          <w:rFonts w:ascii="Arial" w:cs="Arial" w:eastAsia="Arial" w:hAnsi="Arial"/>
          <w:sz w:val="16"/>
          <w:szCs w:val="16"/>
          <w:color w:val="342C82"/>
        </w:rPr>
      </w:pPr>
      <w:r>
        <w:rPr>
          <w:rFonts w:ascii="Arial" w:cs="Arial" w:eastAsia="Arial" w:hAnsi="Arial"/>
          <w:sz w:val="16"/>
          <w:szCs w:val="16"/>
          <w:color w:val="auto"/>
        </w:rPr>
        <w:t>responded to various ad hoc requests from the Compensation Committee.</w:t>
      </w:r>
    </w:p>
    <w:p>
      <w:pPr>
        <w:spacing w:after="0" w:line="167" w:lineRule="exact"/>
        <w:rPr>
          <w:sz w:val="20"/>
          <w:szCs w:val="20"/>
          <w:color w:val="auto"/>
        </w:rPr>
      </w:pPr>
    </w:p>
    <w:p>
      <w:pPr>
        <w:ind w:left="300" w:right="579"/>
        <w:spacing w:after="0" w:line="286" w:lineRule="auto"/>
        <w:rPr>
          <w:sz w:val="20"/>
          <w:szCs w:val="20"/>
          <w:color w:val="auto"/>
        </w:rPr>
      </w:pPr>
      <w:r>
        <w:rPr>
          <w:rFonts w:ascii="Arial" w:cs="Arial" w:eastAsia="Arial" w:hAnsi="Arial"/>
          <w:sz w:val="16"/>
          <w:szCs w:val="16"/>
          <w:color w:val="auto"/>
        </w:rPr>
        <w:t xml:space="preserve">Additional information about our process for setting executive compensation, including the roles of Korn Ferry and management, is found beginning on page </w:t>
      </w:r>
      <w:r>
        <w:rPr>
          <w:rFonts w:ascii="Arial" w:cs="Arial" w:eastAsia="Arial" w:hAnsi="Arial"/>
          <w:sz w:val="16"/>
          <w:szCs w:val="16"/>
          <w:u w:val="single" w:color="auto"/>
          <w:color w:val="0000EE"/>
        </w:rPr>
        <w:t>14</w:t>
      </w:r>
      <w:r>
        <w:rPr>
          <w:rFonts w:ascii="Arial" w:cs="Arial" w:eastAsia="Arial" w:hAnsi="Arial"/>
          <w:sz w:val="16"/>
          <w:szCs w:val="16"/>
          <w:color w:val="auto"/>
        </w:rPr>
        <w:t>.</w:t>
      </w:r>
    </w:p>
    <w:p>
      <w:pPr>
        <w:spacing w:after="0" w:line="102" w:lineRule="exact"/>
        <w:rPr>
          <w:sz w:val="20"/>
          <w:szCs w:val="20"/>
          <w:color w:val="auto"/>
        </w:rPr>
      </w:pPr>
    </w:p>
    <w:p>
      <w:pPr>
        <w:ind w:left="300" w:right="539"/>
        <w:spacing w:after="0" w:line="252" w:lineRule="auto"/>
        <w:rPr>
          <w:sz w:val="20"/>
          <w:szCs w:val="20"/>
          <w:color w:val="auto"/>
        </w:rPr>
      </w:pPr>
      <w:r>
        <w:rPr>
          <w:rFonts w:ascii="Arial" w:cs="Arial" w:eastAsia="Arial" w:hAnsi="Arial"/>
          <w:sz w:val="16"/>
          <w:szCs w:val="16"/>
          <w:color w:val="auto"/>
        </w:rPr>
        <w:t>The Compensation Committee has implemented a process to approve fees for any non-compensation related consulting advice in advance, to ensure that Korn Ferry remains independent. The aggregate fees billed by Korn Ferry for consulting services rendered to the Compensation Committee during fiscal year 2024 related to the recommendation of the amount or form of executive and director compensation were approximately $211,050. The total amount of fees paid by the Company to Korn Ferry in fiscal year 2024 for all other services, excluding Compensation Committee services, was approximately $400,641. The decision to hire Korn Ferry for these other services (which included executive search, organizational strategy consulting, leadership development and assessments) was made by the Company’s management and approved by the Compensation Committee.</w:t>
      </w:r>
    </w:p>
    <w:p>
      <w:pPr>
        <w:spacing w:after="0" w:line="336" w:lineRule="exact"/>
        <w:rPr>
          <w:sz w:val="20"/>
          <w:szCs w:val="20"/>
          <w:color w:val="auto"/>
        </w:rPr>
      </w:pPr>
    </w:p>
    <w:p>
      <w:pPr>
        <w:ind w:left="300"/>
        <w:spacing w:after="0"/>
        <w:rPr>
          <w:sz w:val="20"/>
          <w:szCs w:val="20"/>
          <w:color w:val="auto"/>
        </w:rPr>
      </w:pPr>
      <w:r>
        <w:rPr>
          <w:rFonts w:ascii="Arial" w:cs="Arial" w:eastAsia="Arial" w:hAnsi="Arial"/>
          <w:sz w:val="25"/>
          <w:szCs w:val="25"/>
          <w:color w:val="342C82"/>
        </w:rPr>
        <w:t>Use of market comparison data</w:t>
      </w:r>
    </w:p>
    <w:p>
      <w:pPr>
        <w:spacing w:after="0" w:line="139" w:lineRule="exact"/>
        <w:rPr>
          <w:sz w:val="20"/>
          <w:szCs w:val="20"/>
          <w:color w:val="auto"/>
        </w:rPr>
      </w:pPr>
    </w:p>
    <w:p>
      <w:pPr>
        <w:ind w:left="300" w:right="319"/>
        <w:spacing w:after="0" w:line="253" w:lineRule="auto"/>
        <w:rPr>
          <w:sz w:val="20"/>
          <w:szCs w:val="20"/>
          <w:color w:val="auto"/>
        </w:rPr>
      </w:pPr>
      <w:r>
        <w:rPr>
          <w:rFonts w:ascii="Arial" w:cs="Arial" w:eastAsia="Arial" w:hAnsi="Arial"/>
          <w:sz w:val="16"/>
          <w:szCs w:val="16"/>
          <w:color w:val="auto"/>
        </w:rPr>
        <w:t>For 2024, the Compensation Committee approved a peer group framework and methodology based on a set of principles and criteria. With the assistance of its independent compensation consultant, it established a compensation benchmarking peer group, which is composed of a robust set of companies in the healthcare sector with comparable business characteristics, models, and size for the purposes of reviewing compensation. In selecting companies for the peer group, the Compensation Committee considered companies that met one or more of the following peer group selection criteria established by the Compensation Committee, based on the recommendations of its independent compensation consultant:</w:t>
      </w:r>
    </w:p>
    <w:p>
      <w:pPr>
        <w:spacing w:after="0" w:line="127" w:lineRule="exact"/>
        <w:rPr>
          <w:sz w:val="20"/>
          <w:szCs w:val="20"/>
          <w:color w:val="auto"/>
        </w:rPr>
      </w:pPr>
    </w:p>
    <w:p>
      <w:pPr>
        <w:ind w:left="500" w:hanging="208"/>
        <w:spacing w:after="0"/>
        <w:tabs>
          <w:tab w:leader="none" w:pos="500" w:val="left"/>
        </w:tabs>
        <w:numPr>
          <w:ilvl w:val="0"/>
          <w:numId w:val="24"/>
        </w:numPr>
        <w:rPr>
          <w:rFonts w:ascii="Arial" w:cs="Arial" w:eastAsia="Arial" w:hAnsi="Arial"/>
          <w:sz w:val="16"/>
          <w:szCs w:val="16"/>
          <w:color w:val="342C82"/>
        </w:rPr>
      </w:pPr>
      <w:r>
        <w:rPr>
          <w:rFonts w:ascii="Arial" w:cs="Arial" w:eastAsia="Arial" w:hAnsi="Arial"/>
          <w:sz w:val="16"/>
          <w:szCs w:val="16"/>
          <w:color w:val="auto"/>
        </w:rPr>
        <w:t>domestic, publicly traded company;</w:t>
      </w:r>
    </w:p>
    <w:p>
      <w:pPr>
        <w:spacing w:after="0" w:line="59" w:lineRule="exact"/>
        <w:rPr>
          <w:rFonts w:ascii="Arial" w:cs="Arial" w:eastAsia="Arial" w:hAnsi="Arial"/>
          <w:sz w:val="16"/>
          <w:szCs w:val="16"/>
          <w:color w:val="342C82"/>
        </w:rPr>
      </w:pPr>
    </w:p>
    <w:p>
      <w:pPr>
        <w:ind w:left="500" w:hanging="208"/>
        <w:spacing w:after="0"/>
        <w:tabs>
          <w:tab w:leader="none" w:pos="500" w:val="left"/>
        </w:tabs>
        <w:numPr>
          <w:ilvl w:val="0"/>
          <w:numId w:val="24"/>
        </w:numPr>
        <w:rPr>
          <w:rFonts w:ascii="Arial" w:cs="Arial" w:eastAsia="Arial" w:hAnsi="Arial"/>
          <w:sz w:val="16"/>
          <w:szCs w:val="16"/>
          <w:color w:val="342C82"/>
        </w:rPr>
      </w:pPr>
      <w:r>
        <w:rPr>
          <w:rFonts w:ascii="Arial" w:cs="Arial" w:eastAsia="Arial" w:hAnsi="Arial"/>
          <w:sz w:val="16"/>
          <w:szCs w:val="16"/>
          <w:color w:val="auto"/>
        </w:rPr>
        <w:t>similar size in terms of revenue and similar cost characteristics;</w:t>
      </w:r>
    </w:p>
    <w:p>
      <w:pPr>
        <w:spacing w:after="0" w:line="59" w:lineRule="exact"/>
        <w:rPr>
          <w:rFonts w:ascii="Arial" w:cs="Arial" w:eastAsia="Arial" w:hAnsi="Arial"/>
          <w:sz w:val="16"/>
          <w:szCs w:val="16"/>
          <w:color w:val="342C82"/>
        </w:rPr>
      </w:pPr>
    </w:p>
    <w:p>
      <w:pPr>
        <w:ind w:left="500" w:right="459" w:hanging="208"/>
        <w:spacing w:after="0" w:line="281" w:lineRule="auto"/>
        <w:tabs>
          <w:tab w:leader="none" w:pos="500" w:val="left"/>
        </w:tabs>
        <w:numPr>
          <w:ilvl w:val="0"/>
          <w:numId w:val="24"/>
        </w:numPr>
        <w:rPr>
          <w:rFonts w:ascii="Arial" w:cs="Arial" w:eastAsia="Arial" w:hAnsi="Arial"/>
          <w:sz w:val="16"/>
          <w:szCs w:val="16"/>
          <w:color w:val="342C82"/>
        </w:rPr>
      </w:pPr>
      <w:r>
        <w:rPr>
          <w:rFonts w:ascii="Arial" w:cs="Arial" w:eastAsia="Arial" w:hAnsi="Arial"/>
          <w:sz w:val="16"/>
          <w:szCs w:val="16"/>
          <w:color w:val="auto"/>
        </w:rPr>
        <w:t>member of the healthcare industry, with a focus on healthcare equipment and supplies, healthcare providers and services, healthcare technology, biotechnology, pharmaceuticals and life sciences tools and services; and</w:t>
      </w:r>
    </w:p>
    <w:p>
      <w:pPr>
        <w:spacing w:after="0" w:line="1" w:lineRule="exact"/>
        <w:rPr>
          <w:rFonts w:ascii="Arial" w:cs="Arial" w:eastAsia="Arial" w:hAnsi="Arial"/>
          <w:sz w:val="16"/>
          <w:szCs w:val="16"/>
          <w:color w:val="342C82"/>
        </w:rPr>
      </w:pPr>
    </w:p>
    <w:p>
      <w:pPr>
        <w:ind w:left="500" w:right="579" w:hanging="208"/>
        <w:spacing w:after="0" w:line="286" w:lineRule="auto"/>
        <w:tabs>
          <w:tab w:leader="none" w:pos="500" w:val="left"/>
        </w:tabs>
        <w:numPr>
          <w:ilvl w:val="0"/>
          <w:numId w:val="24"/>
        </w:numPr>
        <w:rPr>
          <w:rFonts w:ascii="Arial" w:cs="Arial" w:eastAsia="Arial" w:hAnsi="Arial"/>
          <w:sz w:val="16"/>
          <w:szCs w:val="16"/>
          <w:color w:val="342C82"/>
        </w:rPr>
      </w:pPr>
      <w:r>
        <w:rPr>
          <w:rFonts w:ascii="Arial" w:cs="Arial" w:eastAsia="Arial" w:hAnsi="Arial"/>
          <w:sz w:val="16"/>
          <w:szCs w:val="16"/>
          <w:color w:val="auto"/>
        </w:rPr>
        <w:t>similar lines of business and characteristics: chronic condition management, international distribution, business complexity and clinical manufacturing.</w:t>
      </w:r>
    </w:p>
    <w:p>
      <w:pPr>
        <w:spacing w:after="0" w:line="102" w:lineRule="exact"/>
        <w:rPr>
          <w:sz w:val="20"/>
          <w:szCs w:val="20"/>
          <w:color w:val="auto"/>
        </w:rPr>
      </w:pPr>
    </w:p>
    <w:p>
      <w:pPr>
        <w:ind w:left="300" w:right="899"/>
        <w:spacing w:after="0" w:line="286" w:lineRule="auto"/>
        <w:rPr>
          <w:sz w:val="20"/>
          <w:szCs w:val="20"/>
          <w:color w:val="auto"/>
        </w:rPr>
      </w:pPr>
      <w:r>
        <w:rPr>
          <w:rFonts w:ascii="Arial" w:cs="Arial" w:eastAsia="Arial" w:hAnsi="Arial"/>
          <w:sz w:val="16"/>
          <w:szCs w:val="16"/>
          <w:color w:val="auto"/>
        </w:rPr>
        <w:t>Based on the above selection criteria and considering the recommendations of its independent compensation consultant, the Compensation Committee approved the following peer companies:</w:t>
      </w:r>
    </w:p>
    <w:p>
      <w:pPr>
        <w:spacing w:after="0" w:line="21" w:lineRule="exact"/>
        <w:rPr>
          <w:sz w:val="20"/>
          <w:szCs w:val="20"/>
          <w:color w:val="auto"/>
        </w:rPr>
      </w:pPr>
    </w:p>
    <w:tbl>
      <w:tblPr>
        <w:tblLayout w:type="fixed"/>
        <w:tblInd w:w="300" w:type="dxa"/>
        <w:tblCellMar>
          <w:top w:w="0" w:type="dxa"/>
          <w:left w:w="0" w:type="dxa"/>
          <w:bottom w:w="0" w:type="dxa"/>
          <w:right w:w="0" w:type="dxa"/>
        </w:tblCellMar>
      </w:tblPr>
      <w:tr>
        <w:trPr>
          <w:trHeight w:val="384"/>
        </w:trPr>
        <w:tc>
          <w:tcPr>
            <w:tcW w:w="2780" w:type="dxa"/>
            <w:vAlign w:val="bottom"/>
            <w:shd w:val="clear" w:color="auto" w:fill="E6E6E6"/>
          </w:tcPr>
          <w:p>
            <w:pPr>
              <w:ind w:left="260"/>
              <w:spacing w:after="0"/>
              <w:rPr>
                <w:sz w:val="20"/>
                <w:szCs w:val="20"/>
                <w:color w:val="auto"/>
              </w:rPr>
            </w:pPr>
            <w:r>
              <w:rPr>
                <w:rFonts w:ascii="Arial" w:cs="Arial" w:eastAsia="Arial" w:hAnsi="Arial"/>
                <w:sz w:val="16"/>
                <w:szCs w:val="16"/>
                <w:b w:val="1"/>
                <w:bCs w:val="1"/>
                <w:color w:val="342C82"/>
              </w:rPr>
              <w:t>Compensation Peer Group*</w:t>
            </w:r>
          </w:p>
        </w:tc>
        <w:tc>
          <w:tcPr>
            <w:tcW w:w="2500" w:type="dxa"/>
            <w:vAlign w:val="bottom"/>
            <w:shd w:val="clear" w:color="auto" w:fill="E6E6E6"/>
          </w:tcPr>
          <w:p>
            <w:pPr>
              <w:spacing w:after="0"/>
              <w:rPr>
                <w:sz w:val="24"/>
                <w:szCs w:val="24"/>
                <w:color w:val="auto"/>
              </w:rPr>
            </w:pPr>
          </w:p>
        </w:tc>
        <w:tc>
          <w:tcPr>
            <w:tcW w:w="3140" w:type="dxa"/>
            <w:vAlign w:val="bottom"/>
            <w:shd w:val="clear" w:color="auto" w:fill="E6E6E6"/>
          </w:tcPr>
          <w:p>
            <w:pPr>
              <w:spacing w:after="0"/>
              <w:rPr>
                <w:sz w:val="24"/>
                <w:szCs w:val="24"/>
                <w:color w:val="auto"/>
              </w:rPr>
            </w:pPr>
          </w:p>
        </w:tc>
      </w:tr>
      <w:tr>
        <w:trPr>
          <w:trHeight w:val="277"/>
        </w:trPr>
        <w:tc>
          <w:tcPr>
            <w:tcW w:w="2780" w:type="dxa"/>
            <w:vAlign w:val="bottom"/>
            <w:shd w:val="clear" w:color="auto" w:fill="E6E6E6"/>
          </w:tcPr>
          <w:p>
            <w:pPr>
              <w:ind w:left="260"/>
              <w:spacing w:after="0"/>
              <w:rPr>
                <w:sz w:val="20"/>
                <w:szCs w:val="20"/>
                <w:color w:val="auto"/>
              </w:rPr>
            </w:pPr>
            <w:r>
              <w:rPr>
                <w:rFonts w:ascii="Arial" w:cs="Arial" w:eastAsia="Arial" w:hAnsi="Arial"/>
                <w:sz w:val="16"/>
                <w:szCs w:val="16"/>
                <w:color w:val="auto"/>
              </w:rPr>
              <w:t>Avanos Medical, Inc,</w:t>
            </w:r>
          </w:p>
        </w:tc>
        <w:tc>
          <w:tcPr>
            <w:tcW w:w="2500" w:type="dxa"/>
            <w:vAlign w:val="bottom"/>
            <w:shd w:val="clear" w:color="auto" w:fill="E6E6E6"/>
          </w:tcPr>
          <w:p>
            <w:pPr>
              <w:ind w:left="100"/>
              <w:spacing w:after="0"/>
              <w:rPr>
                <w:sz w:val="20"/>
                <w:szCs w:val="20"/>
                <w:color w:val="auto"/>
              </w:rPr>
            </w:pPr>
            <w:r>
              <w:rPr>
                <w:rFonts w:ascii="Arial" w:cs="Arial" w:eastAsia="Arial" w:hAnsi="Arial"/>
                <w:sz w:val="16"/>
                <w:szCs w:val="16"/>
                <w:color w:val="auto"/>
              </w:rPr>
              <w:t>Insulet Corporation</w:t>
            </w:r>
          </w:p>
        </w:tc>
        <w:tc>
          <w:tcPr>
            <w:tcW w:w="3140" w:type="dxa"/>
            <w:vAlign w:val="bottom"/>
            <w:shd w:val="clear" w:color="auto" w:fill="E6E6E6"/>
          </w:tcPr>
          <w:p>
            <w:pPr>
              <w:ind w:left="320"/>
              <w:spacing w:after="0"/>
              <w:rPr>
                <w:sz w:val="20"/>
                <w:szCs w:val="20"/>
                <w:color w:val="auto"/>
              </w:rPr>
            </w:pPr>
            <w:r>
              <w:rPr>
                <w:rFonts w:ascii="Arial" w:cs="Arial" w:eastAsia="Arial" w:hAnsi="Arial"/>
                <w:sz w:val="16"/>
                <w:szCs w:val="16"/>
                <w:color w:val="auto"/>
              </w:rPr>
              <w:t>ResMed Inc.</w:t>
            </w:r>
          </w:p>
        </w:tc>
      </w:tr>
      <w:tr>
        <w:trPr>
          <w:trHeight w:val="189"/>
        </w:trPr>
        <w:tc>
          <w:tcPr>
            <w:tcW w:w="2780" w:type="dxa"/>
            <w:vAlign w:val="bottom"/>
            <w:shd w:val="clear" w:color="auto" w:fill="E6E6E6"/>
          </w:tcPr>
          <w:p>
            <w:pPr>
              <w:ind w:left="260"/>
              <w:spacing w:after="0"/>
              <w:rPr>
                <w:sz w:val="20"/>
                <w:szCs w:val="20"/>
                <w:color w:val="auto"/>
              </w:rPr>
            </w:pPr>
            <w:r>
              <w:rPr>
                <w:rFonts w:ascii="Arial" w:cs="Arial" w:eastAsia="Arial" w:hAnsi="Arial"/>
                <w:sz w:val="16"/>
                <w:szCs w:val="16"/>
                <w:color w:val="auto"/>
              </w:rPr>
              <w:t>Bio-Rad Laboratories, Inc.</w:t>
            </w:r>
          </w:p>
        </w:tc>
        <w:tc>
          <w:tcPr>
            <w:tcW w:w="2500" w:type="dxa"/>
            <w:vAlign w:val="bottom"/>
            <w:shd w:val="clear" w:color="auto" w:fill="E6E6E6"/>
          </w:tcPr>
          <w:p>
            <w:pPr>
              <w:ind w:left="100"/>
              <w:spacing w:after="0"/>
              <w:rPr>
                <w:sz w:val="20"/>
                <w:szCs w:val="20"/>
                <w:color w:val="auto"/>
              </w:rPr>
            </w:pPr>
            <w:r>
              <w:rPr>
                <w:rFonts w:ascii="Arial" w:cs="Arial" w:eastAsia="Arial" w:hAnsi="Arial"/>
                <w:sz w:val="16"/>
                <w:szCs w:val="16"/>
                <w:color w:val="auto"/>
              </w:rPr>
              <w:t>Integer Holdings Corporation</w:t>
            </w:r>
          </w:p>
        </w:tc>
        <w:tc>
          <w:tcPr>
            <w:tcW w:w="3140" w:type="dxa"/>
            <w:vAlign w:val="bottom"/>
            <w:shd w:val="clear" w:color="auto" w:fill="E6E6E6"/>
          </w:tcPr>
          <w:p>
            <w:pPr>
              <w:ind w:left="320"/>
              <w:spacing w:after="0"/>
              <w:rPr>
                <w:sz w:val="20"/>
                <w:szCs w:val="20"/>
                <w:color w:val="auto"/>
              </w:rPr>
            </w:pPr>
            <w:r>
              <w:rPr>
                <w:rFonts w:ascii="Arial" w:cs="Arial" w:eastAsia="Arial" w:hAnsi="Arial"/>
                <w:sz w:val="16"/>
                <w:szCs w:val="16"/>
                <w:color w:val="auto"/>
              </w:rPr>
              <w:t>Tandem Diabetes Care, Inc.</w:t>
            </w:r>
          </w:p>
        </w:tc>
      </w:tr>
      <w:tr>
        <w:trPr>
          <w:trHeight w:val="189"/>
        </w:trPr>
        <w:tc>
          <w:tcPr>
            <w:tcW w:w="2780" w:type="dxa"/>
            <w:vAlign w:val="bottom"/>
            <w:shd w:val="clear" w:color="auto" w:fill="E6E6E6"/>
          </w:tcPr>
          <w:p>
            <w:pPr>
              <w:ind w:left="260"/>
              <w:spacing w:after="0"/>
              <w:rPr>
                <w:sz w:val="20"/>
                <w:szCs w:val="20"/>
                <w:color w:val="auto"/>
              </w:rPr>
            </w:pPr>
            <w:r>
              <w:rPr>
                <w:rFonts w:ascii="Arial" w:cs="Arial" w:eastAsia="Arial" w:hAnsi="Arial"/>
                <w:sz w:val="16"/>
                <w:szCs w:val="16"/>
                <w:color w:val="auto"/>
              </w:rPr>
              <w:t>CONMED Corporation</w:t>
            </w:r>
          </w:p>
        </w:tc>
        <w:tc>
          <w:tcPr>
            <w:tcW w:w="2500" w:type="dxa"/>
            <w:vAlign w:val="bottom"/>
            <w:shd w:val="clear" w:color="auto" w:fill="E6E6E6"/>
          </w:tcPr>
          <w:p>
            <w:pPr>
              <w:ind w:left="100"/>
              <w:spacing w:after="0"/>
              <w:rPr>
                <w:sz w:val="20"/>
                <w:szCs w:val="20"/>
                <w:color w:val="auto"/>
              </w:rPr>
            </w:pPr>
            <w:r>
              <w:rPr>
                <w:rFonts w:ascii="Arial" w:cs="Arial" w:eastAsia="Arial" w:hAnsi="Arial"/>
                <w:sz w:val="16"/>
                <w:szCs w:val="16"/>
                <w:color w:val="auto"/>
              </w:rPr>
              <w:t>Integra LifeSciences Holding</w:t>
            </w:r>
          </w:p>
        </w:tc>
        <w:tc>
          <w:tcPr>
            <w:tcW w:w="3140" w:type="dxa"/>
            <w:vAlign w:val="bottom"/>
            <w:shd w:val="clear" w:color="auto" w:fill="E6E6E6"/>
          </w:tcPr>
          <w:p>
            <w:pPr>
              <w:ind w:left="320"/>
              <w:spacing w:after="0"/>
              <w:rPr>
                <w:sz w:val="20"/>
                <w:szCs w:val="20"/>
                <w:color w:val="auto"/>
              </w:rPr>
            </w:pPr>
            <w:r>
              <w:rPr>
                <w:rFonts w:ascii="Arial" w:cs="Arial" w:eastAsia="Arial" w:hAnsi="Arial"/>
                <w:sz w:val="16"/>
                <w:szCs w:val="16"/>
                <w:color w:val="auto"/>
              </w:rPr>
              <w:t>Teleflex Incorporated</w:t>
            </w:r>
          </w:p>
        </w:tc>
      </w:tr>
      <w:tr>
        <w:trPr>
          <w:trHeight w:val="189"/>
        </w:trPr>
        <w:tc>
          <w:tcPr>
            <w:tcW w:w="2780" w:type="dxa"/>
            <w:vAlign w:val="bottom"/>
            <w:shd w:val="clear" w:color="auto" w:fill="E6E6E6"/>
          </w:tcPr>
          <w:p>
            <w:pPr>
              <w:ind w:left="260"/>
              <w:spacing w:after="0"/>
              <w:rPr>
                <w:sz w:val="20"/>
                <w:szCs w:val="20"/>
                <w:color w:val="auto"/>
              </w:rPr>
            </w:pPr>
            <w:r>
              <w:rPr>
                <w:rFonts w:ascii="Arial" w:cs="Arial" w:eastAsia="Arial" w:hAnsi="Arial"/>
                <w:sz w:val="16"/>
                <w:szCs w:val="16"/>
                <w:color w:val="auto"/>
              </w:rPr>
              <w:t>DexCom, Inc.</w:t>
            </w:r>
          </w:p>
        </w:tc>
        <w:tc>
          <w:tcPr>
            <w:tcW w:w="2500" w:type="dxa"/>
            <w:vAlign w:val="bottom"/>
            <w:shd w:val="clear" w:color="auto" w:fill="E6E6E6"/>
          </w:tcPr>
          <w:p>
            <w:pPr>
              <w:ind w:left="100"/>
              <w:spacing w:after="0"/>
              <w:rPr>
                <w:sz w:val="20"/>
                <w:szCs w:val="20"/>
                <w:color w:val="auto"/>
              </w:rPr>
            </w:pPr>
            <w:r>
              <w:rPr>
                <w:rFonts w:ascii="Arial" w:cs="Arial" w:eastAsia="Arial" w:hAnsi="Arial"/>
                <w:sz w:val="16"/>
                <w:szCs w:val="16"/>
                <w:color w:val="auto"/>
              </w:rPr>
              <w:t>Corporation</w:t>
            </w:r>
          </w:p>
        </w:tc>
        <w:tc>
          <w:tcPr>
            <w:tcW w:w="3140" w:type="dxa"/>
            <w:vAlign w:val="bottom"/>
            <w:shd w:val="clear" w:color="auto" w:fill="E6E6E6"/>
          </w:tcPr>
          <w:p>
            <w:pPr>
              <w:ind w:left="320"/>
              <w:spacing w:after="0"/>
              <w:rPr>
                <w:sz w:val="20"/>
                <w:szCs w:val="20"/>
                <w:color w:val="auto"/>
              </w:rPr>
            </w:pPr>
            <w:r>
              <w:rPr>
                <w:rFonts w:ascii="Arial" w:cs="Arial" w:eastAsia="Arial" w:hAnsi="Arial"/>
                <w:sz w:val="16"/>
                <w:szCs w:val="16"/>
                <w:color w:val="auto"/>
              </w:rPr>
              <w:t>The Cooper Companies, Inc.</w:t>
            </w:r>
          </w:p>
        </w:tc>
      </w:tr>
      <w:tr>
        <w:trPr>
          <w:trHeight w:val="189"/>
        </w:trPr>
        <w:tc>
          <w:tcPr>
            <w:tcW w:w="2780" w:type="dxa"/>
            <w:vAlign w:val="bottom"/>
            <w:shd w:val="clear" w:color="auto" w:fill="E6E6E6"/>
          </w:tcPr>
          <w:p>
            <w:pPr>
              <w:ind w:left="260"/>
              <w:spacing w:after="0"/>
              <w:rPr>
                <w:sz w:val="20"/>
                <w:szCs w:val="20"/>
                <w:color w:val="auto"/>
              </w:rPr>
            </w:pPr>
            <w:r>
              <w:rPr>
                <w:rFonts w:ascii="Arial" w:cs="Arial" w:eastAsia="Arial" w:hAnsi="Arial"/>
                <w:sz w:val="16"/>
                <w:szCs w:val="16"/>
                <w:color w:val="auto"/>
              </w:rPr>
              <w:t>Haemonetics Corporation</w:t>
            </w:r>
          </w:p>
        </w:tc>
        <w:tc>
          <w:tcPr>
            <w:tcW w:w="2500" w:type="dxa"/>
            <w:vAlign w:val="bottom"/>
            <w:shd w:val="clear" w:color="auto" w:fill="E6E6E6"/>
          </w:tcPr>
          <w:p>
            <w:pPr>
              <w:ind w:left="100"/>
              <w:spacing w:after="0"/>
              <w:rPr>
                <w:sz w:val="20"/>
                <w:szCs w:val="20"/>
                <w:color w:val="auto"/>
              </w:rPr>
            </w:pPr>
            <w:r>
              <w:rPr>
                <w:rFonts w:ascii="Arial" w:cs="Arial" w:eastAsia="Arial" w:hAnsi="Arial"/>
                <w:sz w:val="16"/>
                <w:szCs w:val="16"/>
                <w:color w:val="auto"/>
              </w:rPr>
              <w:t>Nevro Corp.</w:t>
            </w:r>
          </w:p>
        </w:tc>
        <w:tc>
          <w:tcPr>
            <w:tcW w:w="3140" w:type="dxa"/>
            <w:vAlign w:val="bottom"/>
            <w:shd w:val="clear" w:color="auto" w:fill="E6E6E6"/>
          </w:tcPr>
          <w:p>
            <w:pPr>
              <w:ind w:left="320"/>
              <w:spacing w:after="0"/>
              <w:rPr>
                <w:sz w:val="20"/>
                <w:szCs w:val="20"/>
                <w:color w:val="auto"/>
              </w:rPr>
            </w:pPr>
            <w:r>
              <w:rPr>
                <w:rFonts w:ascii="Arial" w:cs="Arial" w:eastAsia="Arial" w:hAnsi="Arial"/>
                <w:sz w:val="16"/>
                <w:szCs w:val="16"/>
                <w:color w:val="auto"/>
              </w:rPr>
              <w:t>Waters Corporation</w:t>
            </w:r>
          </w:p>
        </w:tc>
      </w:tr>
      <w:tr>
        <w:trPr>
          <w:trHeight w:val="203"/>
        </w:trPr>
        <w:tc>
          <w:tcPr>
            <w:tcW w:w="2780" w:type="dxa"/>
            <w:vAlign w:val="bottom"/>
            <w:shd w:val="clear" w:color="auto" w:fill="E6E6E6"/>
          </w:tcPr>
          <w:p>
            <w:pPr>
              <w:ind w:left="260"/>
              <w:spacing w:after="0"/>
              <w:rPr>
                <w:sz w:val="20"/>
                <w:szCs w:val="20"/>
                <w:color w:val="auto"/>
              </w:rPr>
            </w:pPr>
            <w:r>
              <w:rPr>
                <w:rFonts w:ascii="Arial" w:cs="Arial" w:eastAsia="Arial" w:hAnsi="Arial"/>
                <w:sz w:val="16"/>
                <w:szCs w:val="16"/>
                <w:color w:val="auto"/>
              </w:rPr>
              <w:t>ICU Medical, Inc.</w:t>
            </w:r>
          </w:p>
        </w:tc>
        <w:tc>
          <w:tcPr>
            <w:tcW w:w="2500" w:type="dxa"/>
            <w:vAlign w:val="bottom"/>
            <w:shd w:val="clear" w:color="auto" w:fill="E6E6E6"/>
          </w:tcPr>
          <w:p>
            <w:pPr>
              <w:ind w:left="100"/>
              <w:spacing w:after="0"/>
              <w:rPr>
                <w:sz w:val="20"/>
                <w:szCs w:val="20"/>
                <w:color w:val="auto"/>
              </w:rPr>
            </w:pPr>
            <w:r>
              <w:rPr>
                <w:rFonts w:ascii="Arial" w:cs="Arial" w:eastAsia="Arial" w:hAnsi="Arial"/>
                <w:sz w:val="16"/>
                <w:szCs w:val="16"/>
                <w:color w:val="auto"/>
              </w:rPr>
              <w:t>Orthofix Medical Inc.</w:t>
            </w:r>
          </w:p>
        </w:tc>
        <w:tc>
          <w:tcPr>
            <w:tcW w:w="3140" w:type="dxa"/>
            <w:vAlign w:val="bottom"/>
            <w:shd w:val="clear" w:color="auto" w:fill="E6E6E6"/>
          </w:tcPr>
          <w:p>
            <w:pPr>
              <w:ind w:left="320"/>
              <w:spacing w:after="0"/>
              <w:rPr>
                <w:sz w:val="20"/>
                <w:szCs w:val="20"/>
                <w:color w:val="auto"/>
              </w:rPr>
            </w:pPr>
            <w:r>
              <w:rPr>
                <w:rFonts w:ascii="Arial" w:cs="Arial" w:eastAsia="Arial" w:hAnsi="Arial"/>
                <w:sz w:val="16"/>
                <w:szCs w:val="16"/>
                <w:color w:val="auto"/>
              </w:rPr>
              <w:t>West Pharmaceutical Services, Inc.</w:t>
            </w:r>
          </w:p>
        </w:tc>
      </w:tr>
      <w:tr>
        <w:trPr>
          <w:trHeight w:val="121"/>
        </w:trPr>
        <w:tc>
          <w:tcPr>
            <w:tcW w:w="2780" w:type="dxa"/>
            <w:vAlign w:val="bottom"/>
            <w:shd w:val="clear" w:color="auto" w:fill="E6E6E6"/>
          </w:tcPr>
          <w:p>
            <w:pPr>
              <w:spacing w:after="0"/>
              <w:rPr>
                <w:sz w:val="10"/>
                <w:szCs w:val="10"/>
                <w:color w:val="auto"/>
              </w:rPr>
            </w:pPr>
          </w:p>
        </w:tc>
        <w:tc>
          <w:tcPr>
            <w:tcW w:w="2500" w:type="dxa"/>
            <w:vAlign w:val="bottom"/>
            <w:shd w:val="clear" w:color="auto" w:fill="E6E6E6"/>
          </w:tcPr>
          <w:p>
            <w:pPr>
              <w:spacing w:after="0"/>
              <w:rPr>
                <w:sz w:val="10"/>
                <w:szCs w:val="10"/>
                <w:color w:val="auto"/>
              </w:rPr>
            </w:pPr>
          </w:p>
        </w:tc>
        <w:tc>
          <w:tcPr>
            <w:tcW w:w="3140" w:type="dxa"/>
            <w:vAlign w:val="bottom"/>
            <w:shd w:val="clear" w:color="auto" w:fill="E6E6E6"/>
          </w:tcPr>
          <w:p>
            <w:pPr>
              <w:spacing w:after="0"/>
              <w:rPr>
                <w:sz w:val="10"/>
                <w:szCs w:val="10"/>
                <w:color w:val="auto"/>
              </w:rPr>
            </w:pPr>
          </w:p>
        </w:tc>
      </w:tr>
    </w:tbl>
    <w:p>
      <w:pPr>
        <w:spacing w:after="0" w:line="247" w:lineRule="exact"/>
        <w:rPr>
          <w:sz w:val="20"/>
          <w:szCs w:val="20"/>
          <w:color w:val="auto"/>
        </w:rPr>
      </w:pPr>
    </w:p>
    <w:p>
      <w:pPr>
        <w:ind w:left="300"/>
        <w:spacing w:after="0"/>
        <w:rPr>
          <w:sz w:val="20"/>
          <w:szCs w:val="20"/>
          <w:color w:val="auto"/>
        </w:rPr>
      </w:pPr>
      <w:r>
        <w:rPr>
          <w:rFonts w:ascii="Arial" w:cs="Arial" w:eastAsia="Arial" w:hAnsi="Arial"/>
          <w:sz w:val="14"/>
          <w:szCs w:val="14"/>
          <w:color w:val="auto"/>
        </w:rPr>
        <w:t>* NuVasive, Inc. was removed from the peer group due to its acquisition by another company during 2024.</w:t>
      </w:r>
    </w:p>
    <w:p>
      <w:pPr>
        <w:spacing w:after="0" w:line="158" w:lineRule="exact"/>
        <w:rPr>
          <w:sz w:val="20"/>
          <w:szCs w:val="20"/>
          <w:color w:val="auto"/>
        </w:rPr>
      </w:pPr>
    </w:p>
    <w:p>
      <w:pPr>
        <w:ind w:left="300" w:right="359"/>
        <w:spacing w:after="0" w:line="259" w:lineRule="auto"/>
        <w:rPr>
          <w:sz w:val="20"/>
          <w:szCs w:val="20"/>
          <w:color w:val="auto"/>
        </w:rPr>
      </w:pPr>
      <w:r>
        <w:rPr>
          <w:rFonts w:ascii="Arial" w:cs="Arial" w:eastAsia="Arial" w:hAnsi="Arial"/>
          <w:sz w:val="16"/>
          <w:szCs w:val="16"/>
          <w:color w:val="auto"/>
        </w:rPr>
        <w:t>The Compensation Committee believes that compensation decisions are complex and require a deliberate review of Embecta performance and peer compensation levels. Other factors that may influence the amount of compensation awarded may include an executive’s scope, experience, criticality of role, performance and internal equity. In addition to the proxy market data from the peer group, the Compensation Committee also reviewed survey data.</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123825</wp:posOffset>
            </wp:positionV>
            <wp:extent cx="699516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9" w:name="page50"/>
    <w:bookmarkEnd w:id="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jc w:val="right"/>
        <w:ind w:right="299"/>
        <w:spacing w:after="0"/>
        <w:rPr>
          <w:sz w:val="20"/>
          <w:szCs w:val="20"/>
          <w:color w:val="auto"/>
        </w:rPr>
      </w:pPr>
      <w:r>
        <w:rPr>
          <w:rFonts w:ascii="Arial" w:cs="Arial" w:eastAsia="Arial" w:hAnsi="Arial"/>
          <w:sz w:val="16"/>
          <w:szCs w:val="16"/>
          <w:color w:val="342C82"/>
        </w:rPr>
        <w:t>Compensation Discussion and Analysis</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29"/>
          <w:szCs w:val="29"/>
          <w:color w:val="342C82"/>
        </w:rPr>
        <w:t>Our compensation objectives and practices</w:t>
      </w:r>
    </w:p>
    <w:p>
      <w:pPr>
        <w:spacing w:after="0" w:line="130" w:lineRule="exact"/>
        <w:rPr>
          <w:sz w:val="20"/>
          <w:szCs w:val="20"/>
          <w:color w:val="auto"/>
        </w:rPr>
      </w:pPr>
    </w:p>
    <w:p>
      <w:pPr>
        <w:ind w:left="300" w:right="319"/>
        <w:spacing w:after="0" w:line="254" w:lineRule="auto"/>
        <w:rPr>
          <w:sz w:val="20"/>
          <w:szCs w:val="20"/>
          <w:color w:val="auto"/>
        </w:rPr>
      </w:pPr>
      <w:r>
        <w:rPr>
          <w:rFonts w:ascii="Arial" w:cs="Arial" w:eastAsia="Arial" w:hAnsi="Arial"/>
          <w:sz w:val="16"/>
          <w:szCs w:val="16"/>
          <w:color w:val="auto"/>
        </w:rPr>
        <w:t>Our goal is to provide an executive compensation program that best serves the long-term interests of our stockholders. We believe that attracting and retaining superior talent and rewarding performance is key to delivering long-term stockholder returns and that a competitive compensation program is critical to that end. We strive to provide a competitive compensation package to our executives that ties a significant portion of pay to performance and uses components that align the interests of our executives with those of Embecta’s stockholders. The following is a summary of important aspects of our executive compensation program.</w:t>
      </w:r>
    </w:p>
    <w:p>
      <w:pPr>
        <w:spacing w:after="0" w:line="168" w:lineRule="exact"/>
        <w:rPr>
          <w:sz w:val="20"/>
          <w:szCs w:val="20"/>
          <w:color w:val="auto"/>
        </w:rPr>
      </w:pPr>
    </w:p>
    <w:p>
      <w:pPr>
        <w:ind w:left="500" w:right="319" w:hanging="208"/>
        <w:spacing w:after="0" w:line="266" w:lineRule="auto"/>
        <w:tabs>
          <w:tab w:leader="none" w:pos="500" w:val="left"/>
        </w:tabs>
        <w:numPr>
          <w:ilvl w:val="0"/>
          <w:numId w:val="25"/>
        </w:numPr>
        <w:rPr>
          <w:rFonts w:ascii="Arial" w:cs="Arial" w:eastAsia="Arial" w:hAnsi="Arial"/>
          <w:sz w:val="16"/>
          <w:szCs w:val="16"/>
          <w:color w:val="342C82"/>
        </w:rPr>
      </w:pPr>
      <w:r>
        <w:rPr>
          <w:rFonts w:ascii="Arial" w:cs="Arial" w:eastAsia="Arial" w:hAnsi="Arial"/>
          <w:sz w:val="16"/>
          <w:szCs w:val="16"/>
          <w:b w:val="1"/>
          <w:bCs w:val="1"/>
          <w:color w:val="342C82"/>
        </w:rPr>
        <w:t xml:space="preserve">Balanced mix of pay components and incentives. </w:t>
      </w:r>
      <w:r>
        <w:rPr>
          <w:rFonts w:ascii="Arial" w:cs="Arial" w:eastAsia="Arial" w:hAnsi="Arial"/>
          <w:sz w:val="16"/>
          <w:szCs w:val="16"/>
          <w:color w:val="000000"/>
        </w:rPr>
        <w:t>We target a balanced mix of cash and equity compensation,</w:t>
      </w:r>
      <w:r>
        <w:rPr>
          <w:rFonts w:ascii="Arial" w:cs="Arial" w:eastAsia="Arial" w:hAnsi="Arial"/>
          <w:sz w:val="16"/>
          <w:szCs w:val="16"/>
          <w:b w:val="1"/>
          <w:bCs w:val="1"/>
          <w:color w:val="342C82"/>
        </w:rPr>
        <w:t xml:space="preserve"> </w:t>
      </w:r>
      <w:r>
        <w:rPr>
          <w:rFonts w:ascii="Arial" w:cs="Arial" w:eastAsia="Arial" w:hAnsi="Arial"/>
          <w:sz w:val="16"/>
          <w:szCs w:val="16"/>
          <w:color w:val="000000"/>
        </w:rPr>
        <w:t>and of annual and long-term incentives. The key elements of our program are salary, annual cash incentives under the annual bonus plan and long-term equity compensation.</w:t>
      </w:r>
    </w:p>
    <w:p>
      <w:pPr>
        <w:spacing w:after="0" w:line="36" w:lineRule="exact"/>
        <w:rPr>
          <w:rFonts w:ascii="Arial" w:cs="Arial" w:eastAsia="Arial" w:hAnsi="Arial"/>
          <w:sz w:val="16"/>
          <w:szCs w:val="16"/>
          <w:color w:val="342C82"/>
        </w:rPr>
      </w:pPr>
    </w:p>
    <w:p>
      <w:pPr>
        <w:ind w:left="500" w:right="379" w:hanging="208"/>
        <w:spacing w:after="0" w:line="266" w:lineRule="auto"/>
        <w:tabs>
          <w:tab w:leader="none" w:pos="500" w:val="left"/>
        </w:tabs>
        <w:numPr>
          <w:ilvl w:val="0"/>
          <w:numId w:val="25"/>
        </w:numPr>
        <w:rPr>
          <w:rFonts w:ascii="Arial" w:cs="Arial" w:eastAsia="Arial" w:hAnsi="Arial"/>
          <w:sz w:val="16"/>
          <w:szCs w:val="16"/>
          <w:color w:val="342C82"/>
        </w:rPr>
      </w:pPr>
      <w:r>
        <w:rPr>
          <w:rFonts w:ascii="Arial" w:cs="Arial" w:eastAsia="Arial" w:hAnsi="Arial"/>
          <w:sz w:val="16"/>
          <w:szCs w:val="16"/>
          <w:b w:val="1"/>
          <w:bCs w:val="1"/>
          <w:color w:val="342C82"/>
        </w:rPr>
        <w:t xml:space="preserve">Significant performance-based compensation tied to business strategy. </w:t>
      </w:r>
      <w:r>
        <w:rPr>
          <w:rFonts w:ascii="Arial" w:cs="Arial" w:eastAsia="Arial" w:hAnsi="Arial"/>
          <w:sz w:val="16"/>
          <w:szCs w:val="16"/>
          <w:color w:val="000000"/>
        </w:rPr>
        <w:t>We emphasize pay-for-performance</w:t>
      </w:r>
      <w:r>
        <w:rPr>
          <w:rFonts w:ascii="Arial" w:cs="Arial" w:eastAsia="Arial" w:hAnsi="Arial"/>
          <w:sz w:val="16"/>
          <w:szCs w:val="16"/>
          <w:b w:val="1"/>
          <w:bCs w:val="1"/>
          <w:color w:val="342C82"/>
        </w:rPr>
        <w:t xml:space="preserve"> </w:t>
      </w:r>
      <w:r>
        <w:rPr>
          <w:rFonts w:ascii="Arial" w:cs="Arial" w:eastAsia="Arial" w:hAnsi="Arial"/>
          <w:sz w:val="16"/>
          <w:szCs w:val="16"/>
          <w:color w:val="000000"/>
        </w:rPr>
        <w:t>to align executive compensation with the execution of our business strategy and the creation of long-term stockholder value. We use performance metrics that are aligned with and support Embecta’s business strategy.</w:t>
      </w:r>
    </w:p>
    <w:p>
      <w:pPr>
        <w:spacing w:after="0" w:line="49" w:lineRule="exact"/>
        <w:rPr>
          <w:rFonts w:ascii="Arial" w:cs="Arial" w:eastAsia="Arial" w:hAnsi="Arial"/>
          <w:sz w:val="16"/>
          <w:szCs w:val="16"/>
          <w:color w:val="342C82"/>
        </w:rPr>
      </w:pPr>
    </w:p>
    <w:p>
      <w:pPr>
        <w:ind w:left="500" w:right="399" w:hanging="208"/>
        <w:spacing w:after="0" w:line="286" w:lineRule="auto"/>
        <w:tabs>
          <w:tab w:leader="none" w:pos="500" w:val="left"/>
        </w:tabs>
        <w:numPr>
          <w:ilvl w:val="0"/>
          <w:numId w:val="25"/>
        </w:numPr>
        <w:rPr>
          <w:rFonts w:ascii="Arial" w:cs="Arial" w:eastAsia="Arial" w:hAnsi="Arial"/>
          <w:sz w:val="16"/>
          <w:szCs w:val="16"/>
          <w:color w:val="342C82"/>
        </w:rPr>
      </w:pPr>
      <w:r>
        <w:rPr>
          <w:rFonts w:ascii="Arial" w:cs="Arial" w:eastAsia="Arial" w:hAnsi="Arial"/>
          <w:sz w:val="16"/>
          <w:szCs w:val="16"/>
          <w:b w:val="1"/>
          <w:bCs w:val="1"/>
          <w:color w:val="342C82"/>
        </w:rPr>
        <w:t xml:space="preserve">Meaningful performance-based compensation to mitigate excessive risk-taking. </w:t>
      </w:r>
      <w:r>
        <w:rPr>
          <w:rFonts w:ascii="Arial" w:cs="Arial" w:eastAsia="Arial" w:hAnsi="Arial"/>
          <w:sz w:val="16"/>
          <w:szCs w:val="16"/>
          <w:color w:val="000000"/>
        </w:rPr>
        <w:t>While we emphasize “at</w:t>
      </w:r>
      <w:r>
        <w:rPr>
          <w:rFonts w:ascii="Arial" w:cs="Arial" w:eastAsia="Arial" w:hAnsi="Arial"/>
          <w:sz w:val="16"/>
          <w:szCs w:val="16"/>
          <w:b w:val="1"/>
          <w:bCs w:val="1"/>
          <w:color w:val="342C82"/>
        </w:rPr>
        <w:t xml:space="preserve"> </w:t>
      </w:r>
      <w:r>
        <w:rPr>
          <w:rFonts w:ascii="Arial" w:cs="Arial" w:eastAsia="Arial" w:hAnsi="Arial"/>
          <w:sz w:val="16"/>
          <w:szCs w:val="16"/>
          <w:color w:val="000000"/>
        </w:rPr>
        <w:t>risk” pay tied to performance, we believe our program does not encourage excessive risk-taking by management.</w:t>
      </w:r>
    </w:p>
    <w:p>
      <w:pPr>
        <w:spacing w:after="0" w:line="34" w:lineRule="exact"/>
        <w:rPr>
          <w:rFonts w:ascii="Arial" w:cs="Arial" w:eastAsia="Arial" w:hAnsi="Arial"/>
          <w:sz w:val="16"/>
          <w:szCs w:val="16"/>
          <w:color w:val="342C82"/>
        </w:rPr>
      </w:pPr>
    </w:p>
    <w:p>
      <w:pPr>
        <w:jc w:val="both"/>
        <w:ind w:left="500" w:right="499" w:hanging="208"/>
        <w:spacing w:after="0" w:line="266" w:lineRule="auto"/>
        <w:tabs>
          <w:tab w:leader="none" w:pos="500" w:val="left"/>
        </w:tabs>
        <w:numPr>
          <w:ilvl w:val="0"/>
          <w:numId w:val="25"/>
        </w:numPr>
        <w:rPr>
          <w:rFonts w:ascii="Arial" w:cs="Arial" w:eastAsia="Arial" w:hAnsi="Arial"/>
          <w:sz w:val="16"/>
          <w:szCs w:val="16"/>
          <w:color w:val="342C82"/>
        </w:rPr>
      </w:pPr>
      <w:r>
        <w:rPr>
          <w:rFonts w:ascii="Arial" w:cs="Arial" w:eastAsia="Arial" w:hAnsi="Arial"/>
          <w:sz w:val="16"/>
          <w:szCs w:val="16"/>
          <w:b w:val="1"/>
          <w:bCs w:val="1"/>
          <w:color w:val="342C82"/>
        </w:rPr>
        <w:t xml:space="preserve">Share retention guidelines and policy against pledging/hedging. </w:t>
      </w:r>
      <w:r>
        <w:rPr>
          <w:rFonts w:ascii="Arial" w:cs="Arial" w:eastAsia="Arial" w:hAnsi="Arial"/>
          <w:sz w:val="16"/>
          <w:szCs w:val="16"/>
          <w:color w:val="000000"/>
        </w:rPr>
        <w:t>Our executives are subject to robust share</w:t>
      </w:r>
      <w:r>
        <w:rPr>
          <w:rFonts w:ascii="Arial" w:cs="Arial" w:eastAsia="Arial" w:hAnsi="Arial"/>
          <w:sz w:val="16"/>
          <w:szCs w:val="16"/>
          <w:b w:val="1"/>
          <w:bCs w:val="1"/>
          <w:color w:val="342C82"/>
        </w:rPr>
        <w:t xml:space="preserve"> </w:t>
      </w:r>
      <w:r>
        <w:rPr>
          <w:rFonts w:ascii="Arial" w:cs="Arial" w:eastAsia="Arial" w:hAnsi="Arial"/>
          <w:sz w:val="16"/>
          <w:szCs w:val="16"/>
          <w:color w:val="000000"/>
        </w:rPr>
        <w:t>retention and ownership guidelines and are prohibited from pledging or short selling Embecta shares or hedging against the economic risk of their ownership.</w:t>
      </w:r>
    </w:p>
    <w:p>
      <w:pPr>
        <w:spacing w:after="0" w:line="36" w:lineRule="exact"/>
        <w:rPr>
          <w:rFonts w:ascii="Arial" w:cs="Arial" w:eastAsia="Arial" w:hAnsi="Arial"/>
          <w:sz w:val="16"/>
          <w:szCs w:val="16"/>
          <w:color w:val="342C82"/>
        </w:rPr>
      </w:pPr>
    </w:p>
    <w:p>
      <w:pPr>
        <w:ind w:left="500" w:right="699" w:hanging="208"/>
        <w:spacing w:after="0" w:line="286" w:lineRule="auto"/>
        <w:tabs>
          <w:tab w:leader="none" w:pos="500" w:val="left"/>
        </w:tabs>
        <w:numPr>
          <w:ilvl w:val="0"/>
          <w:numId w:val="25"/>
        </w:numPr>
        <w:rPr>
          <w:rFonts w:ascii="Arial" w:cs="Arial" w:eastAsia="Arial" w:hAnsi="Arial"/>
          <w:sz w:val="16"/>
          <w:szCs w:val="16"/>
          <w:color w:val="342C82"/>
        </w:rPr>
      </w:pPr>
      <w:r>
        <w:rPr>
          <w:rFonts w:ascii="Arial" w:cs="Arial" w:eastAsia="Arial" w:hAnsi="Arial"/>
          <w:sz w:val="16"/>
          <w:szCs w:val="16"/>
          <w:b w:val="1"/>
          <w:bCs w:val="1"/>
          <w:color w:val="342C82"/>
        </w:rPr>
        <w:t xml:space="preserve">Limited perquisites. </w:t>
      </w:r>
      <w:r>
        <w:rPr>
          <w:rFonts w:ascii="Arial" w:cs="Arial" w:eastAsia="Arial" w:hAnsi="Arial"/>
          <w:sz w:val="16"/>
          <w:szCs w:val="16"/>
          <w:color w:val="000000"/>
        </w:rPr>
        <w:t>We do not offer special perquisites that are not available to other officers of Embecta or</w:t>
      </w:r>
      <w:r>
        <w:rPr>
          <w:rFonts w:ascii="Arial" w:cs="Arial" w:eastAsia="Arial" w:hAnsi="Arial"/>
          <w:sz w:val="16"/>
          <w:szCs w:val="16"/>
          <w:b w:val="1"/>
          <w:bCs w:val="1"/>
          <w:color w:val="342C82"/>
        </w:rPr>
        <w:t xml:space="preserve"> </w:t>
      </w:r>
      <w:r>
        <w:rPr>
          <w:rFonts w:ascii="Arial" w:cs="Arial" w:eastAsia="Arial" w:hAnsi="Arial"/>
          <w:sz w:val="16"/>
          <w:szCs w:val="16"/>
          <w:color w:val="000000"/>
        </w:rPr>
        <w:t>other personal benefits to our NEOs.</w:t>
      </w:r>
    </w:p>
    <w:p>
      <w:pPr>
        <w:spacing w:after="0" w:line="34" w:lineRule="exact"/>
        <w:rPr>
          <w:rFonts w:ascii="Arial" w:cs="Arial" w:eastAsia="Arial" w:hAnsi="Arial"/>
          <w:sz w:val="16"/>
          <w:szCs w:val="16"/>
          <w:color w:val="342C82"/>
        </w:rPr>
      </w:pPr>
    </w:p>
    <w:p>
      <w:pPr>
        <w:ind w:left="500" w:right="379" w:hanging="208"/>
        <w:spacing w:after="0" w:line="253" w:lineRule="auto"/>
        <w:tabs>
          <w:tab w:leader="none" w:pos="500" w:val="left"/>
        </w:tabs>
        <w:numPr>
          <w:ilvl w:val="0"/>
          <w:numId w:val="25"/>
        </w:numPr>
        <w:rPr>
          <w:rFonts w:ascii="Arial" w:cs="Arial" w:eastAsia="Arial" w:hAnsi="Arial"/>
          <w:sz w:val="16"/>
          <w:szCs w:val="16"/>
          <w:color w:val="342C82"/>
        </w:rPr>
      </w:pPr>
      <w:r>
        <w:rPr>
          <w:rFonts w:ascii="Arial" w:cs="Arial" w:eastAsia="Arial" w:hAnsi="Arial"/>
          <w:sz w:val="16"/>
          <w:szCs w:val="16"/>
          <w:b w:val="1"/>
          <w:bCs w:val="1"/>
          <w:color w:val="342C82"/>
        </w:rPr>
        <w:t xml:space="preserve">Clawback policies. </w:t>
      </w:r>
      <w:r>
        <w:rPr>
          <w:rFonts w:ascii="Arial" w:cs="Arial" w:eastAsia="Arial" w:hAnsi="Arial"/>
          <w:sz w:val="16"/>
          <w:szCs w:val="16"/>
          <w:color w:val="000000"/>
        </w:rPr>
        <w:t>We have a compensation recovery policy that gives the Board the authority to recover</w:t>
      </w:r>
      <w:r>
        <w:rPr>
          <w:rFonts w:ascii="Arial" w:cs="Arial" w:eastAsia="Arial" w:hAnsi="Arial"/>
          <w:sz w:val="16"/>
          <w:szCs w:val="16"/>
          <w:b w:val="1"/>
          <w:bCs w:val="1"/>
          <w:color w:val="342C82"/>
        </w:rPr>
        <w:t xml:space="preserve"> </w:t>
      </w:r>
      <w:r>
        <w:rPr>
          <w:rFonts w:ascii="Arial" w:cs="Arial" w:eastAsia="Arial" w:hAnsi="Arial"/>
          <w:sz w:val="16"/>
          <w:szCs w:val="16"/>
          <w:color w:val="000000"/>
        </w:rPr>
        <w:t>incentive compensation paid to senior management in the event of a restatement of our financial statements resulting from that person’s misconduct and to recover equity compensation awarded to a member of management if such executive breaches certain restrictive covenants. In compliance with Nasdaq’s rules, we also have a compensation recovery policy that gives the Board the authority to recover incentive compensation paid to current or former senior management in the event of a restatement of our financial statement, regardless of individual misconduct.</w:t>
      </w:r>
    </w:p>
    <w:p>
      <w:pPr>
        <w:spacing w:after="0" w:line="59" w:lineRule="exact"/>
        <w:rPr>
          <w:rFonts w:ascii="Arial" w:cs="Arial" w:eastAsia="Arial" w:hAnsi="Arial"/>
          <w:sz w:val="16"/>
          <w:szCs w:val="16"/>
          <w:color w:val="342C82"/>
        </w:rPr>
      </w:pPr>
    </w:p>
    <w:p>
      <w:pPr>
        <w:ind w:left="500" w:right="559" w:hanging="208"/>
        <w:spacing w:after="0" w:line="266" w:lineRule="auto"/>
        <w:tabs>
          <w:tab w:leader="none" w:pos="500" w:val="left"/>
        </w:tabs>
        <w:numPr>
          <w:ilvl w:val="0"/>
          <w:numId w:val="25"/>
        </w:numPr>
        <w:rPr>
          <w:rFonts w:ascii="Arial" w:cs="Arial" w:eastAsia="Arial" w:hAnsi="Arial"/>
          <w:sz w:val="16"/>
          <w:szCs w:val="16"/>
          <w:color w:val="342C82"/>
        </w:rPr>
      </w:pPr>
      <w:r>
        <w:rPr>
          <w:rFonts w:ascii="Arial" w:cs="Arial" w:eastAsia="Arial" w:hAnsi="Arial"/>
          <w:sz w:val="16"/>
          <w:szCs w:val="16"/>
          <w:b w:val="1"/>
          <w:bCs w:val="1"/>
          <w:color w:val="342C82"/>
        </w:rPr>
        <w:t xml:space="preserve">Change in control arrangements. </w:t>
      </w:r>
      <w:r>
        <w:rPr>
          <w:rFonts w:ascii="Arial" w:cs="Arial" w:eastAsia="Arial" w:hAnsi="Arial"/>
          <w:sz w:val="16"/>
          <w:szCs w:val="16"/>
          <w:color w:val="000000"/>
        </w:rPr>
        <w:t>We have “double-trigger” change in control agreements with our NEOs to</w:t>
      </w:r>
      <w:r>
        <w:rPr>
          <w:rFonts w:ascii="Arial" w:cs="Arial" w:eastAsia="Arial" w:hAnsi="Arial"/>
          <w:sz w:val="16"/>
          <w:szCs w:val="16"/>
          <w:b w:val="1"/>
          <w:bCs w:val="1"/>
          <w:color w:val="342C82"/>
        </w:rPr>
        <w:t xml:space="preserve"> </w:t>
      </w:r>
      <w:r>
        <w:rPr>
          <w:rFonts w:ascii="Arial" w:cs="Arial" w:eastAsia="Arial" w:hAnsi="Arial"/>
          <w:sz w:val="16"/>
          <w:szCs w:val="16"/>
          <w:color w:val="000000"/>
        </w:rPr>
        <w:t>provide continuity of management in the event of an actual or potential change in control. Our change in control agreements do not contain any excise tax “gross-up” provisions.</w:t>
      </w:r>
    </w:p>
    <w:p>
      <w:pPr>
        <w:spacing w:after="0" w:line="36" w:lineRule="exact"/>
        <w:rPr>
          <w:rFonts w:ascii="Arial" w:cs="Arial" w:eastAsia="Arial" w:hAnsi="Arial"/>
          <w:sz w:val="16"/>
          <w:szCs w:val="16"/>
          <w:color w:val="342C82"/>
        </w:rPr>
      </w:pPr>
    </w:p>
    <w:p>
      <w:pPr>
        <w:ind w:left="500" w:right="359" w:hanging="208"/>
        <w:spacing w:after="0" w:line="286" w:lineRule="auto"/>
        <w:tabs>
          <w:tab w:leader="none" w:pos="500" w:val="left"/>
        </w:tabs>
        <w:numPr>
          <w:ilvl w:val="0"/>
          <w:numId w:val="25"/>
        </w:numPr>
        <w:rPr>
          <w:rFonts w:ascii="Arial" w:cs="Arial" w:eastAsia="Arial" w:hAnsi="Arial"/>
          <w:sz w:val="16"/>
          <w:szCs w:val="16"/>
          <w:color w:val="342C82"/>
        </w:rPr>
      </w:pPr>
      <w:r>
        <w:rPr>
          <w:rFonts w:ascii="Arial" w:cs="Arial" w:eastAsia="Arial" w:hAnsi="Arial"/>
          <w:sz w:val="16"/>
          <w:szCs w:val="16"/>
          <w:b w:val="1"/>
          <w:bCs w:val="1"/>
          <w:color w:val="342C82"/>
        </w:rPr>
        <w:t xml:space="preserve">Use of independent compensation consultant. </w:t>
      </w:r>
      <w:r>
        <w:rPr>
          <w:rFonts w:ascii="Arial" w:cs="Arial" w:eastAsia="Arial" w:hAnsi="Arial"/>
          <w:sz w:val="16"/>
          <w:szCs w:val="16"/>
          <w:color w:val="000000"/>
        </w:rPr>
        <w:t>The Compensation Committee uses an independent</w:t>
      </w:r>
      <w:r>
        <w:rPr>
          <w:rFonts w:ascii="Arial" w:cs="Arial" w:eastAsia="Arial" w:hAnsi="Arial"/>
          <w:sz w:val="16"/>
          <w:szCs w:val="16"/>
          <w:b w:val="1"/>
          <w:bCs w:val="1"/>
          <w:color w:val="342C82"/>
        </w:rPr>
        <w:t xml:space="preserve"> </w:t>
      </w:r>
      <w:r>
        <w:rPr>
          <w:rFonts w:ascii="Arial" w:cs="Arial" w:eastAsia="Arial" w:hAnsi="Arial"/>
          <w:sz w:val="16"/>
          <w:szCs w:val="16"/>
          <w:color w:val="000000"/>
        </w:rPr>
        <w:t>compensation consultant to assist it in designing our compensation program and making compensation decisions.</w:t>
      </w:r>
    </w:p>
    <w:p>
      <w:pPr>
        <w:spacing w:after="0" w:line="323" w:lineRule="exact"/>
        <w:rPr>
          <w:sz w:val="20"/>
          <w:szCs w:val="20"/>
          <w:color w:val="auto"/>
        </w:rPr>
      </w:pPr>
    </w:p>
    <w:p>
      <w:pPr>
        <w:ind w:left="300"/>
        <w:spacing w:after="0"/>
        <w:rPr>
          <w:sz w:val="20"/>
          <w:szCs w:val="20"/>
          <w:color w:val="auto"/>
        </w:rPr>
      </w:pPr>
      <w:r>
        <w:rPr>
          <w:rFonts w:ascii="Arial" w:cs="Arial" w:eastAsia="Arial" w:hAnsi="Arial"/>
          <w:sz w:val="25"/>
          <w:szCs w:val="25"/>
          <w:color w:val="342C82"/>
        </w:rPr>
        <w:t>Our risk analysis of performance-based compensation</w:t>
      </w:r>
    </w:p>
    <w:p>
      <w:pPr>
        <w:spacing w:after="0" w:line="139" w:lineRule="exact"/>
        <w:rPr>
          <w:sz w:val="20"/>
          <w:szCs w:val="20"/>
          <w:color w:val="auto"/>
        </w:rPr>
      </w:pPr>
    </w:p>
    <w:p>
      <w:pPr>
        <w:ind w:left="300" w:right="439"/>
        <w:spacing w:after="0" w:line="259" w:lineRule="auto"/>
        <w:rPr>
          <w:sz w:val="20"/>
          <w:szCs w:val="20"/>
          <w:color w:val="auto"/>
        </w:rPr>
      </w:pPr>
      <w:r>
        <w:rPr>
          <w:rFonts w:ascii="Arial" w:cs="Arial" w:eastAsia="Arial" w:hAnsi="Arial"/>
          <w:sz w:val="16"/>
          <w:szCs w:val="16"/>
          <w:color w:val="auto"/>
        </w:rPr>
        <w:t>While a significant portion of our executive compensation is performance-based, we do not believe that our program encourages excessive or unnecessary risk-taking. The Compensation Committee focuses on aligning Embecta’s compensation practices with Embecta’s long-term strategy and avoiding short-term rewards for management decisions that could pose long-term risks to Embecta. This includes:</w:t>
      </w:r>
    </w:p>
    <w:p>
      <w:pPr>
        <w:spacing w:after="0" w:line="164" w:lineRule="exact"/>
        <w:rPr>
          <w:sz w:val="20"/>
          <w:szCs w:val="20"/>
          <w:color w:val="auto"/>
        </w:rPr>
      </w:pPr>
    </w:p>
    <w:p>
      <w:pPr>
        <w:jc w:val="both"/>
        <w:ind w:left="500" w:right="479" w:hanging="208"/>
        <w:spacing w:after="0" w:line="256" w:lineRule="auto"/>
        <w:tabs>
          <w:tab w:leader="none" w:pos="500" w:val="left"/>
        </w:tabs>
        <w:numPr>
          <w:ilvl w:val="0"/>
          <w:numId w:val="26"/>
        </w:numPr>
        <w:rPr>
          <w:rFonts w:ascii="Arial" w:cs="Arial" w:eastAsia="Arial" w:hAnsi="Arial"/>
          <w:sz w:val="16"/>
          <w:szCs w:val="16"/>
          <w:color w:val="342C82"/>
        </w:rPr>
      </w:pPr>
      <w:r>
        <w:rPr>
          <w:rFonts w:ascii="Arial" w:cs="Arial" w:eastAsia="Arial" w:hAnsi="Arial"/>
          <w:sz w:val="16"/>
          <w:szCs w:val="16"/>
          <w:b w:val="1"/>
          <w:bCs w:val="1"/>
          <w:color w:val="342C82"/>
        </w:rPr>
        <w:t xml:space="preserve">Limits on Bonus Plan awards. </w:t>
      </w:r>
      <w:r>
        <w:rPr>
          <w:rFonts w:ascii="Arial" w:cs="Arial" w:eastAsia="Arial" w:hAnsi="Arial"/>
          <w:sz w:val="16"/>
          <w:szCs w:val="16"/>
          <w:color w:val="000000"/>
        </w:rPr>
        <w:t>We do not overweigh short-term incentives as a proportion of total pay. Bonus</w:t>
      </w:r>
      <w:r>
        <w:rPr>
          <w:rFonts w:ascii="Arial" w:cs="Arial" w:eastAsia="Arial" w:hAnsi="Arial"/>
          <w:sz w:val="16"/>
          <w:szCs w:val="16"/>
          <w:b w:val="1"/>
          <w:bCs w:val="1"/>
          <w:color w:val="342C82"/>
        </w:rPr>
        <w:t xml:space="preserve"> </w:t>
      </w:r>
      <w:r>
        <w:rPr>
          <w:rFonts w:ascii="Arial" w:cs="Arial" w:eastAsia="Arial" w:hAnsi="Arial"/>
          <w:sz w:val="16"/>
          <w:szCs w:val="16"/>
          <w:color w:val="000000"/>
        </w:rPr>
        <w:t>Plan awards are also capped at 200% of an executive’s target award to protect against disproportionately large short-term incentives. The Compensation Committee has the discretion to determine and adjust award amounts based on any factors it deems appropriate, including whether management has taken unnecessary or excessive risk.</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123825</wp:posOffset>
            </wp:positionV>
            <wp:extent cx="699516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0" w:name="page51"/>
    <w:bookmarkEnd w:id="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6"/>
          <w:szCs w:val="16"/>
          <w:color w:val="342C82"/>
        </w:rPr>
        <w:t>Compensation Discussion and Analysis</w:t>
      </w:r>
    </w:p>
    <w:p>
      <w:pPr>
        <w:spacing w:after="0" w:line="113" w:lineRule="exact"/>
        <w:rPr>
          <w:sz w:val="20"/>
          <w:szCs w:val="20"/>
          <w:color w:val="auto"/>
        </w:rPr>
      </w:pPr>
    </w:p>
    <w:p>
      <w:pPr>
        <w:jc w:val="both"/>
        <w:ind w:left="500" w:right="399" w:hanging="208"/>
        <w:spacing w:after="0" w:line="266" w:lineRule="auto"/>
        <w:tabs>
          <w:tab w:leader="none" w:pos="500" w:val="left"/>
        </w:tabs>
        <w:numPr>
          <w:ilvl w:val="0"/>
          <w:numId w:val="27"/>
        </w:numPr>
        <w:rPr>
          <w:rFonts w:ascii="Arial" w:cs="Arial" w:eastAsia="Arial" w:hAnsi="Arial"/>
          <w:sz w:val="16"/>
          <w:szCs w:val="16"/>
          <w:color w:val="342C82"/>
        </w:rPr>
      </w:pPr>
      <w:r>
        <w:rPr>
          <w:rFonts w:ascii="Arial" w:cs="Arial" w:eastAsia="Arial" w:hAnsi="Arial"/>
          <w:sz w:val="16"/>
          <w:szCs w:val="16"/>
          <w:b w:val="1"/>
          <w:bCs w:val="1"/>
          <w:color w:val="342C82"/>
        </w:rPr>
        <w:t xml:space="preserve">Use of long-term equity compensation. </w:t>
      </w:r>
      <w:r>
        <w:rPr>
          <w:rFonts w:ascii="Arial" w:cs="Arial" w:eastAsia="Arial" w:hAnsi="Arial"/>
          <w:sz w:val="16"/>
          <w:szCs w:val="16"/>
          <w:color w:val="000000"/>
        </w:rPr>
        <w:t>The largest portion of the total compensation opportunity for our NEOs</w:t>
      </w:r>
      <w:r>
        <w:rPr>
          <w:rFonts w:ascii="Arial" w:cs="Arial" w:eastAsia="Arial" w:hAnsi="Arial"/>
          <w:sz w:val="16"/>
          <w:szCs w:val="16"/>
          <w:b w:val="1"/>
          <w:bCs w:val="1"/>
          <w:color w:val="342C82"/>
        </w:rPr>
        <w:t xml:space="preserve"> </w:t>
      </w:r>
      <w:r>
        <w:rPr>
          <w:rFonts w:ascii="Arial" w:cs="Arial" w:eastAsia="Arial" w:hAnsi="Arial"/>
          <w:sz w:val="16"/>
          <w:szCs w:val="16"/>
          <w:color w:val="000000"/>
        </w:rPr>
        <w:t>is delivered in long-term equity compensation that generally vests over a period of three years, which encourages our executives to focus on sustaining Embecta’s long-term performance.</w:t>
      </w:r>
    </w:p>
    <w:p>
      <w:pPr>
        <w:spacing w:after="0" w:line="36" w:lineRule="exact"/>
        <w:rPr>
          <w:rFonts w:ascii="Arial" w:cs="Arial" w:eastAsia="Arial" w:hAnsi="Arial"/>
          <w:sz w:val="16"/>
          <w:szCs w:val="16"/>
          <w:color w:val="342C82"/>
        </w:rPr>
      </w:pPr>
    </w:p>
    <w:p>
      <w:pPr>
        <w:ind w:left="500" w:right="539" w:hanging="208"/>
        <w:spacing w:after="0" w:line="266" w:lineRule="auto"/>
        <w:tabs>
          <w:tab w:leader="none" w:pos="500" w:val="left"/>
        </w:tabs>
        <w:numPr>
          <w:ilvl w:val="0"/>
          <w:numId w:val="27"/>
        </w:numPr>
        <w:rPr>
          <w:rFonts w:ascii="Arial" w:cs="Arial" w:eastAsia="Arial" w:hAnsi="Arial"/>
          <w:sz w:val="16"/>
          <w:szCs w:val="16"/>
          <w:color w:val="342C82"/>
        </w:rPr>
      </w:pPr>
      <w:r>
        <w:rPr>
          <w:rFonts w:ascii="Arial" w:cs="Arial" w:eastAsia="Arial" w:hAnsi="Arial"/>
          <w:sz w:val="16"/>
          <w:szCs w:val="16"/>
          <w:b w:val="1"/>
          <w:bCs w:val="1"/>
          <w:color w:val="342C82"/>
        </w:rPr>
        <w:t>Balanced set of performance metrics</w:t>
      </w:r>
      <w:r>
        <w:rPr>
          <w:rFonts w:ascii="Arial" w:cs="Arial" w:eastAsia="Arial" w:hAnsi="Arial"/>
          <w:sz w:val="16"/>
          <w:szCs w:val="16"/>
          <w:color w:val="000000"/>
        </w:rPr>
        <w:t>. We use a balanced set of performance metrics in our executive</w:t>
      </w:r>
      <w:r>
        <w:rPr>
          <w:rFonts w:ascii="Arial" w:cs="Arial" w:eastAsia="Arial" w:hAnsi="Arial"/>
          <w:sz w:val="16"/>
          <w:szCs w:val="16"/>
          <w:b w:val="1"/>
          <w:bCs w:val="1"/>
          <w:color w:val="342C82"/>
        </w:rPr>
        <w:t xml:space="preserve"> </w:t>
      </w:r>
      <w:r>
        <w:rPr>
          <w:rFonts w:ascii="Arial" w:cs="Arial" w:eastAsia="Arial" w:hAnsi="Arial"/>
          <w:sz w:val="16"/>
          <w:szCs w:val="16"/>
          <w:color w:val="000000"/>
        </w:rPr>
        <w:t>compensation program design. These performance-based compensation metrics align with the execution of our business strategy.</w:t>
      </w:r>
    </w:p>
    <w:p>
      <w:pPr>
        <w:spacing w:after="0" w:line="49" w:lineRule="exact"/>
        <w:rPr>
          <w:rFonts w:ascii="Arial" w:cs="Arial" w:eastAsia="Arial" w:hAnsi="Arial"/>
          <w:sz w:val="16"/>
          <w:szCs w:val="16"/>
          <w:color w:val="342C82"/>
        </w:rPr>
      </w:pPr>
    </w:p>
    <w:p>
      <w:pPr>
        <w:ind w:left="500" w:right="439" w:hanging="208"/>
        <w:spacing w:after="0" w:line="259" w:lineRule="auto"/>
        <w:tabs>
          <w:tab w:leader="none" w:pos="500" w:val="left"/>
        </w:tabs>
        <w:numPr>
          <w:ilvl w:val="0"/>
          <w:numId w:val="27"/>
        </w:numPr>
        <w:rPr>
          <w:rFonts w:ascii="Arial" w:cs="Arial" w:eastAsia="Arial" w:hAnsi="Arial"/>
          <w:sz w:val="16"/>
          <w:szCs w:val="16"/>
          <w:color w:val="342C82"/>
        </w:rPr>
      </w:pPr>
      <w:r>
        <w:rPr>
          <w:rFonts w:ascii="Arial" w:cs="Arial" w:eastAsia="Arial" w:hAnsi="Arial"/>
          <w:sz w:val="16"/>
          <w:szCs w:val="16"/>
          <w:b w:val="1"/>
          <w:bCs w:val="1"/>
          <w:color w:val="342C82"/>
        </w:rPr>
        <w:t xml:space="preserve">Share retention and ownership guidelines. </w:t>
      </w:r>
      <w:r>
        <w:rPr>
          <w:rFonts w:ascii="Arial" w:cs="Arial" w:eastAsia="Arial" w:hAnsi="Arial"/>
          <w:sz w:val="16"/>
          <w:szCs w:val="16"/>
          <w:color w:val="000000"/>
        </w:rPr>
        <w:t>Our share retention and ownership guidelines ensure that our</w:t>
      </w:r>
      <w:r>
        <w:rPr>
          <w:rFonts w:ascii="Arial" w:cs="Arial" w:eastAsia="Arial" w:hAnsi="Arial"/>
          <w:sz w:val="16"/>
          <w:szCs w:val="16"/>
          <w:b w:val="1"/>
          <w:bCs w:val="1"/>
          <w:color w:val="342C82"/>
        </w:rPr>
        <w:t xml:space="preserve"> </w:t>
      </w:r>
      <w:r>
        <w:rPr>
          <w:rFonts w:ascii="Arial" w:cs="Arial" w:eastAsia="Arial" w:hAnsi="Arial"/>
          <w:sz w:val="16"/>
          <w:szCs w:val="16"/>
          <w:color w:val="000000"/>
        </w:rPr>
        <w:t>executives have a significant amount of their personal assets tied to the long-term success of Embecta. We have a policy prohibiting the pledging or short selling of Embecta shares or hedging against the economic risk of their ownership.</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29"/>
          <w:szCs w:val="29"/>
          <w:color w:val="342C82"/>
        </w:rPr>
        <w:t>Elements of our 2024 executive compensation program</w:t>
      </w:r>
    </w:p>
    <w:p>
      <w:pPr>
        <w:spacing w:after="0" w:line="157"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key elements of the 2024 executive compensation program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209550</wp:posOffset>
            </wp:positionV>
            <wp:extent cx="5306060" cy="31457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306060" cy="3145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 xml:space="preserve">  </w:t>
      </w:r>
    </w:p>
    <w:p>
      <w:pPr>
        <w:spacing w:after="0" w:line="167" w:lineRule="exact"/>
        <w:rPr>
          <w:sz w:val="20"/>
          <w:szCs w:val="20"/>
          <w:color w:val="auto"/>
        </w:rPr>
      </w:pPr>
    </w:p>
    <w:p>
      <w:pPr>
        <w:ind w:left="300" w:right="319"/>
        <w:spacing w:after="0" w:line="259" w:lineRule="auto"/>
        <w:rPr>
          <w:sz w:val="20"/>
          <w:szCs w:val="20"/>
          <w:color w:val="auto"/>
        </w:rPr>
      </w:pPr>
      <w:r>
        <w:rPr>
          <w:rFonts w:ascii="Arial" w:cs="Arial" w:eastAsia="Arial" w:hAnsi="Arial"/>
          <w:sz w:val="16"/>
          <w:szCs w:val="16"/>
          <w:color w:val="auto"/>
        </w:rPr>
        <w:t>While the programs and pay levels reflect differences in job responsibilities, the structure of the compensation program is applied consistently to our NEOs, including the CEO. We review each element of total compensation, both individually and on a combined basis, for each NEO and make adjustments as appropriate based on these comparisons.</w:t>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following is a more detailed discussion of the components of Embecta’s executive compensation program.</w:t>
      </w:r>
    </w:p>
    <w:p>
      <w:pPr>
        <w:spacing w:after="0" w:line="388" w:lineRule="exact"/>
        <w:rPr>
          <w:sz w:val="20"/>
          <w:szCs w:val="20"/>
          <w:color w:val="auto"/>
        </w:rPr>
      </w:pPr>
    </w:p>
    <w:p>
      <w:pPr>
        <w:ind w:left="300"/>
        <w:spacing w:after="0"/>
        <w:rPr>
          <w:sz w:val="20"/>
          <w:szCs w:val="20"/>
          <w:color w:val="auto"/>
        </w:rPr>
      </w:pPr>
      <w:r>
        <w:rPr>
          <w:rFonts w:ascii="Arial" w:cs="Arial" w:eastAsia="Arial" w:hAnsi="Arial"/>
          <w:sz w:val="25"/>
          <w:szCs w:val="25"/>
          <w:color w:val="342C82"/>
        </w:rPr>
        <w:t>Base salary</w:t>
      </w:r>
    </w:p>
    <w:p>
      <w:pPr>
        <w:spacing w:after="0" w:line="139" w:lineRule="exact"/>
        <w:rPr>
          <w:sz w:val="20"/>
          <w:szCs w:val="20"/>
          <w:color w:val="auto"/>
        </w:rPr>
      </w:pPr>
    </w:p>
    <w:p>
      <w:pPr>
        <w:ind w:left="300" w:right="539"/>
        <w:spacing w:after="0" w:line="266" w:lineRule="auto"/>
        <w:rPr>
          <w:sz w:val="20"/>
          <w:szCs w:val="20"/>
          <w:color w:val="auto"/>
        </w:rPr>
      </w:pPr>
      <w:r>
        <w:rPr>
          <w:rFonts w:ascii="Arial" w:cs="Arial" w:eastAsia="Arial" w:hAnsi="Arial"/>
          <w:sz w:val="16"/>
          <w:szCs w:val="16"/>
          <w:color w:val="auto"/>
        </w:rPr>
        <w:t>Base salary is the fixed component of the compensation paid to each of our executive officers and is determined based on the executive’s scope, experience, criticality of role, competitive marketplace practices, performance and internal equity.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132080</wp:posOffset>
            </wp:positionV>
            <wp:extent cx="699516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1" w:name="page52"/>
    <w:bookmarkEnd w:id="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5880"/>
        <w:spacing w:after="0"/>
        <w:rPr>
          <w:sz w:val="20"/>
          <w:szCs w:val="20"/>
          <w:color w:val="auto"/>
        </w:rPr>
      </w:pPr>
      <w:r>
        <w:rPr>
          <w:rFonts w:ascii="Arial" w:cs="Arial" w:eastAsia="Arial" w:hAnsi="Arial"/>
          <w:sz w:val="16"/>
          <w:szCs w:val="16"/>
          <w:color w:val="342C82"/>
        </w:rPr>
        <w:t>Compensation Discussion and Analysis</w:t>
      </w:r>
    </w:p>
    <w:p>
      <w:pPr>
        <w:spacing w:after="0" w:line="113" w:lineRule="exact"/>
        <w:rPr>
          <w:sz w:val="20"/>
          <w:szCs w:val="20"/>
          <w:color w:val="auto"/>
        </w:rPr>
      </w:pPr>
    </w:p>
    <w:p>
      <w:pPr>
        <w:ind w:left="300" w:right="359"/>
        <w:spacing w:after="0" w:line="252" w:lineRule="auto"/>
        <w:rPr>
          <w:sz w:val="20"/>
          <w:szCs w:val="20"/>
          <w:color w:val="auto"/>
        </w:rPr>
      </w:pPr>
      <w:r>
        <w:rPr>
          <w:rFonts w:ascii="Arial" w:cs="Arial" w:eastAsia="Arial" w:hAnsi="Arial"/>
          <w:sz w:val="16"/>
          <w:szCs w:val="16"/>
          <w:color w:val="auto"/>
        </w:rPr>
        <w:t>As part of Embecta’s annual review process, the Compensation Committee, in consultation with its independent compensation consultant, reviewed the base salary levels against the compensation peer group information to assess whether base salary levels were within acceptable market ranges. Based on its review, the Compensation Committee determined that base salary for certain of the NEOs should be increased, effective December 17, 2023 or January 1, 2024. During 2024, the Compensation Committee also conducted a mid-year review process and, in consultation with its independent compensation consultant, determined that base salaries for certain of the NEOs should be further increased to align with market competitive practice, effective either May 1, 2024 or May 5, 2024. The following table sets forth the base salary adjustments for our NEOs in 2024:</w:t>
      </w:r>
    </w:p>
    <w:p>
      <w:pPr>
        <w:spacing w:after="0" w:line="169" w:lineRule="exact"/>
        <w:rPr>
          <w:sz w:val="20"/>
          <w:szCs w:val="20"/>
          <w:color w:val="auto"/>
        </w:rPr>
      </w:pPr>
    </w:p>
    <w:tbl>
      <w:tblPr>
        <w:tblLayout w:type="fixed"/>
        <w:tblInd w:w="300" w:type="dxa"/>
        <w:tblCellMar>
          <w:top w:w="0" w:type="dxa"/>
          <w:left w:w="0" w:type="dxa"/>
          <w:bottom w:w="0" w:type="dxa"/>
          <w:right w:w="0" w:type="dxa"/>
        </w:tblCellMar>
      </w:tblPr>
      <w:tr>
        <w:trPr>
          <w:trHeight w:val="189"/>
        </w:trPr>
        <w:tc>
          <w:tcPr>
            <w:tcW w:w="2780" w:type="dxa"/>
            <w:vAlign w:val="bottom"/>
          </w:tcPr>
          <w:p>
            <w:pPr>
              <w:spacing w:after="0"/>
              <w:rPr>
                <w:sz w:val="16"/>
                <w:szCs w:val="16"/>
                <w:color w:val="auto"/>
              </w:rPr>
            </w:pPr>
          </w:p>
        </w:tc>
        <w:tc>
          <w:tcPr>
            <w:tcW w:w="3300" w:type="dxa"/>
            <w:vAlign w:val="bottom"/>
          </w:tcPr>
          <w:p>
            <w:pPr>
              <w:jc w:val="right"/>
              <w:ind w:right="579"/>
              <w:spacing w:after="0"/>
              <w:rPr>
                <w:sz w:val="20"/>
                <w:szCs w:val="20"/>
                <w:color w:val="auto"/>
              </w:rPr>
            </w:pPr>
            <w:r>
              <w:rPr>
                <w:rFonts w:ascii="Arial" w:cs="Arial" w:eastAsia="Arial" w:hAnsi="Arial"/>
                <w:sz w:val="16"/>
                <w:szCs w:val="16"/>
                <w:b w:val="1"/>
                <w:bCs w:val="1"/>
                <w:color w:val="auto"/>
              </w:rPr>
              <w:t>Starting Base Salary on</w:t>
            </w:r>
          </w:p>
        </w:tc>
        <w:tc>
          <w:tcPr>
            <w:tcW w:w="2340" w:type="dxa"/>
            <w:vAlign w:val="bottom"/>
          </w:tcPr>
          <w:p>
            <w:pPr>
              <w:jc w:val="right"/>
              <w:ind w:right="39"/>
              <w:spacing w:after="0"/>
              <w:rPr>
                <w:sz w:val="20"/>
                <w:szCs w:val="20"/>
                <w:color w:val="auto"/>
              </w:rPr>
            </w:pPr>
            <w:r>
              <w:rPr>
                <w:rFonts w:ascii="Arial" w:cs="Arial" w:eastAsia="Arial" w:hAnsi="Arial"/>
                <w:sz w:val="16"/>
                <w:szCs w:val="16"/>
                <w:b w:val="1"/>
                <w:bCs w:val="1"/>
                <w:color w:val="auto"/>
              </w:rPr>
              <w:t>Final Base Salary on</w:t>
            </w:r>
          </w:p>
        </w:tc>
      </w:tr>
      <w:tr>
        <w:trPr>
          <w:trHeight w:val="223"/>
        </w:trPr>
        <w:tc>
          <w:tcPr>
            <w:tcW w:w="2780" w:type="dxa"/>
            <w:vAlign w:val="bottom"/>
          </w:tcPr>
          <w:p>
            <w:pPr>
              <w:ind w:left="80"/>
              <w:spacing w:after="0"/>
              <w:rPr>
                <w:sz w:val="20"/>
                <w:szCs w:val="20"/>
                <w:color w:val="auto"/>
              </w:rPr>
            </w:pPr>
            <w:r>
              <w:rPr>
                <w:rFonts w:ascii="Arial" w:cs="Arial" w:eastAsia="Arial" w:hAnsi="Arial"/>
                <w:sz w:val="16"/>
                <w:szCs w:val="16"/>
                <w:b w:val="1"/>
                <w:bCs w:val="1"/>
                <w:color w:val="auto"/>
              </w:rPr>
              <w:t>Named Executive Officer</w:t>
            </w:r>
          </w:p>
        </w:tc>
        <w:tc>
          <w:tcPr>
            <w:tcW w:w="3300" w:type="dxa"/>
            <w:vAlign w:val="bottom"/>
          </w:tcPr>
          <w:p>
            <w:pPr>
              <w:jc w:val="right"/>
              <w:ind w:right="539"/>
              <w:spacing w:after="0"/>
              <w:rPr>
                <w:sz w:val="20"/>
                <w:szCs w:val="20"/>
                <w:color w:val="auto"/>
              </w:rPr>
            </w:pPr>
            <w:r>
              <w:rPr>
                <w:rFonts w:ascii="Arial" w:cs="Arial" w:eastAsia="Arial" w:hAnsi="Arial"/>
                <w:sz w:val="16"/>
                <w:szCs w:val="16"/>
                <w:b w:val="1"/>
                <w:bCs w:val="1"/>
                <w:color w:val="auto"/>
              </w:rPr>
              <w:t>October 1, 2023</w:t>
            </w:r>
          </w:p>
        </w:tc>
        <w:tc>
          <w:tcPr>
            <w:tcW w:w="2340" w:type="dxa"/>
            <w:vAlign w:val="bottom"/>
          </w:tcPr>
          <w:p>
            <w:pPr>
              <w:jc w:val="right"/>
              <w:spacing w:after="0"/>
              <w:rPr>
                <w:sz w:val="20"/>
                <w:szCs w:val="20"/>
                <w:color w:val="auto"/>
              </w:rPr>
            </w:pPr>
            <w:r>
              <w:rPr>
                <w:rFonts w:ascii="Arial" w:cs="Arial" w:eastAsia="Arial" w:hAnsi="Arial"/>
                <w:sz w:val="16"/>
                <w:szCs w:val="16"/>
                <w:b w:val="1"/>
                <w:bCs w:val="1"/>
                <w:color w:val="auto"/>
              </w:rPr>
              <w:t>September 30, 2024</w:t>
            </w:r>
          </w:p>
        </w:tc>
      </w:tr>
      <w:tr>
        <w:trPr>
          <w:trHeight w:val="21"/>
        </w:trPr>
        <w:tc>
          <w:tcPr>
            <w:tcW w:w="2780" w:type="dxa"/>
            <w:vAlign w:val="bottom"/>
            <w:tcBorders>
              <w:bottom w:val="single" w:sz="8" w:color="342C82"/>
            </w:tcBorders>
          </w:tcPr>
          <w:p>
            <w:pPr>
              <w:spacing w:after="0" w:line="20" w:lineRule="exact"/>
              <w:rPr>
                <w:sz w:val="1"/>
                <w:szCs w:val="1"/>
                <w:color w:val="auto"/>
              </w:rPr>
            </w:pPr>
          </w:p>
        </w:tc>
        <w:tc>
          <w:tcPr>
            <w:tcW w:w="3300" w:type="dxa"/>
            <w:vAlign w:val="bottom"/>
            <w:tcBorders>
              <w:bottom w:val="single" w:sz="8" w:color="342C82"/>
            </w:tcBorders>
          </w:tcPr>
          <w:p>
            <w:pPr>
              <w:spacing w:after="0" w:line="20" w:lineRule="exact"/>
              <w:rPr>
                <w:sz w:val="1"/>
                <w:szCs w:val="1"/>
                <w:color w:val="auto"/>
              </w:rPr>
            </w:pPr>
          </w:p>
        </w:tc>
        <w:tc>
          <w:tcPr>
            <w:tcW w:w="2340" w:type="dxa"/>
            <w:vAlign w:val="bottom"/>
            <w:tcBorders>
              <w:bottom w:val="single" w:sz="8" w:color="342C82"/>
            </w:tcBorders>
          </w:tcPr>
          <w:p>
            <w:pPr>
              <w:spacing w:after="0" w:line="20" w:lineRule="exact"/>
              <w:rPr>
                <w:sz w:val="1"/>
                <w:szCs w:val="1"/>
                <w:color w:val="auto"/>
              </w:rPr>
            </w:pPr>
          </w:p>
        </w:tc>
      </w:tr>
      <w:tr>
        <w:trPr>
          <w:trHeight w:val="229"/>
        </w:trPr>
        <w:tc>
          <w:tcPr>
            <w:tcW w:w="2780" w:type="dxa"/>
            <w:vAlign w:val="bottom"/>
          </w:tcPr>
          <w:p>
            <w:pPr>
              <w:ind w:left="80"/>
              <w:spacing w:after="0"/>
              <w:rPr>
                <w:sz w:val="20"/>
                <w:szCs w:val="20"/>
                <w:color w:val="auto"/>
              </w:rPr>
            </w:pPr>
            <w:r>
              <w:rPr>
                <w:rFonts w:ascii="Arial" w:cs="Arial" w:eastAsia="Arial" w:hAnsi="Arial"/>
                <w:sz w:val="16"/>
                <w:szCs w:val="16"/>
                <w:b w:val="1"/>
                <w:bCs w:val="1"/>
                <w:color w:val="342C82"/>
              </w:rPr>
              <w:t>Dev Kurdikar</w:t>
            </w:r>
          </w:p>
        </w:tc>
        <w:tc>
          <w:tcPr>
            <w:tcW w:w="3300" w:type="dxa"/>
            <w:vAlign w:val="bottom"/>
          </w:tcPr>
          <w:p>
            <w:pPr>
              <w:jc w:val="right"/>
              <w:ind w:right="659"/>
              <w:spacing w:after="0"/>
              <w:rPr>
                <w:sz w:val="20"/>
                <w:szCs w:val="20"/>
                <w:color w:val="auto"/>
              </w:rPr>
            </w:pPr>
            <w:r>
              <w:rPr>
                <w:rFonts w:ascii="Arial" w:cs="Arial" w:eastAsia="Arial" w:hAnsi="Arial"/>
                <w:sz w:val="16"/>
                <w:szCs w:val="16"/>
                <w:color w:val="auto"/>
              </w:rPr>
              <w:t>$875,000</w:t>
            </w:r>
          </w:p>
        </w:tc>
        <w:tc>
          <w:tcPr>
            <w:tcW w:w="2340" w:type="dxa"/>
            <w:vAlign w:val="bottom"/>
          </w:tcPr>
          <w:p>
            <w:pPr>
              <w:jc w:val="right"/>
              <w:ind w:right="99"/>
              <w:spacing w:after="0"/>
              <w:rPr>
                <w:sz w:val="20"/>
                <w:szCs w:val="20"/>
                <w:color w:val="auto"/>
              </w:rPr>
            </w:pPr>
            <w:r>
              <w:rPr>
                <w:rFonts w:ascii="Arial" w:cs="Arial" w:eastAsia="Arial" w:hAnsi="Arial"/>
                <w:sz w:val="16"/>
                <w:szCs w:val="16"/>
                <w:color w:val="auto"/>
              </w:rPr>
              <w:t>$900,000</w:t>
            </w:r>
          </w:p>
        </w:tc>
      </w:tr>
      <w:tr>
        <w:trPr>
          <w:trHeight w:val="21"/>
        </w:trPr>
        <w:tc>
          <w:tcPr>
            <w:tcW w:w="2780" w:type="dxa"/>
            <w:vAlign w:val="bottom"/>
            <w:tcBorders>
              <w:bottom w:val="single" w:sz="8" w:color="808080"/>
            </w:tcBorders>
          </w:tcPr>
          <w:p>
            <w:pPr>
              <w:spacing w:after="0" w:line="20" w:lineRule="exact"/>
              <w:rPr>
                <w:sz w:val="1"/>
                <w:szCs w:val="1"/>
                <w:color w:val="auto"/>
              </w:rPr>
            </w:pPr>
          </w:p>
        </w:tc>
        <w:tc>
          <w:tcPr>
            <w:tcW w:w="3300" w:type="dxa"/>
            <w:vAlign w:val="bottom"/>
            <w:tcBorders>
              <w:bottom w:val="single" w:sz="8" w:color="808080"/>
            </w:tcBorders>
          </w:tcPr>
          <w:p>
            <w:pPr>
              <w:spacing w:after="0" w:line="20" w:lineRule="exact"/>
              <w:rPr>
                <w:sz w:val="1"/>
                <w:szCs w:val="1"/>
                <w:color w:val="auto"/>
              </w:rPr>
            </w:pPr>
          </w:p>
        </w:tc>
        <w:tc>
          <w:tcPr>
            <w:tcW w:w="2340" w:type="dxa"/>
            <w:vAlign w:val="bottom"/>
            <w:tcBorders>
              <w:bottom w:val="single" w:sz="8" w:color="808080"/>
            </w:tcBorders>
          </w:tcPr>
          <w:p>
            <w:pPr>
              <w:spacing w:after="0" w:line="20" w:lineRule="exact"/>
              <w:rPr>
                <w:sz w:val="1"/>
                <w:szCs w:val="1"/>
                <w:color w:val="auto"/>
              </w:rPr>
            </w:pPr>
          </w:p>
        </w:tc>
      </w:tr>
      <w:tr>
        <w:trPr>
          <w:trHeight w:val="229"/>
        </w:trPr>
        <w:tc>
          <w:tcPr>
            <w:tcW w:w="2780" w:type="dxa"/>
            <w:vAlign w:val="bottom"/>
          </w:tcPr>
          <w:p>
            <w:pPr>
              <w:ind w:left="80"/>
              <w:spacing w:after="0"/>
              <w:rPr>
                <w:sz w:val="20"/>
                <w:szCs w:val="20"/>
                <w:color w:val="auto"/>
              </w:rPr>
            </w:pPr>
            <w:r>
              <w:rPr>
                <w:rFonts w:ascii="Arial" w:cs="Arial" w:eastAsia="Arial" w:hAnsi="Arial"/>
                <w:sz w:val="16"/>
                <w:szCs w:val="16"/>
                <w:b w:val="1"/>
                <w:bCs w:val="1"/>
                <w:color w:val="342C82"/>
              </w:rPr>
              <w:t>Jake Elguicze</w:t>
            </w:r>
          </w:p>
        </w:tc>
        <w:tc>
          <w:tcPr>
            <w:tcW w:w="3300" w:type="dxa"/>
            <w:vAlign w:val="bottom"/>
          </w:tcPr>
          <w:p>
            <w:pPr>
              <w:jc w:val="right"/>
              <w:ind w:right="659"/>
              <w:spacing w:after="0"/>
              <w:rPr>
                <w:sz w:val="20"/>
                <w:szCs w:val="20"/>
                <w:color w:val="auto"/>
              </w:rPr>
            </w:pPr>
            <w:r>
              <w:rPr>
                <w:rFonts w:ascii="Arial" w:cs="Arial" w:eastAsia="Arial" w:hAnsi="Arial"/>
                <w:sz w:val="16"/>
                <w:szCs w:val="16"/>
                <w:color w:val="auto"/>
              </w:rPr>
              <w:t>$533,000</w:t>
            </w:r>
          </w:p>
        </w:tc>
        <w:tc>
          <w:tcPr>
            <w:tcW w:w="2340" w:type="dxa"/>
            <w:vAlign w:val="bottom"/>
          </w:tcPr>
          <w:p>
            <w:pPr>
              <w:jc w:val="right"/>
              <w:ind w:right="99"/>
              <w:spacing w:after="0"/>
              <w:rPr>
                <w:sz w:val="20"/>
                <w:szCs w:val="20"/>
                <w:color w:val="auto"/>
              </w:rPr>
            </w:pPr>
            <w:r>
              <w:rPr>
                <w:rFonts w:ascii="Arial" w:cs="Arial" w:eastAsia="Arial" w:hAnsi="Arial"/>
                <w:sz w:val="16"/>
                <w:szCs w:val="16"/>
                <w:color w:val="auto"/>
              </w:rPr>
              <w:t>$580,000</w:t>
            </w:r>
          </w:p>
        </w:tc>
      </w:tr>
      <w:tr>
        <w:trPr>
          <w:trHeight w:val="21"/>
        </w:trPr>
        <w:tc>
          <w:tcPr>
            <w:tcW w:w="2780" w:type="dxa"/>
            <w:vAlign w:val="bottom"/>
            <w:tcBorders>
              <w:bottom w:val="single" w:sz="8" w:color="808080"/>
            </w:tcBorders>
          </w:tcPr>
          <w:p>
            <w:pPr>
              <w:spacing w:after="0" w:line="20" w:lineRule="exact"/>
              <w:rPr>
                <w:sz w:val="1"/>
                <w:szCs w:val="1"/>
                <w:color w:val="auto"/>
              </w:rPr>
            </w:pPr>
          </w:p>
        </w:tc>
        <w:tc>
          <w:tcPr>
            <w:tcW w:w="3300" w:type="dxa"/>
            <w:vAlign w:val="bottom"/>
            <w:tcBorders>
              <w:bottom w:val="single" w:sz="8" w:color="808080"/>
            </w:tcBorders>
          </w:tcPr>
          <w:p>
            <w:pPr>
              <w:spacing w:after="0" w:line="20" w:lineRule="exact"/>
              <w:rPr>
                <w:sz w:val="1"/>
                <w:szCs w:val="1"/>
                <w:color w:val="auto"/>
              </w:rPr>
            </w:pPr>
          </w:p>
        </w:tc>
        <w:tc>
          <w:tcPr>
            <w:tcW w:w="2340" w:type="dxa"/>
            <w:vAlign w:val="bottom"/>
            <w:tcBorders>
              <w:bottom w:val="single" w:sz="8" w:color="808080"/>
            </w:tcBorders>
          </w:tcPr>
          <w:p>
            <w:pPr>
              <w:spacing w:after="0" w:line="20" w:lineRule="exact"/>
              <w:rPr>
                <w:sz w:val="1"/>
                <w:szCs w:val="1"/>
                <w:color w:val="auto"/>
              </w:rPr>
            </w:pPr>
          </w:p>
        </w:tc>
      </w:tr>
      <w:tr>
        <w:trPr>
          <w:trHeight w:val="229"/>
        </w:trPr>
        <w:tc>
          <w:tcPr>
            <w:tcW w:w="2780" w:type="dxa"/>
            <w:vAlign w:val="bottom"/>
          </w:tcPr>
          <w:p>
            <w:pPr>
              <w:ind w:left="80"/>
              <w:spacing w:after="0"/>
              <w:rPr>
                <w:sz w:val="20"/>
                <w:szCs w:val="20"/>
                <w:color w:val="auto"/>
              </w:rPr>
            </w:pPr>
            <w:r>
              <w:rPr>
                <w:rFonts w:ascii="Arial" w:cs="Arial" w:eastAsia="Arial" w:hAnsi="Arial"/>
                <w:sz w:val="16"/>
                <w:szCs w:val="16"/>
                <w:b w:val="1"/>
                <w:bCs w:val="1"/>
                <w:color w:val="342C82"/>
              </w:rPr>
              <w:t>Shaun Curtis*</w:t>
            </w:r>
          </w:p>
        </w:tc>
        <w:tc>
          <w:tcPr>
            <w:tcW w:w="3300" w:type="dxa"/>
            <w:vAlign w:val="bottom"/>
          </w:tcPr>
          <w:p>
            <w:pPr>
              <w:jc w:val="right"/>
              <w:ind w:right="659"/>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$492,800</w:t>
            </w:r>
          </w:p>
        </w:tc>
        <w:tc>
          <w:tcPr>
            <w:tcW w:w="2340" w:type="dxa"/>
            <w:vAlign w:val="bottom"/>
          </w:tcPr>
          <w:p>
            <w:pPr>
              <w:jc w:val="right"/>
              <w:ind w:right="99"/>
              <w:spacing w:after="0"/>
              <w:rPr>
                <w:sz w:val="20"/>
                <w:szCs w:val="20"/>
                <w:color w:val="auto"/>
              </w:rPr>
            </w:pPr>
            <w:r>
              <w:rPr>
                <w:rFonts w:ascii="Arial" w:cs="Arial" w:eastAsia="Arial" w:hAnsi="Arial"/>
                <w:sz w:val="16"/>
                <w:szCs w:val="16"/>
                <w:color w:val="auto"/>
              </w:rPr>
              <w:t>$520,955</w:t>
            </w:r>
          </w:p>
        </w:tc>
      </w:tr>
      <w:tr>
        <w:trPr>
          <w:trHeight w:val="21"/>
        </w:trPr>
        <w:tc>
          <w:tcPr>
            <w:tcW w:w="2780" w:type="dxa"/>
            <w:vAlign w:val="bottom"/>
            <w:tcBorders>
              <w:bottom w:val="single" w:sz="8" w:color="808080"/>
            </w:tcBorders>
          </w:tcPr>
          <w:p>
            <w:pPr>
              <w:spacing w:after="0" w:line="20" w:lineRule="exact"/>
              <w:rPr>
                <w:sz w:val="1"/>
                <w:szCs w:val="1"/>
                <w:color w:val="auto"/>
              </w:rPr>
            </w:pPr>
          </w:p>
        </w:tc>
        <w:tc>
          <w:tcPr>
            <w:tcW w:w="3300" w:type="dxa"/>
            <w:vAlign w:val="bottom"/>
            <w:tcBorders>
              <w:bottom w:val="single" w:sz="8" w:color="808080"/>
            </w:tcBorders>
          </w:tcPr>
          <w:p>
            <w:pPr>
              <w:spacing w:after="0" w:line="20" w:lineRule="exact"/>
              <w:rPr>
                <w:sz w:val="1"/>
                <w:szCs w:val="1"/>
                <w:color w:val="auto"/>
              </w:rPr>
            </w:pPr>
          </w:p>
        </w:tc>
        <w:tc>
          <w:tcPr>
            <w:tcW w:w="2340" w:type="dxa"/>
            <w:vAlign w:val="bottom"/>
            <w:tcBorders>
              <w:bottom w:val="single" w:sz="8" w:color="808080"/>
            </w:tcBorders>
          </w:tcPr>
          <w:p>
            <w:pPr>
              <w:spacing w:after="0" w:line="20" w:lineRule="exact"/>
              <w:rPr>
                <w:sz w:val="1"/>
                <w:szCs w:val="1"/>
                <w:color w:val="auto"/>
              </w:rPr>
            </w:pPr>
          </w:p>
        </w:tc>
      </w:tr>
      <w:tr>
        <w:trPr>
          <w:trHeight w:val="229"/>
        </w:trPr>
        <w:tc>
          <w:tcPr>
            <w:tcW w:w="2780" w:type="dxa"/>
            <w:vAlign w:val="bottom"/>
          </w:tcPr>
          <w:p>
            <w:pPr>
              <w:ind w:left="80"/>
              <w:spacing w:after="0"/>
              <w:rPr>
                <w:sz w:val="20"/>
                <w:szCs w:val="20"/>
                <w:color w:val="auto"/>
              </w:rPr>
            </w:pPr>
            <w:r>
              <w:rPr>
                <w:rFonts w:ascii="Arial" w:cs="Arial" w:eastAsia="Arial" w:hAnsi="Arial"/>
                <w:sz w:val="16"/>
                <w:szCs w:val="16"/>
                <w:b w:val="1"/>
                <w:bCs w:val="1"/>
                <w:color w:val="342C82"/>
              </w:rPr>
              <w:t>Jeff Mann</w:t>
            </w:r>
          </w:p>
        </w:tc>
        <w:tc>
          <w:tcPr>
            <w:tcW w:w="3300" w:type="dxa"/>
            <w:vAlign w:val="bottom"/>
          </w:tcPr>
          <w:p>
            <w:pPr>
              <w:jc w:val="right"/>
              <w:ind w:right="659"/>
              <w:spacing w:after="0"/>
              <w:rPr>
                <w:sz w:val="20"/>
                <w:szCs w:val="20"/>
                <w:color w:val="auto"/>
              </w:rPr>
            </w:pPr>
            <w:r>
              <w:rPr>
                <w:rFonts w:ascii="Arial" w:cs="Arial" w:eastAsia="Arial" w:hAnsi="Arial"/>
                <w:sz w:val="16"/>
                <w:szCs w:val="16"/>
                <w:color w:val="auto"/>
              </w:rPr>
              <w:t>$533,000</w:t>
            </w:r>
          </w:p>
        </w:tc>
        <w:tc>
          <w:tcPr>
            <w:tcW w:w="2340" w:type="dxa"/>
            <w:vAlign w:val="bottom"/>
          </w:tcPr>
          <w:p>
            <w:pPr>
              <w:jc w:val="right"/>
              <w:ind w:right="99"/>
              <w:spacing w:after="0"/>
              <w:rPr>
                <w:sz w:val="20"/>
                <w:szCs w:val="20"/>
                <w:color w:val="auto"/>
              </w:rPr>
            </w:pPr>
            <w:r>
              <w:rPr>
                <w:rFonts w:ascii="Arial" w:cs="Arial" w:eastAsia="Arial" w:hAnsi="Arial"/>
                <w:sz w:val="16"/>
                <w:szCs w:val="16"/>
                <w:color w:val="auto"/>
              </w:rPr>
              <w:t>$570,000</w:t>
            </w:r>
          </w:p>
        </w:tc>
      </w:tr>
      <w:tr>
        <w:trPr>
          <w:trHeight w:val="21"/>
        </w:trPr>
        <w:tc>
          <w:tcPr>
            <w:tcW w:w="2780" w:type="dxa"/>
            <w:vAlign w:val="bottom"/>
            <w:tcBorders>
              <w:bottom w:val="single" w:sz="8" w:color="808080"/>
            </w:tcBorders>
          </w:tcPr>
          <w:p>
            <w:pPr>
              <w:spacing w:after="0" w:line="20" w:lineRule="exact"/>
              <w:rPr>
                <w:sz w:val="1"/>
                <w:szCs w:val="1"/>
                <w:color w:val="auto"/>
              </w:rPr>
            </w:pPr>
          </w:p>
        </w:tc>
        <w:tc>
          <w:tcPr>
            <w:tcW w:w="3300" w:type="dxa"/>
            <w:vAlign w:val="bottom"/>
            <w:tcBorders>
              <w:bottom w:val="single" w:sz="8" w:color="808080"/>
            </w:tcBorders>
          </w:tcPr>
          <w:p>
            <w:pPr>
              <w:spacing w:after="0" w:line="20" w:lineRule="exact"/>
              <w:rPr>
                <w:sz w:val="1"/>
                <w:szCs w:val="1"/>
                <w:color w:val="auto"/>
              </w:rPr>
            </w:pPr>
          </w:p>
        </w:tc>
        <w:tc>
          <w:tcPr>
            <w:tcW w:w="2340" w:type="dxa"/>
            <w:vAlign w:val="bottom"/>
            <w:tcBorders>
              <w:bottom w:val="single" w:sz="8" w:color="808080"/>
            </w:tcBorders>
          </w:tcPr>
          <w:p>
            <w:pPr>
              <w:spacing w:after="0" w:line="20" w:lineRule="exact"/>
              <w:rPr>
                <w:sz w:val="1"/>
                <w:szCs w:val="1"/>
                <w:color w:val="auto"/>
              </w:rPr>
            </w:pPr>
          </w:p>
        </w:tc>
      </w:tr>
      <w:tr>
        <w:trPr>
          <w:trHeight w:val="223"/>
        </w:trPr>
        <w:tc>
          <w:tcPr>
            <w:tcW w:w="2780" w:type="dxa"/>
            <w:vAlign w:val="bottom"/>
            <w:tcBorders>
              <w:bottom w:val="single" w:sz="8" w:color="342C82"/>
            </w:tcBorders>
          </w:tcPr>
          <w:p>
            <w:pPr>
              <w:ind w:left="80"/>
              <w:spacing w:after="0"/>
              <w:rPr>
                <w:sz w:val="20"/>
                <w:szCs w:val="20"/>
                <w:color w:val="auto"/>
              </w:rPr>
            </w:pPr>
            <w:r>
              <w:rPr>
                <w:rFonts w:ascii="Arial" w:cs="Arial" w:eastAsia="Arial" w:hAnsi="Arial"/>
                <w:sz w:val="16"/>
                <w:szCs w:val="16"/>
                <w:b w:val="1"/>
                <w:bCs w:val="1"/>
                <w:color w:val="342C82"/>
              </w:rPr>
              <w:t>Jean Casner</w:t>
            </w:r>
          </w:p>
        </w:tc>
        <w:tc>
          <w:tcPr>
            <w:tcW w:w="3300" w:type="dxa"/>
            <w:vAlign w:val="bottom"/>
            <w:tcBorders>
              <w:bottom w:val="single" w:sz="8" w:color="342C82"/>
            </w:tcBorders>
          </w:tcPr>
          <w:p>
            <w:pPr>
              <w:jc w:val="right"/>
              <w:ind w:right="659"/>
              <w:spacing w:after="0"/>
              <w:rPr>
                <w:sz w:val="20"/>
                <w:szCs w:val="20"/>
                <w:color w:val="auto"/>
              </w:rPr>
            </w:pPr>
            <w:r>
              <w:rPr>
                <w:rFonts w:ascii="Arial" w:cs="Arial" w:eastAsia="Arial" w:hAnsi="Arial"/>
                <w:sz w:val="16"/>
                <w:szCs w:val="16"/>
                <w:color w:val="auto"/>
              </w:rPr>
              <w:t>$450,000</w:t>
            </w:r>
          </w:p>
        </w:tc>
        <w:tc>
          <w:tcPr>
            <w:tcW w:w="2340" w:type="dxa"/>
            <w:vAlign w:val="bottom"/>
            <w:tcBorders>
              <w:bottom w:val="single" w:sz="8" w:color="342C82"/>
            </w:tcBorders>
          </w:tcPr>
          <w:p>
            <w:pPr>
              <w:jc w:val="right"/>
              <w:ind w:right="99"/>
              <w:spacing w:after="0"/>
              <w:rPr>
                <w:sz w:val="20"/>
                <w:szCs w:val="20"/>
                <w:color w:val="auto"/>
              </w:rPr>
            </w:pPr>
            <w:r>
              <w:rPr>
                <w:rFonts w:ascii="Arial" w:cs="Arial" w:eastAsia="Arial" w:hAnsi="Arial"/>
                <w:sz w:val="16"/>
                <w:szCs w:val="16"/>
                <w:color w:val="auto"/>
              </w:rPr>
              <w:t>$465,000</w:t>
            </w:r>
          </w:p>
        </w:tc>
      </w:tr>
    </w:tbl>
    <w:p>
      <w:pPr>
        <w:spacing w:after="0" w:line="182" w:lineRule="exact"/>
        <w:rPr>
          <w:sz w:val="20"/>
          <w:szCs w:val="20"/>
          <w:color w:val="auto"/>
        </w:rPr>
      </w:pPr>
    </w:p>
    <w:p>
      <w:pPr>
        <w:ind w:left="580" w:right="359" w:hanging="288"/>
        <w:spacing w:after="0" w:line="282" w:lineRule="auto"/>
        <w:tabs>
          <w:tab w:leader="none" w:pos="580" w:val="left"/>
        </w:tabs>
        <w:numPr>
          <w:ilvl w:val="0"/>
          <w:numId w:val="28"/>
        </w:numPr>
        <w:rPr>
          <w:rFonts w:ascii="Arial" w:cs="Arial" w:eastAsia="Arial" w:hAnsi="Arial"/>
          <w:sz w:val="14"/>
          <w:szCs w:val="14"/>
          <w:color w:val="auto"/>
        </w:rPr>
      </w:pPr>
      <w:r>
        <w:rPr>
          <w:rFonts w:ascii="Arial" w:cs="Arial" w:eastAsia="Arial" w:hAnsi="Arial"/>
          <w:sz w:val="14"/>
          <w:szCs w:val="14"/>
          <w:i w:val="1"/>
          <w:iCs w:val="1"/>
          <w:color w:val="auto"/>
        </w:rPr>
        <w:t>Mr. Curtis’s salary is paid in Euros. For purposes of this table, Mr. Curtis’s base salary was converted from Euros to USD based on an exchange rate of 1.12 as of September 30, 2024.</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25"/>
          <w:szCs w:val="25"/>
          <w:color w:val="342C82"/>
        </w:rPr>
        <w:t>Annual and long-term incentives</w:t>
      </w:r>
    </w:p>
    <w:p>
      <w:pPr>
        <w:spacing w:after="0" w:line="139" w:lineRule="exact"/>
        <w:rPr>
          <w:sz w:val="20"/>
          <w:szCs w:val="20"/>
          <w:color w:val="auto"/>
        </w:rPr>
      </w:pPr>
    </w:p>
    <w:p>
      <w:pPr>
        <w:ind w:left="300" w:right="299"/>
        <w:spacing w:after="0" w:line="250" w:lineRule="auto"/>
        <w:rPr>
          <w:sz w:val="20"/>
          <w:szCs w:val="20"/>
          <w:color w:val="auto"/>
        </w:rPr>
      </w:pPr>
      <w:r>
        <w:rPr>
          <w:rFonts w:ascii="Arial" w:cs="Arial" w:eastAsia="Arial" w:hAnsi="Arial"/>
          <w:sz w:val="16"/>
          <w:szCs w:val="16"/>
          <w:color w:val="auto"/>
        </w:rPr>
        <w:t>We have two primary types of incentives that serve to reward our executives for company performance. The incentives are designed to closely tie compensation to performance and to align our executives’ interests with those of Embecta’s stockholders. Our annual incentives allow us to reward executives with annual cash bonuses for performance against pre-established objectives based on work performed during the applicable year. Our long-term incentives are based on Embecta stock, and the value realized by our executives will increase as the value of Embecta stock increases. We believe the current mix of base salary, annual incentives and long-term incentives is appropriately set to provide market-competitive compensation when company performance warrants. The mix is more heavily weighted toward incentive compensation at higher executive levels within Embecta. The interplay between the annual incentives and the long-term incentives provides a balance designed to motivate executives to achieve our business goals and objectives and to properly reward executives for the achievement of such goals and objectives.</w:t>
      </w:r>
    </w:p>
    <w:p>
      <w:pPr>
        <w:spacing w:after="0" w:line="135" w:lineRule="exact"/>
        <w:rPr>
          <w:sz w:val="20"/>
          <w:szCs w:val="20"/>
          <w:color w:val="auto"/>
        </w:rPr>
      </w:pPr>
    </w:p>
    <w:p>
      <w:pPr>
        <w:ind w:left="300" w:right="379"/>
        <w:spacing w:after="0" w:line="286" w:lineRule="auto"/>
        <w:rPr>
          <w:sz w:val="20"/>
          <w:szCs w:val="20"/>
          <w:color w:val="auto"/>
        </w:rPr>
      </w:pPr>
      <w:r>
        <w:rPr>
          <w:rFonts w:ascii="Arial" w:cs="Arial" w:eastAsia="Arial" w:hAnsi="Arial"/>
          <w:sz w:val="16"/>
          <w:szCs w:val="16"/>
          <w:color w:val="auto"/>
        </w:rPr>
        <w:t>The following describes the variable compensation program that our NEOs were eligible to participate in during fiscal year 2024.</w:t>
      </w:r>
    </w:p>
    <w:p>
      <w:pPr>
        <w:spacing w:after="0" w:line="197" w:lineRule="exact"/>
        <w:rPr>
          <w:sz w:val="20"/>
          <w:szCs w:val="20"/>
          <w:color w:val="auto"/>
        </w:rPr>
      </w:pPr>
    </w:p>
    <w:p>
      <w:pPr>
        <w:ind w:left="300"/>
        <w:spacing w:after="0"/>
        <w:rPr>
          <w:sz w:val="20"/>
          <w:szCs w:val="20"/>
          <w:color w:val="auto"/>
        </w:rPr>
      </w:pPr>
      <w:r>
        <w:rPr>
          <w:rFonts w:ascii="Arial" w:cs="Arial" w:eastAsia="Arial" w:hAnsi="Arial"/>
          <w:sz w:val="22"/>
          <w:szCs w:val="22"/>
          <w:color w:val="342C82"/>
        </w:rPr>
        <w:t>Annual short-term incentive awards</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color w:val="342C82"/>
        </w:rPr>
        <w:t>Performance period and metrics for performance-based compensation in 2024</w:t>
      </w:r>
    </w:p>
    <w:p>
      <w:pPr>
        <w:spacing w:after="0" w:line="162" w:lineRule="exact"/>
        <w:rPr>
          <w:sz w:val="20"/>
          <w:szCs w:val="20"/>
          <w:color w:val="auto"/>
        </w:rPr>
      </w:pPr>
    </w:p>
    <w:p>
      <w:pPr>
        <w:ind w:left="300" w:right="579"/>
        <w:spacing w:after="0" w:line="256" w:lineRule="auto"/>
        <w:rPr>
          <w:sz w:val="20"/>
          <w:szCs w:val="20"/>
          <w:color w:val="auto"/>
        </w:rPr>
      </w:pPr>
      <w:r>
        <w:rPr>
          <w:rFonts w:ascii="Arial" w:cs="Arial" w:eastAsia="Arial" w:hAnsi="Arial"/>
          <w:sz w:val="16"/>
          <w:szCs w:val="16"/>
          <w:color w:val="auto"/>
        </w:rPr>
        <w:t>During 2024, our NEOs were eligible to participate in the Embecta Annual Incentive Plan (the “Bonus Plan”). The Bonus Plan provides our executives an opportunity to receive an annual cash award based on Embecta’s performance for the 2024 fiscal year and their contribution to that performance, as part of our pay-for-performance philosophy. The Compensation Committee approved these performance measures and associated targets with respect to 2024:</w:t>
      </w:r>
    </w:p>
    <w:p>
      <w:pPr>
        <w:spacing w:after="0" w:line="126" w:lineRule="exact"/>
        <w:rPr>
          <w:sz w:val="20"/>
          <w:szCs w:val="20"/>
          <w:color w:val="auto"/>
        </w:rPr>
      </w:pPr>
    </w:p>
    <w:p>
      <w:pPr>
        <w:ind w:left="500" w:hanging="208"/>
        <w:spacing w:after="0"/>
        <w:tabs>
          <w:tab w:leader="none" w:pos="500" w:val="left"/>
        </w:tabs>
        <w:numPr>
          <w:ilvl w:val="0"/>
          <w:numId w:val="29"/>
        </w:numPr>
        <w:rPr>
          <w:rFonts w:ascii="Arial" w:cs="Arial" w:eastAsia="Arial" w:hAnsi="Arial"/>
          <w:sz w:val="16"/>
          <w:szCs w:val="16"/>
          <w:color w:val="342C82"/>
        </w:rPr>
      </w:pPr>
      <w:r>
        <w:rPr>
          <w:rFonts w:ascii="Arial" w:cs="Arial" w:eastAsia="Arial" w:hAnsi="Arial"/>
          <w:sz w:val="16"/>
          <w:szCs w:val="16"/>
          <w:color w:val="auto"/>
        </w:rPr>
        <w:t>80% Financial Metrics (40% Adjusted Constant Currency Revenue $, 40% Adjusted EBITDA $)</w:t>
      </w:r>
    </w:p>
    <w:p>
      <w:pPr>
        <w:spacing w:after="0" w:line="59" w:lineRule="exact"/>
        <w:rPr>
          <w:rFonts w:ascii="Arial" w:cs="Arial" w:eastAsia="Arial" w:hAnsi="Arial"/>
          <w:sz w:val="16"/>
          <w:szCs w:val="16"/>
          <w:color w:val="342C82"/>
        </w:rPr>
      </w:pPr>
    </w:p>
    <w:p>
      <w:pPr>
        <w:ind w:left="500" w:hanging="208"/>
        <w:spacing w:after="0"/>
        <w:tabs>
          <w:tab w:leader="none" w:pos="500" w:val="left"/>
        </w:tabs>
        <w:numPr>
          <w:ilvl w:val="0"/>
          <w:numId w:val="29"/>
        </w:numPr>
        <w:rPr>
          <w:rFonts w:ascii="Arial" w:cs="Arial" w:eastAsia="Arial" w:hAnsi="Arial"/>
          <w:sz w:val="16"/>
          <w:szCs w:val="16"/>
          <w:color w:val="342C82"/>
        </w:rPr>
      </w:pPr>
      <w:r>
        <w:rPr>
          <w:rFonts w:ascii="Arial" w:cs="Arial" w:eastAsia="Arial" w:hAnsi="Arial"/>
          <w:sz w:val="16"/>
          <w:szCs w:val="16"/>
          <w:color w:val="auto"/>
        </w:rPr>
        <w:t>20% Strategic Objectives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123825</wp:posOffset>
            </wp:positionV>
            <wp:extent cx="699516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2" w:name="page53"/>
    <w:bookmarkEnd w:id="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6"/>
          <w:szCs w:val="16"/>
          <w:color w:val="342C82"/>
        </w:rPr>
        <w:t>Compensation Discussion and Analysis</w:t>
      </w:r>
    </w:p>
    <w:p>
      <w:pPr>
        <w:spacing w:after="0" w:line="113" w:lineRule="exact"/>
        <w:rPr>
          <w:sz w:val="20"/>
          <w:szCs w:val="20"/>
          <w:color w:val="auto"/>
        </w:rPr>
      </w:pPr>
    </w:p>
    <w:p>
      <w:pPr>
        <w:ind w:left="300" w:right="339"/>
        <w:spacing w:after="0" w:line="259" w:lineRule="auto"/>
        <w:rPr>
          <w:sz w:val="20"/>
          <w:szCs w:val="20"/>
          <w:color w:val="auto"/>
        </w:rPr>
      </w:pPr>
      <w:r>
        <w:rPr>
          <w:rFonts w:ascii="Arial" w:cs="Arial" w:eastAsia="Arial" w:hAnsi="Arial"/>
          <w:sz w:val="16"/>
          <w:szCs w:val="16"/>
          <w:color w:val="auto"/>
        </w:rPr>
        <w:t>This weighting is based on the Compensation Committee’s evaluation of these measures as critical to the Company’s success during the year. The strategic objectives are designed to achieve key milestones in connection with the completion of the Separation and our maturation as an independent company. Annual incentive awards pursuant to the Bonus Plan are paid based upon achievement of Company performance measures.</w:t>
      </w:r>
    </w:p>
    <w:p>
      <w:pPr>
        <w:spacing w:after="0" w:line="254" w:lineRule="exact"/>
        <w:rPr>
          <w:sz w:val="20"/>
          <w:szCs w:val="20"/>
          <w:color w:val="auto"/>
        </w:rPr>
      </w:pPr>
    </w:p>
    <w:p>
      <w:pPr>
        <w:ind w:left="300"/>
        <w:spacing w:after="0"/>
        <w:rPr>
          <w:sz w:val="20"/>
          <w:szCs w:val="20"/>
          <w:color w:val="auto"/>
        </w:rPr>
      </w:pPr>
      <w:r>
        <w:rPr>
          <w:rFonts w:ascii="Arial" w:cs="Arial" w:eastAsia="Arial" w:hAnsi="Arial"/>
          <w:sz w:val="18"/>
          <w:szCs w:val="18"/>
          <w:color w:val="342C82"/>
        </w:rPr>
        <w:t>2024 Bonus Plan</w:t>
      </w:r>
    </w:p>
    <w:p>
      <w:pPr>
        <w:spacing w:after="0" w:line="162" w:lineRule="exact"/>
        <w:rPr>
          <w:sz w:val="20"/>
          <w:szCs w:val="20"/>
          <w:color w:val="auto"/>
        </w:rPr>
      </w:pPr>
    </w:p>
    <w:p>
      <w:pPr>
        <w:ind w:left="300" w:right="359"/>
        <w:spacing w:after="0" w:line="286" w:lineRule="auto"/>
        <w:rPr>
          <w:sz w:val="20"/>
          <w:szCs w:val="20"/>
          <w:color w:val="auto"/>
        </w:rPr>
      </w:pPr>
      <w:r>
        <w:rPr>
          <w:rFonts w:ascii="Arial" w:cs="Arial" w:eastAsia="Arial" w:hAnsi="Arial"/>
          <w:sz w:val="16"/>
          <w:szCs w:val="16"/>
          <w:color w:val="auto"/>
        </w:rPr>
        <w:t>Funding for the fiscal year 2024 Bonus Plan awards was based on Embecta’s global business results, which resulted in an overall funding level of 119.8%.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13335</wp:posOffset>
            </wp:positionV>
            <wp:extent cx="534924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spacing w:after="0" w:line="129" w:lineRule="exact"/>
        <w:rPr>
          <w:sz w:val="20"/>
          <w:szCs w:val="20"/>
          <w:color w:val="auto"/>
        </w:rPr>
      </w:pPr>
    </w:p>
    <w:p>
      <w:pPr>
        <w:ind w:left="440"/>
        <w:spacing w:after="0" w:line="300" w:lineRule="auto"/>
        <w:rPr>
          <w:sz w:val="20"/>
          <w:szCs w:val="20"/>
          <w:color w:val="auto"/>
        </w:rPr>
      </w:pPr>
      <w:r>
        <w:rPr>
          <w:rFonts w:ascii="Arial" w:cs="Arial" w:eastAsia="Arial" w:hAnsi="Arial"/>
          <w:sz w:val="16"/>
          <w:szCs w:val="16"/>
          <w:b w:val="1"/>
          <w:bCs w:val="1"/>
          <w:color w:val="342C82"/>
        </w:rPr>
        <w:t>Adjusted Constant Currency Revenue $</w:t>
      </w:r>
      <w:r>
        <w:rPr>
          <w:rFonts w:ascii="Arial" w:cs="Arial" w:eastAsia="Arial" w:hAnsi="Arial"/>
          <w:sz w:val="26"/>
          <w:szCs w:val="26"/>
          <w:b w:val="1"/>
          <w:bCs w:val="1"/>
          <w:color w:val="342C82"/>
          <w:vertAlign w:val="superscript"/>
        </w:rPr>
        <w:t>*</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right="519"/>
        <w:spacing w:after="0" w:line="252" w:lineRule="auto"/>
        <w:rPr>
          <w:sz w:val="20"/>
          <w:szCs w:val="20"/>
          <w:color w:val="auto"/>
        </w:rPr>
      </w:pPr>
      <w:r>
        <w:rPr>
          <w:rFonts w:ascii="Arial" w:cs="Arial" w:eastAsia="Arial" w:hAnsi="Arial"/>
          <w:sz w:val="16"/>
          <w:szCs w:val="16"/>
          <w:color w:val="auto"/>
        </w:rPr>
        <w:t>This measure is defined as revenues excluding (i) the recognition of incremental Italian payback accruals relating to certain prior years since 2015, which was recognized as a result of the Constitutional Court of Italy upholding in July 2024 the constitutionality of a 2015 legislation imposing a “payback” measure on medical device companies that supply goods and services to the Italian National Healthcare System for medical device expenditures exceeding certain ceilings (the “Italian payback measure”) and (ii) the impact of fluctuations in foreign exchange (or “FX”) rates since the setting of the Bonus Plan targets.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-1426845</wp:posOffset>
            </wp:positionH>
            <wp:positionV relativeFrom="paragraph">
              <wp:posOffset>30480</wp:posOffset>
            </wp:positionV>
            <wp:extent cx="528066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280660" cy="8255"/>
                    </a:xfrm>
                    <a:prstGeom prst="rect">
                      <a:avLst/>
                    </a:prstGeom>
                    <a:noFill/>
                  </pic:spPr>
                </pic:pic>
              </a:graphicData>
            </a:graphic>
          </wp:anchor>
        </w:drawing>
      </w:r>
    </w:p>
    <w:p>
      <w:pPr>
        <w:spacing w:after="0" w:line="6" w:lineRule="exact"/>
        <w:rPr>
          <w:sz w:val="20"/>
          <w:szCs w:val="20"/>
          <w:color w:val="auto"/>
        </w:rPr>
      </w:pPr>
    </w:p>
    <w:p>
      <w:pPr>
        <w:sectPr>
          <w:pgSz w:w="11900" w:h="16838" w:orient="portrait"/>
          <w:cols w:equalWidth="0" w:num="2">
            <w:col w:w="2060" w:space="480"/>
            <w:col w:w="6479"/>
          </w:cols>
          <w:pgMar w:left="1440" w:top="114" w:right="1440" w:bottom="1440" w:gutter="0" w:footer="0" w:header="0"/>
          <w:type w:val="continuous"/>
        </w:sectPr>
      </w:pPr>
    </w:p>
    <w:tbl>
      <w:tblPr>
        <w:tblLayout w:type="fixed"/>
        <w:tblInd w:w="300" w:type="dxa"/>
        <w:tblCellMar>
          <w:top w:w="0" w:type="dxa"/>
          <w:left w:w="0" w:type="dxa"/>
          <w:bottom w:w="0" w:type="dxa"/>
          <w:right w:w="0" w:type="dxa"/>
        </w:tblCellMar>
      </w:tblPr>
      <w:tr>
        <w:trPr>
          <w:trHeight w:val="299"/>
        </w:trPr>
        <w:tc>
          <w:tcPr>
            <w:tcW w:w="1960" w:type="dxa"/>
            <w:vAlign w:val="bottom"/>
          </w:tcPr>
          <w:p>
            <w:pPr>
              <w:ind w:left="140"/>
              <w:spacing w:after="0"/>
              <w:rPr>
                <w:sz w:val="20"/>
                <w:szCs w:val="20"/>
                <w:color w:val="auto"/>
              </w:rPr>
            </w:pPr>
            <w:r>
              <w:rPr>
                <w:rFonts w:ascii="Arial" w:cs="Arial" w:eastAsia="Arial" w:hAnsi="Arial"/>
                <w:sz w:val="16"/>
                <w:szCs w:val="16"/>
                <w:b w:val="1"/>
                <w:bCs w:val="1"/>
                <w:color w:val="342C82"/>
              </w:rPr>
              <w:t>Adjusted EBITDA $</w:t>
            </w:r>
            <w:r>
              <w:rPr>
                <w:rFonts w:ascii="Arial" w:cs="Arial" w:eastAsia="Arial" w:hAnsi="Arial"/>
                <w:sz w:val="26"/>
                <w:szCs w:val="26"/>
                <w:b w:val="1"/>
                <w:bCs w:val="1"/>
                <w:color w:val="342C82"/>
                <w:vertAlign w:val="superscript"/>
              </w:rPr>
              <w:t>*</w:t>
            </w:r>
          </w:p>
        </w:tc>
        <w:tc>
          <w:tcPr>
            <w:tcW w:w="6340" w:type="dxa"/>
            <w:vAlign w:val="bottom"/>
          </w:tcPr>
          <w:p>
            <w:pPr>
              <w:ind w:left="280"/>
              <w:spacing w:after="0"/>
              <w:rPr>
                <w:sz w:val="20"/>
                <w:szCs w:val="20"/>
                <w:color w:val="auto"/>
              </w:rPr>
            </w:pPr>
            <w:r>
              <w:rPr>
                <w:rFonts w:ascii="Arial" w:cs="Arial" w:eastAsia="Arial" w:hAnsi="Arial"/>
                <w:sz w:val="16"/>
                <w:szCs w:val="16"/>
                <w:color w:val="auto"/>
              </w:rPr>
              <w:t>This measure is defined as earnings before interest, taxes, depreciation, and</w:t>
            </w:r>
          </w:p>
        </w:tc>
      </w:tr>
      <w:tr>
        <w:trPr>
          <w:trHeight w:val="175"/>
        </w:trPr>
        <w:tc>
          <w:tcPr>
            <w:tcW w:w="1960" w:type="dxa"/>
            <w:vAlign w:val="bottom"/>
          </w:tcPr>
          <w:p>
            <w:pPr>
              <w:spacing w:after="0"/>
              <w:rPr>
                <w:sz w:val="15"/>
                <w:szCs w:val="15"/>
                <w:color w:val="auto"/>
              </w:rPr>
            </w:pPr>
          </w:p>
        </w:tc>
        <w:tc>
          <w:tcPr>
            <w:tcW w:w="6340" w:type="dxa"/>
            <w:vAlign w:val="bottom"/>
          </w:tcPr>
          <w:p>
            <w:pPr>
              <w:ind w:left="280"/>
              <w:spacing w:after="0" w:line="175" w:lineRule="exact"/>
              <w:rPr>
                <w:sz w:val="20"/>
                <w:szCs w:val="20"/>
                <w:color w:val="auto"/>
              </w:rPr>
            </w:pPr>
            <w:r>
              <w:rPr>
                <w:rFonts w:ascii="Arial" w:cs="Arial" w:eastAsia="Arial" w:hAnsi="Arial"/>
                <w:sz w:val="16"/>
                <w:szCs w:val="16"/>
                <w:color w:val="auto"/>
              </w:rPr>
              <w:t>amortization (“EBITDA”) excluding certain items that affect comparability of</w:t>
            </w:r>
          </w:p>
        </w:tc>
      </w:tr>
      <w:tr>
        <w:trPr>
          <w:trHeight w:val="189"/>
        </w:trPr>
        <w:tc>
          <w:tcPr>
            <w:tcW w:w="1960" w:type="dxa"/>
            <w:vAlign w:val="bottom"/>
          </w:tcPr>
          <w:p>
            <w:pPr>
              <w:spacing w:after="0"/>
              <w:rPr>
                <w:sz w:val="16"/>
                <w:szCs w:val="16"/>
                <w:color w:val="auto"/>
              </w:rPr>
            </w:pPr>
          </w:p>
        </w:tc>
        <w:tc>
          <w:tcPr>
            <w:tcW w:w="6340" w:type="dxa"/>
            <w:vAlign w:val="bottom"/>
          </w:tcPr>
          <w:p>
            <w:pPr>
              <w:ind w:left="280"/>
              <w:spacing w:after="0"/>
              <w:rPr>
                <w:sz w:val="20"/>
                <w:szCs w:val="20"/>
                <w:color w:val="auto"/>
              </w:rPr>
            </w:pPr>
            <w:r>
              <w:rPr>
                <w:rFonts w:ascii="Arial" w:cs="Arial" w:eastAsia="Arial" w:hAnsi="Arial"/>
                <w:sz w:val="16"/>
                <w:szCs w:val="16"/>
                <w:color w:val="auto"/>
              </w:rPr>
              <w:t>operating results and the trend of earnings. These adjustments are either non-cash</w:t>
            </w:r>
          </w:p>
        </w:tc>
      </w:tr>
      <w:tr>
        <w:trPr>
          <w:trHeight w:val="189"/>
        </w:trPr>
        <w:tc>
          <w:tcPr>
            <w:tcW w:w="1960" w:type="dxa"/>
            <w:vAlign w:val="bottom"/>
          </w:tcPr>
          <w:p>
            <w:pPr>
              <w:spacing w:after="0"/>
              <w:rPr>
                <w:sz w:val="16"/>
                <w:szCs w:val="16"/>
                <w:color w:val="auto"/>
              </w:rPr>
            </w:pPr>
          </w:p>
        </w:tc>
        <w:tc>
          <w:tcPr>
            <w:tcW w:w="6340" w:type="dxa"/>
            <w:vAlign w:val="bottom"/>
          </w:tcPr>
          <w:p>
            <w:pPr>
              <w:ind w:left="280"/>
              <w:spacing w:after="0"/>
              <w:rPr>
                <w:sz w:val="20"/>
                <w:szCs w:val="20"/>
                <w:color w:val="auto"/>
              </w:rPr>
            </w:pPr>
            <w:r>
              <w:rPr>
                <w:rFonts w:ascii="Arial" w:cs="Arial" w:eastAsia="Arial" w:hAnsi="Arial"/>
                <w:sz w:val="16"/>
                <w:szCs w:val="16"/>
                <w:color w:val="auto"/>
              </w:rPr>
              <w:t>or irregular in nature, may not be indicative of our past and future performance and</w:t>
            </w:r>
          </w:p>
        </w:tc>
      </w:tr>
      <w:tr>
        <w:trPr>
          <w:trHeight w:val="189"/>
        </w:trPr>
        <w:tc>
          <w:tcPr>
            <w:tcW w:w="1960" w:type="dxa"/>
            <w:vAlign w:val="bottom"/>
          </w:tcPr>
          <w:p>
            <w:pPr>
              <w:spacing w:after="0"/>
              <w:rPr>
                <w:sz w:val="16"/>
                <w:szCs w:val="16"/>
                <w:color w:val="auto"/>
              </w:rPr>
            </w:pPr>
          </w:p>
        </w:tc>
        <w:tc>
          <w:tcPr>
            <w:tcW w:w="6340" w:type="dxa"/>
            <w:vAlign w:val="bottom"/>
          </w:tcPr>
          <w:p>
            <w:pPr>
              <w:ind w:left="280"/>
              <w:spacing w:after="0"/>
              <w:rPr>
                <w:sz w:val="20"/>
                <w:szCs w:val="20"/>
                <w:color w:val="auto"/>
              </w:rPr>
            </w:pPr>
            <w:r>
              <w:rPr>
                <w:rFonts w:ascii="Arial" w:cs="Arial" w:eastAsia="Arial" w:hAnsi="Arial"/>
                <w:sz w:val="16"/>
                <w:szCs w:val="16"/>
                <w:color w:val="auto"/>
              </w:rPr>
              <w:t>are therefore excluded to allow investors to better understand underlying operating</w:t>
            </w:r>
          </w:p>
        </w:tc>
      </w:tr>
      <w:tr>
        <w:trPr>
          <w:trHeight w:val="189"/>
        </w:trPr>
        <w:tc>
          <w:tcPr>
            <w:tcW w:w="1960" w:type="dxa"/>
            <w:vAlign w:val="bottom"/>
          </w:tcPr>
          <w:p>
            <w:pPr>
              <w:spacing w:after="0"/>
              <w:rPr>
                <w:sz w:val="16"/>
                <w:szCs w:val="16"/>
                <w:color w:val="auto"/>
              </w:rPr>
            </w:pPr>
          </w:p>
        </w:tc>
        <w:tc>
          <w:tcPr>
            <w:tcW w:w="6340" w:type="dxa"/>
            <w:vAlign w:val="bottom"/>
          </w:tcPr>
          <w:p>
            <w:pPr>
              <w:ind w:left="280"/>
              <w:spacing w:after="0"/>
              <w:rPr>
                <w:sz w:val="20"/>
                <w:szCs w:val="20"/>
                <w:color w:val="auto"/>
              </w:rPr>
            </w:pPr>
            <w:r>
              <w:rPr>
                <w:rFonts w:ascii="Arial" w:cs="Arial" w:eastAsia="Arial" w:hAnsi="Arial"/>
                <w:sz w:val="16"/>
                <w:szCs w:val="16"/>
                <w:color w:val="auto"/>
              </w:rPr>
              <w:t>trends. The following are examples of the types of adjustments that are excluded:</w:t>
            </w:r>
          </w:p>
        </w:tc>
      </w:tr>
      <w:tr>
        <w:trPr>
          <w:trHeight w:val="189"/>
        </w:trPr>
        <w:tc>
          <w:tcPr>
            <w:tcW w:w="1960" w:type="dxa"/>
            <w:vAlign w:val="bottom"/>
          </w:tcPr>
          <w:p>
            <w:pPr>
              <w:spacing w:after="0"/>
              <w:rPr>
                <w:sz w:val="16"/>
                <w:szCs w:val="16"/>
                <w:color w:val="auto"/>
              </w:rPr>
            </w:pPr>
          </w:p>
        </w:tc>
        <w:tc>
          <w:tcPr>
            <w:tcW w:w="6340" w:type="dxa"/>
            <w:vAlign w:val="bottom"/>
          </w:tcPr>
          <w:p>
            <w:pPr>
              <w:ind w:left="280"/>
              <w:spacing w:after="0"/>
              <w:rPr>
                <w:sz w:val="20"/>
                <w:szCs w:val="20"/>
                <w:color w:val="auto"/>
              </w:rPr>
            </w:pPr>
            <w:r>
              <w:rPr>
                <w:rFonts w:ascii="Arial" w:cs="Arial" w:eastAsia="Arial" w:hAnsi="Arial"/>
                <w:sz w:val="16"/>
                <w:szCs w:val="16"/>
                <w:color w:val="auto"/>
              </w:rPr>
              <w:t>share-based compensation, impairment losses, costs associated with the</w:t>
            </w:r>
          </w:p>
        </w:tc>
      </w:tr>
      <w:tr>
        <w:trPr>
          <w:trHeight w:val="189"/>
        </w:trPr>
        <w:tc>
          <w:tcPr>
            <w:tcW w:w="1960" w:type="dxa"/>
            <w:vAlign w:val="bottom"/>
          </w:tcPr>
          <w:p>
            <w:pPr>
              <w:spacing w:after="0"/>
              <w:rPr>
                <w:sz w:val="16"/>
                <w:szCs w:val="16"/>
                <w:color w:val="auto"/>
              </w:rPr>
            </w:pPr>
          </w:p>
        </w:tc>
        <w:tc>
          <w:tcPr>
            <w:tcW w:w="6340" w:type="dxa"/>
            <w:vAlign w:val="bottom"/>
          </w:tcPr>
          <w:p>
            <w:pPr>
              <w:ind w:left="280"/>
              <w:spacing w:after="0"/>
              <w:rPr>
                <w:sz w:val="20"/>
                <w:szCs w:val="20"/>
                <w:color w:val="auto"/>
              </w:rPr>
            </w:pPr>
            <w:r>
              <w:rPr>
                <w:rFonts w:ascii="Arial" w:cs="Arial" w:eastAsia="Arial" w:hAnsi="Arial"/>
                <w:sz w:val="16"/>
                <w:szCs w:val="16"/>
                <w:color w:val="auto"/>
              </w:rPr>
              <w:t>Separation and other significant items management deems irregular or non-</w:t>
            </w:r>
          </w:p>
        </w:tc>
      </w:tr>
      <w:tr>
        <w:trPr>
          <w:trHeight w:val="189"/>
        </w:trPr>
        <w:tc>
          <w:tcPr>
            <w:tcW w:w="1960" w:type="dxa"/>
            <w:vAlign w:val="bottom"/>
          </w:tcPr>
          <w:p>
            <w:pPr>
              <w:spacing w:after="0"/>
              <w:rPr>
                <w:sz w:val="16"/>
                <w:szCs w:val="16"/>
                <w:color w:val="auto"/>
              </w:rPr>
            </w:pPr>
          </w:p>
        </w:tc>
        <w:tc>
          <w:tcPr>
            <w:tcW w:w="6340" w:type="dxa"/>
            <w:vAlign w:val="bottom"/>
          </w:tcPr>
          <w:p>
            <w:pPr>
              <w:ind w:left="280"/>
              <w:spacing w:after="0"/>
              <w:rPr>
                <w:sz w:val="20"/>
                <w:szCs w:val="20"/>
                <w:color w:val="auto"/>
              </w:rPr>
            </w:pPr>
            <w:r>
              <w:rPr>
                <w:rFonts w:ascii="Arial" w:cs="Arial" w:eastAsia="Arial" w:hAnsi="Arial"/>
                <w:sz w:val="16"/>
                <w:szCs w:val="16"/>
                <w:color w:val="auto"/>
              </w:rPr>
              <w:t>operating in nature. This measure excludes the impact of fluctuations in foreign</w:t>
            </w:r>
          </w:p>
        </w:tc>
      </w:tr>
      <w:tr>
        <w:trPr>
          <w:trHeight w:val="215"/>
        </w:trPr>
        <w:tc>
          <w:tcPr>
            <w:tcW w:w="1960" w:type="dxa"/>
            <w:vAlign w:val="bottom"/>
          </w:tcPr>
          <w:p>
            <w:pPr>
              <w:spacing w:after="0"/>
              <w:rPr>
                <w:sz w:val="18"/>
                <w:szCs w:val="18"/>
                <w:color w:val="auto"/>
              </w:rPr>
            </w:pPr>
          </w:p>
        </w:tc>
        <w:tc>
          <w:tcPr>
            <w:tcW w:w="6340" w:type="dxa"/>
            <w:vAlign w:val="bottom"/>
          </w:tcPr>
          <w:p>
            <w:pPr>
              <w:ind w:left="280"/>
              <w:spacing w:after="0"/>
              <w:rPr>
                <w:sz w:val="20"/>
                <w:szCs w:val="20"/>
                <w:color w:val="auto"/>
              </w:rPr>
            </w:pPr>
            <w:r>
              <w:rPr>
                <w:rFonts w:ascii="Arial" w:cs="Arial" w:eastAsia="Arial" w:hAnsi="Arial"/>
                <w:sz w:val="16"/>
                <w:szCs w:val="16"/>
                <w:color w:val="auto"/>
              </w:rPr>
              <w:t>exchange rates since the setting of the Bonus Plan targets.</w:t>
            </w:r>
          </w:p>
        </w:tc>
      </w:tr>
      <w:tr>
        <w:trPr>
          <w:trHeight w:val="56"/>
        </w:trPr>
        <w:tc>
          <w:tcPr>
            <w:tcW w:w="1960" w:type="dxa"/>
            <w:vAlign w:val="bottom"/>
            <w:tcBorders>
              <w:bottom w:val="single" w:sz="8" w:color="808080"/>
            </w:tcBorders>
          </w:tcPr>
          <w:p>
            <w:pPr>
              <w:spacing w:after="0"/>
              <w:rPr>
                <w:sz w:val="4"/>
                <w:szCs w:val="4"/>
                <w:color w:val="auto"/>
              </w:rPr>
            </w:pPr>
          </w:p>
        </w:tc>
        <w:tc>
          <w:tcPr>
            <w:tcW w:w="6340" w:type="dxa"/>
            <w:vAlign w:val="bottom"/>
            <w:tcBorders>
              <w:bottom w:val="single" w:sz="8" w:color="808080"/>
            </w:tcBorders>
          </w:tcPr>
          <w:p>
            <w:pPr>
              <w:spacing w:after="0"/>
              <w:rPr>
                <w:sz w:val="4"/>
                <w:szCs w:val="4"/>
                <w:color w:val="auto"/>
              </w:rPr>
            </w:pPr>
          </w:p>
        </w:tc>
      </w:tr>
      <w:tr>
        <w:trPr>
          <w:trHeight w:val="236"/>
        </w:trPr>
        <w:tc>
          <w:tcPr>
            <w:tcW w:w="1960" w:type="dxa"/>
            <w:vAlign w:val="bottom"/>
          </w:tcPr>
          <w:p>
            <w:pPr>
              <w:ind w:left="140"/>
              <w:spacing w:after="0"/>
              <w:rPr>
                <w:sz w:val="20"/>
                <w:szCs w:val="20"/>
                <w:color w:val="auto"/>
              </w:rPr>
            </w:pPr>
            <w:r>
              <w:rPr>
                <w:rFonts w:ascii="Arial" w:cs="Arial" w:eastAsia="Arial" w:hAnsi="Arial"/>
                <w:sz w:val="16"/>
                <w:szCs w:val="16"/>
                <w:b w:val="1"/>
                <w:bCs w:val="1"/>
                <w:color w:val="342C82"/>
              </w:rPr>
              <w:t>Strategic Objectives</w:t>
            </w:r>
          </w:p>
        </w:tc>
        <w:tc>
          <w:tcPr>
            <w:tcW w:w="6340" w:type="dxa"/>
            <w:vAlign w:val="bottom"/>
          </w:tcPr>
          <w:p>
            <w:pPr>
              <w:ind w:left="280"/>
              <w:spacing w:after="0"/>
              <w:rPr>
                <w:sz w:val="20"/>
                <w:szCs w:val="20"/>
                <w:color w:val="auto"/>
              </w:rPr>
            </w:pPr>
            <w:r>
              <w:rPr>
                <w:rFonts w:ascii="Arial" w:cs="Arial" w:eastAsia="Arial" w:hAnsi="Arial"/>
                <w:sz w:val="16"/>
                <w:szCs w:val="16"/>
                <w:color w:val="auto"/>
              </w:rPr>
              <w:t>For the 2024 Bonus Plan, the strategic objectives scorecard had the following</w:t>
            </w:r>
          </w:p>
        </w:tc>
      </w:tr>
      <w:tr>
        <w:trPr>
          <w:trHeight w:val="215"/>
        </w:trPr>
        <w:tc>
          <w:tcPr>
            <w:tcW w:w="1960" w:type="dxa"/>
            <w:vAlign w:val="bottom"/>
          </w:tcPr>
          <w:p>
            <w:pPr>
              <w:spacing w:after="0"/>
              <w:rPr>
                <w:sz w:val="18"/>
                <w:szCs w:val="18"/>
                <w:color w:val="auto"/>
              </w:rPr>
            </w:pPr>
          </w:p>
        </w:tc>
        <w:tc>
          <w:tcPr>
            <w:tcW w:w="6340" w:type="dxa"/>
            <w:vAlign w:val="bottom"/>
          </w:tcPr>
          <w:p>
            <w:pPr>
              <w:ind w:left="280"/>
              <w:spacing w:after="0"/>
              <w:rPr>
                <w:sz w:val="20"/>
                <w:szCs w:val="20"/>
                <w:color w:val="auto"/>
              </w:rPr>
            </w:pPr>
            <w:r>
              <w:rPr>
                <w:rFonts w:ascii="Arial" w:cs="Arial" w:eastAsia="Arial" w:hAnsi="Arial"/>
                <w:sz w:val="16"/>
                <w:szCs w:val="16"/>
                <w:color w:val="auto"/>
              </w:rPr>
              <w:t>goals:</w:t>
            </w:r>
          </w:p>
        </w:tc>
      </w:tr>
    </w:tbl>
    <w:p>
      <w:pPr>
        <w:spacing w:after="0" w:line="123" w:lineRule="exact"/>
        <w:rPr>
          <w:sz w:val="20"/>
          <w:szCs w:val="20"/>
          <w:color w:val="auto"/>
        </w:rPr>
      </w:pPr>
    </w:p>
    <w:p>
      <w:pPr>
        <w:ind w:left="2740" w:right="1279" w:hanging="207"/>
        <w:spacing w:after="0" w:line="286" w:lineRule="auto"/>
        <w:tabs>
          <w:tab w:leader="none" w:pos="2740" w:val="left"/>
        </w:tabs>
        <w:numPr>
          <w:ilvl w:val="1"/>
          <w:numId w:val="30"/>
        </w:numPr>
        <w:rPr>
          <w:rFonts w:ascii="Arial" w:cs="Arial" w:eastAsia="Arial" w:hAnsi="Arial"/>
          <w:sz w:val="16"/>
          <w:szCs w:val="16"/>
          <w:color w:val="342C82"/>
        </w:rPr>
      </w:pPr>
      <w:r>
        <w:rPr>
          <w:rFonts w:ascii="Arial" w:cs="Arial" w:eastAsia="Arial" w:hAnsi="Arial"/>
          <w:sz w:val="16"/>
          <w:szCs w:val="16"/>
          <w:b w:val="1"/>
          <w:bCs w:val="1"/>
          <w:color w:val="342C82"/>
        </w:rPr>
        <w:t xml:space="preserve">ERP Implementation: </w:t>
      </w:r>
      <w:r>
        <w:rPr>
          <w:rFonts w:ascii="Arial" w:cs="Arial" w:eastAsia="Arial" w:hAnsi="Arial"/>
          <w:sz w:val="16"/>
          <w:szCs w:val="16"/>
          <w:color w:val="000000"/>
        </w:rPr>
        <w:t>Related to milestones in the implementation of</w:t>
      </w:r>
      <w:r>
        <w:rPr>
          <w:rFonts w:ascii="Arial" w:cs="Arial" w:eastAsia="Arial" w:hAnsi="Arial"/>
          <w:sz w:val="16"/>
          <w:szCs w:val="16"/>
          <w:b w:val="1"/>
          <w:bCs w:val="1"/>
          <w:color w:val="342C82"/>
        </w:rPr>
        <w:t xml:space="preserve"> </w:t>
      </w:r>
      <w:r>
        <w:rPr>
          <w:rFonts w:ascii="Arial" w:cs="Arial" w:eastAsia="Arial" w:hAnsi="Arial"/>
          <w:sz w:val="16"/>
          <w:szCs w:val="16"/>
          <w:color w:val="000000"/>
        </w:rPr>
        <w:t>Embecta’s ERP system;</w:t>
      </w:r>
    </w:p>
    <w:p>
      <w:pPr>
        <w:spacing w:after="0" w:line="88" w:lineRule="exact"/>
        <w:rPr>
          <w:rFonts w:ascii="Arial" w:cs="Arial" w:eastAsia="Arial" w:hAnsi="Arial"/>
          <w:sz w:val="16"/>
          <w:szCs w:val="16"/>
          <w:color w:val="342C82"/>
        </w:rPr>
      </w:pPr>
    </w:p>
    <w:p>
      <w:pPr>
        <w:ind w:left="2740" w:right="539" w:hanging="207"/>
        <w:spacing w:after="0" w:line="286" w:lineRule="auto"/>
        <w:tabs>
          <w:tab w:leader="none" w:pos="2740" w:val="left"/>
        </w:tabs>
        <w:numPr>
          <w:ilvl w:val="1"/>
          <w:numId w:val="30"/>
        </w:numPr>
        <w:rPr>
          <w:rFonts w:ascii="Arial" w:cs="Arial" w:eastAsia="Arial" w:hAnsi="Arial"/>
          <w:sz w:val="16"/>
          <w:szCs w:val="16"/>
          <w:color w:val="342C82"/>
        </w:rPr>
      </w:pPr>
      <w:r>
        <w:rPr>
          <w:rFonts w:ascii="Arial" w:cs="Arial" w:eastAsia="Arial" w:hAnsi="Arial"/>
          <w:sz w:val="16"/>
          <w:szCs w:val="16"/>
          <w:b w:val="1"/>
          <w:bCs w:val="1"/>
          <w:color w:val="342C82"/>
        </w:rPr>
        <w:t xml:space="preserve">Insulin Delivery Pump: </w:t>
      </w:r>
      <w:r>
        <w:rPr>
          <w:rFonts w:ascii="Arial" w:cs="Arial" w:eastAsia="Arial" w:hAnsi="Arial"/>
          <w:sz w:val="16"/>
          <w:szCs w:val="16"/>
          <w:color w:val="000000"/>
        </w:rPr>
        <w:t>Related to milestones for the development of an insulin</w:t>
      </w:r>
      <w:r>
        <w:rPr>
          <w:rFonts w:ascii="Arial" w:cs="Arial" w:eastAsia="Arial" w:hAnsi="Arial"/>
          <w:sz w:val="16"/>
          <w:szCs w:val="16"/>
          <w:b w:val="1"/>
          <w:bCs w:val="1"/>
          <w:color w:val="342C82"/>
        </w:rPr>
        <w:t xml:space="preserve"> </w:t>
      </w:r>
      <w:r>
        <w:rPr>
          <w:rFonts w:ascii="Arial" w:cs="Arial" w:eastAsia="Arial" w:hAnsi="Arial"/>
          <w:sz w:val="16"/>
          <w:szCs w:val="16"/>
          <w:color w:val="000000"/>
        </w:rPr>
        <w:t>delivery pump; and</w:t>
      </w:r>
    </w:p>
    <w:p>
      <w:pPr>
        <w:spacing w:after="0" w:line="88" w:lineRule="exact"/>
        <w:rPr>
          <w:rFonts w:ascii="Arial" w:cs="Arial" w:eastAsia="Arial" w:hAnsi="Arial"/>
          <w:sz w:val="16"/>
          <w:szCs w:val="16"/>
          <w:color w:val="342C82"/>
        </w:rPr>
      </w:pPr>
    </w:p>
    <w:p>
      <w:pPr>
        <w:ind w:left="2740" w:right="859" w:hanging="207"/>
        <w:spacing w:after="0" w:line="286" w:lineRule="auto"/>
        <w:tabs>
          <w:tab w:leader="none" w:pos="2740" w:val="left"/>
        </w:tabs>
        <w:numPr>
          <w:ilvl w:val="1"/>
          <w:numId w:val="30"/>
        </w:numPr>
        <w:rPr>
          <w:rFonts w:ascii="Arial" w:cs="Arial" w:eastAsia="Arial" w:hAnsi="Arial"/>
          <w:sz w:val="16"/>
          <w:szCs w:val="16"/>
          <w:color w:val="342C82"/>
        </w:rPr>
      </w:pPr>
      <w:r>
        <w:rPr>
          <w:rFonts w:ascii="Arial" w:cs="Arial" w:eastAsia="Arial" w:hAnsi="Arial"/>
          <w:sz w:val="16"/>
          <w:szCs w:val="16"/>
          <w:b w:val="1"/>
          <w:bCs w:val="1"/>
          <w:color w:val="342C82"/>
        </w:rPr>
        <w:t xml:space="preserve">Distribution Network: </w:t>
      </w:r>
      <w:r>
        <w:rPr>
          <w:rFonts w:ascii="Arial" w:cs="Arial" w:eastAsia="Arial" w:hAnsi="Arial"/>
          <w:sz w:val="16"/>
          <w:szCs w:val="16"/>
          <w:color w:val="000000"/>
        </w:rPr>
        <w:t>Related to the creation and operations of Embecta’s</w:t>
      </w:r>
      <w:r>
        <w:rPr>
          <w:rFonts w:ascii="Arial" w:cs="Arial" w:eastAsia="Arial" w:hAnsi="Arial"/>
          <w:sz w:val="16"/>
          <w:szCs w:val="16"/>
          <w:b w:val="1"/>
          <w:bCs w:val="1"/>
          <w:color w:val="342C82"/>
        </w:rPr>
        <w:t xml:space="preserve"> </w:t>
      </w:r>
      <w:r>
        <w:rPr>
          <w:rFonts w:ascii="Arial" w:cs="Arial" w:eastAsia="Arial" w:hAnsi="Arial"/>
          <w:sz w:val="16"/>
          <w:szCs w:val="16"/>
          <w:color w:val="000000"/>
        </w:rPr>
        <w:t>distribution network.</w:t>
      </w:r>
    </w:p>
    <w:p>
      <w:pPr>
        <w:spacing w:after="0" w:line="11" w:lineRule="exact"/>
        <w:rPr>
          <w:rFonts w:ascii="Arial" w:cs="Arial" w:eastAsia="Arial" w:hAnsi="Arial"/>
          <w:sz w:val="16"/>
          <w:szCs w:val="16"/>
          <w:color w:val="342C82"/>
        </w:rPr>
      </w:pPr>
    </w:p>
    <w:p>
      <w:pPr>
        <w:ind w:left="500" w:right="439" w:hanging="216"/>
        <w:spacing w:after="0" w:line="263" w:lineRule="auto"/>
        <w:rPr>
          <w:rFonts w:ascii="Arial" w:cs="Arial" w:eastAsia="Arial" w:hAnsi="Arial"/>
          <w:sz w:val="16"/>
          <w:szCs w:val="16"/>
          <w:color w:val="342C82"/>
        </w:rPr>
      </w:pPr>
      <w:r>
        <w:rPr>
          <w:rFonts w:ascii="Arial" w:cs="Arial" w:eastAsia="Arial" w:hAnsi="Arial"/>
          <w:sz w:val="14"/>
          <w:szCs w:val="14"/>
          <w:color w:val="auto"/>
        </w:rPr>
        <w:t>* Adjusted Constant Currency Revenue and Adjusted EBITDA are not calculated in accordance with the U.S. generally accepted accounting principles (“GAAP”). For a reconciliation of these metrics for the fiscal year ended September 30, 2024 to the most directly comparable GAAP measures, please see Appendix A to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-338455</wp:posOffset>
            </wp:positionV>
            <wp:extent cx="534924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8"/>
          <w:szCs w:val="18"/>
          <w:color w:val="342C82"/>
        </w:rPr>
        <w:t>How our performance metrics support Embecta’s business strategy</w:t>
      </w:r>
    </w:p>
    <w:p>
      <w:pPr>
        <w:spacing w:after="0" w:line="162" w:lineRule="exact"/>
        <w:rPr>
          <w:sz w:val="20"/>
          <w:szCs w:val="20"/>
          <w:color w:val="auto"/>
        </w:rPr>
      </w:pPr>
    </w:p>
    <w:p>
      <w:pPr>
        <w:ind w:left="300" w:right="299"/>
        <w:spacing w:after="0" w:line="286" w:lineRule="auto"/>
        <w:rPr>
          <w:sz w:val="20"/>
          <w:szCs w:val="20"/>
          <w:color w:val="auto"/>
        </w:rPr>
      </w:pPr>
      <w:r>
        <w:rPr>
          <w:rFonts w:ascii="Arial" w:cs="Arial" w:eastAsia="Arial" w:hAnsi="Arial"/>
          <w:sz w:val="16"/>
          <w:szCs w:val="16"/>
          <w:color w:val="auto"/>
        </w:rPr>
        <w:t>The Compensation Committee believes that, together, these measures provide a balanced set of performance targets that focus on preserving and growing our core business, profitability, and operating efficiency.</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123825</wp:posOffset>
            </wp:positionV>
            <wp:extent cx="699516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53" w:name="page54"/>
    <w:bookmarkEnd w:id="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5880"/>
        <w:spacing w:after="0"/>
        <w:rPr>
          <w:sz w:val="20"/>
          <w:szCs w:val="20"/>
          <w:color w:val="auto"/>
        </w:rPr>
      </w:pPr>
      <w:r>
        <w:rPr>
          <w:rFonts w:ascii="Arial" w:cs="Arial" w:eastAsia="Arial" w:hAnsi="Arial"/>
          <w:sz w:val="16"/>
          <w:szCs w:val="16"/>
          <w:color w:val="342C82"/>
        </w:rPr>
        <w:t>Compensation Discussion and Analysis</w:t>
      </w:r>
    </w:p>
    <w:p>
      <w:pPr>
        <w:spacing w:after="0" w:line="113" w:lineRule="exact"/>
        <w:rPr>
          <w:sz w:val="20"/>
          <w:szCs w:val="20"/>
          <w:color w:val="auto"/>
        </w:rPr>
      </w:pPr>
    </w:p>
    <w:p>
      <w:pPr>
        <w:ind w:left="300" w:right="379"/>
        <w:spacing w:after="0" w:line="259" w:lineRule="auto"/>
        <w:rPr>
          <w:sz w:val="20"/>
          <w:szCs w:val="20"/>
          <w:color w:val="auto"/>
        </w:rPr>
      </w:pPr>
      <w:r>
        <w:rPr>
          <w:rFonts w:ascii="Arial" w:cs="Arial" w:eastAsia="Arial" w:hAnsi="Arial"/>
          <w:sz w:val="16"/>
          <w:szCs w:val="16"/>
          <w:color w:val="auto"/>
        </w:rPr>
        <w:t>When measuring actual performance against financial targets, adjustments are made to account for the impact of foreign currency exchange rates in effect during the year, whether favorable or unfavorable to Embecta, compared to the rates we budgeted when the targets were set. We eliminate this impact of unbudgeted foreign currency translation so that only Embecta’s underlying performance is measured.</w:t>
      </w:r>
    </w:p>
    <w:p>
      <w:pPr>
        <w:spacing w:after="0" w:line="254" w:lineRule="exact"/>
        <w:rPr>
          <w:sz w:val="20"/>
          <w:szCs w:val="20"/>
          <w:color w:val="auto"/>
        </w:rPr>
      </w:pPr>
    </w:p>
    <w:p>
      <w:pPr>
        <w:ind w:left="300"/>
        <w:spacing w:after="0"/>
        <w:rPr>
          <w:sz w:val="20"/>
          <w:szCs w:val="20"/>
          <w:color w:val="auto"/>
        </w:rPr>
      </w:pPr>
      <w:r>
        <w:rPr>
          <w:rFonts w:ascii="Arial" w:cs="Arial" w:eastAsia="Arial" w:hAnsi="Arial"/>
          <w:sz w:val="18"/>
          <w:szCs w:val="18"/>
          <w:color w:val="342C82"/>
        </w:rPr>
        <w:t>Funding for awards based on Embecta’s performance</w:t>
      </w:r>
    </w:p>
    <w:p>
      <w:pPr>
        <w:spacing w:after="0" w:line="162" w:lineRule="exact"/>
        <w:rPr>
          <w:sz w:val="20"/>
          <w:szCs w:val="20"/>
          <w:color w:val="auto"/>
        </w:rPr>
      </w:pPr>
    </w:p>
    <w:p>
      <w:pPr>
        <w:ind w:left="300" w:right="379"/>
        <w:spacing w:after="0" w:line="266" w:lineRule="auto"/>
        <w:rPr>
          <w:sz w:val="20"/>
          <w:szCs w:val="20"/>
          <w:color w:val="auto"/>
        </w:rPr>
      </w:pPr>
      <w:r>
        <w:rPr>
          <w:rFonts w:ascii="Arial" w:cs="Arial" w:eastAsia="Arial" w:hAnsi="Arial"/>
          <w:sz w:val="16"/>
          <w:szCs w:val="16"/>
          <w:color w:val="auto"/>
        </w:rPr>
        <w:t>The available funding pool for awards is determined by a formula. For each performance measure, Embecta’s performance is compared to the target goal set by the Compensation Committee to arrive at a performance factor for that measure.</w:t>
      </w:r>
    </w:p>
    <w:p>
      <w:pPr>
        <w:spacing w:after="0" w:line="117" w:lineRule="exact"/>
        <w:rPr>
          <w:sz w:val="20"/>
          <w:szCs w:val="20"/>
          <w:color w:val="auto"/>
        </w:rPr>
      </w:pPr>
    </w:p>
    <w:p>
      <w:pPr>
        <w:ind w:left="300" w:right="379"/>
        <w:spacing w:after="0" w:line="259" w:lineRule="auto"/>
        <w:rPr>
          <w:sz w:val="20"/>
          <w:szCs w:val="20"/>
          <w:color w:val="auto"/>
        </w:rPr>
      </w:pPr>
      <w:r>
        <w:rPr>
          <w:rFonts w:ascii="Arial" w:cs="Arial" w:eastAsia="Arial" w:hAnsi="Arial"/>
          <w:sz w:val="16"/>
          <w:szCs w:val="16"/>
          <w:color w:val="auto"/>
        </w:rPr>
        <w:t>For 2024, funding for Bonus Plan awards was based on Embecta’s global business results, which resulted in an overall payout of 119.8%. The graphs below show the funding levels for threshold, target and maximum performance for the performance measures under the Bonus Plan for 2024. Performance below threshold for a performance measure results in no funding with respect to that measure.</w:t>
      </w:r>
    </w:p>
    <w:p>
      <w:pPr>
        <w:spacing w:after="0" w:line="110" w:lineRule="exact"/>
        <w:rPr>
          <w:sz w:val="20"/>
          <w:szCs w:val="20"/>
          <w:color w:val="auto"/>
        </w:rPr>
      </w:pPr>
    </w:p>
    <w:tbl>
      <w:tblPr>
        <w:tblLayout w:type="fixed"/>
        <w:tblInd w:w="300" w:type="dxa"/>
        <w:tblCellMar>
          <w:top w:w="0" w:type="dxa"/>
          <w:left w:w="0" w:type="dxa"/>
          <w:bottom w:w="0" w:type="dxa"/>
          <w:right w:w="0" w:type="dxa"/>
        </w:tblCellMar>
      </w:tblPr>
      <w:tr>
        <w:trPr>
          <w:trHeight w:val="189"/>
        </w:trPr>
        <w:tc>
          <w:tcPr>
            <w:tcW w:w="25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300" w:type="dxa"/>
            <w:vAlign w:val="bottom"/>
          </w:tcPr>
          <w:p>
            <w:pPr>
              <w:jc w:val="right"/>
              <w:ind w:right="179"/>
              <w:spacing w:after="0"/>
              <w:rPr>
                <w:sz w:val="20"/>
                <w:szCs w:val="20"/>
                <w:color w:val="auto"/>
              </w:rPr>
            </w:pPr>
            <w:r>
              <w:rPr>
                <w:rFonts w:ascii="Arial" w:cs="Arial" w:eastAsia="Arial" w:hAnsi="Arial"/>
                <w:sz w:val="16"/>
                <w:szCs w:val="16"/>
                <w:b w:val="1"/>
                <w:bCs w:val="1"/>
                <w:color w:val="auto"/>
              </w:rPr>
              <w:t>Below</w:t>
            </w:r>
          </w:p>
        </w:tc>
        <w:tc>
          <w:tcPr>
            <w:tcW w:w="1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540" w:type="dxa"/>
            <w:vAlign w:val="bottom"/>
          </w:tcPr>
          <w:p>
            <w:pPr>
              <w:ind w:left="80"/>
              <w:spacing w:after="0"/>
              <w:rPr>
                <w:sz w:val="20"/>
                <w:szCs w:val="20"/>
                <w:color w:val="auto"/>
              </w:rPr>
            </w:pPr>
            <w:r>
              <w:rPr>
                <w:rFonts w:ascii="Arial" w:cs="Arial" w:eastAsia="Arial" w:hAnsi="Arial"/>
                <w:sz w:val="16"/>
                <w:szCs w:val="16"/>
                <w:b w:val="1"/>
                <w:bCs w:val="1"/>
                <w:color w:val="auto"/>
              </w:rPr>
              <w:t>Performance Measures</w:t>
            </w:r>
          </w:p>
        </w:tc>
        <w:tc>
          <w:tcPr>
            <w:tcW w:w="1740" w:type="dxa"/>
            <w:vAlign w:val="bottom"/>
          </w:tcPr>
          <w:p>
            <w:pPr>
              <w:spacing w:after="0"/>
              <w:rPr>
                <w:sz w:val="19"/>
                <w:szCs w:val="19"/>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b w:val="1"/>
                <w:bCs w:val="1"/>
                <w:color w:val="auto"/>
              </w:rPr>
              <w:t>Threshold</w:t>
            </w:r>
          </w:p>
        </w:tc>
        <w:tc>
          <w:tcPr>
            <w:tcW w:w="1240" w:type="dxa"/>
            <w:vAlign w:val="bottom"/>
          </w:tcPr>
          <w:p>
            <w:pPr>
              <w:jc w:val="right"/>
              <w:ind w:right="139"/>
              <w:spacing w:after="0"/>
              <w:rPr>
                <w:sz w:val="20"/>
                <w:szCs w:val="20"/>
                <w:color w:val="auto"/>
              </w:rPr>
            </w:pPr>
            <w:r>
              <w:rPr>
                <w:rFonts w:ascii="Arial" w:cs="Arial" w:eastAsia="Arial" w:hAnsi="Arial"/>
                <w:sz w:val="16"/>
                <w:szCs w:val="16"/>
                <w:b w:val="1"/>
                <w:bCs w:val="1"/>
                <w:color w:val="auto"/>
              </w:rPr>
              <w:t>Threshold</w:t>
            </w:r>
          </w:p>
        </w:tc>
        <w:tc>
          <w:tcPr>
            <w:tcW w:w="880" w:type="dxa"/>
            <w:vAlign w:val="bottom"/>
          </w:tcPr>
          <w:p>
            <w:pPr>
              <w:jc w:val="right"/>
              <w:ind w:right="99"/>
              <w:spacing w:after="0"/>
              <w:rPr>
                <w:sz w:val="20"/>
                <w:szCs w:val="20"/>
                <w:color w:val="auto"/>
              </w:rPr>
            </w:pPr>
            <w:r>
              <w:rPr>
                <w:rFonts w:ascii="Arial" w:cs="Arial" w:eastAsia="Arial" w:hAnsi="Arial"/>
                <w:sz w:val="16"/>
                <w:szCs w:val="16"/>
                <w:b w:val="1"/>
                <w:bCs w:val="1"/>
                <w:color w:val="auto"/>
              </w:rPr>
              <w:t>Target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Max</w:t>
            </w:r>
          </w:p>
        </w:tc>
        <w:tc>
          <w:tcPr>
            <w:tcW w:w="0" w:type="dxa"/>
            <w:vAlign w:val="bottom"/>
          </w:tcPr>
          <w:p>
            <w:pPr>
              <w:spacing w:after="0"/>
              <w:rPr>
                <w:sz w:val="1"/>
                <w:szCs w:val="1"/>
                <w:color w:val="auto"/>
              </w:rPr>
            </w:pPr>
          </w:p>
        </w:tc>
      </w:tr>
      <w:tr>
        <w:trPr>
          <w:trHeight w:val="21"/>
        </w:trPr>
        <w:tc>
          <w:tcPr>
            <w:tcW w:w="2540" w:type="dxa"/>
            <w:vAlign w:val="bottom"/>
            <w:tcBorders>
              <w:bottom w:val="single" w:sz="8" w:color="342C82"/>
            </w:tcBorders>
          </w:tcPr>
          <w:p>
            <w:pPr>
              <w:spacing w:after="0" w:line="20" w:lineRule="exact"/>
              <w:rPr>
                <w:sz w:val="1"/>
                <w:szCs w:val="1"/>
                <w:color w:val="auto"/>
              </w:rPr>
            </w:pPr>
          </w:p>
        </w:tc>
        <w:tc>
          <w:tcPr>
            <w:tcW w:w="1740" w:type="dxa"/>
            <w:vAlign w:val="bottom"/>
            <w:tcBorders>
              <w:bottom w:val="single" w:sz="8" w:color="342C82"/>
            </w:tcBorders>
          </w:tcPr>
          <w:p>
            <w:pPr>
              <w:spacing w:after="0" w:line="20" w:lineRule="exact"/>
              <w:rPr>
                <w:sz w:val="1"/>
                <w:szCs w:val="1"/>
                <w:color w:val="auto"/>
              </w:rPr>
            </w:pPr>
          </w:p>
        </w:tc>
        <w:tc>
          <w:tcPr>
            <w:tcW w:w="1300" w:type="dxa"/>
            <w:vAlign w:val="bottom"/>
            <w:tcBorders>
              <w:bottom w:val="single" w:sz="8" w:color="342C82"/>
            </w:tcBorders>
          </w:tcPr>
          <w:p>
            <w:pPr>
              <w:spacing w:after="0" w:line="20" w:lineRule="exact"/>
              <w:rPr>
                <w:sz w:val="1"/>
                <w:szCs w:val="1"/>
                <w:color w:val="auto"/>
              </w:rPr>
            </w:pPr>
          </w:p>
        </w:tc>
        <w:tc>
          <w:tcPr>
            <w:tcW w:w="1240" w:type="dxa"/>
            <w:vAlign w:val="bottom"/>
            <w:tcBorders>
              <w:bottom w:val="single" w:sz="8" w:color="342C82"/>
            </w:tcBorders>
          </w:tcPr>
          <w:p>
            <w:pPr>
              <w:spacing w:after="0" w:line="20" w:lineRule="exact"/>
              <w:rPr>
                <w:sz w:val="1"/>
                <w:szCs w:val="1"/>
                <w:color w:val="auto"/>
              </w:rPr>
            </w:pPr>
          </w:p>
        </w:tc>
        <w:tc>
          <w:tcPr>
            <w:tcW w:w="880" w:type="dxa"/>
            <w:vAlign w:val="bottom"/>
            <w:tcBorders>
              <w:bottom w:val="single" w:sz="8" w:color="342C82"/>
            </w:tcBorders>
          </w:tcPr>
          <w:p>
            <w:pPr>
              <w:spacing w:after="0" w:line="20" w:lineRule="exact"/>
              <w:rPr>
                <w:sz w:val="1"/>
                <w:szCs w:val="1"/>
                <w:color w:val="auto"/>
              </w:rPr>
            </w:pPr>
          </w:p>
        </w:tc>
        <w:tc>
          <w:tcPr>
            <w:tcW w:w="720" w:type="dxa"/>
            <w:vAlign w:val="bottom"/>
            <w:tcBorders>
              <w:bottom w:val="single" w:sz="8" w:color="342C8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540" w:type="dxa"/>
            <w:vAlign w:val="bottom"/>
          </w:tcPr>
          <w:p>
            <w:pPr>
              <w:ind w:left="80"/>
              <w:spacing w:after="0"/>
              <w:rPr>
                <w:sz w:val="20"/>
                <w:szCs w:val="20"/>
                <w:color w:val="auto"/>
              </w:rPr>
            </w:pPr>
            <w:r>
              <w:rPr>
                <w:rFonts w:ascii="Arial" w:cs="Arial" w:eastAsia="Arial" w:hAnsi="Arial"/>
                <w:sz w:val="16"/>
                <w:szCs w:val="16"/>
                <w:color w:val="auto"/>
              </w:rPr>
              <w:t>Adjusted Constant Currency</w:t>
            </w:r>
          </w:p>
        </w:tc>
        <w:tc>
          <w:tcPr>
            <w:tcW w:w="1740" w:type="dxa"/>
            <w:vAlign w:val="bottom"/>
            <w:vMerge w:val="restart"/>
          </w:tcPr>
          <w:p>
            <w:pPr>
              <w:ind w:left="420"/>
              <w:spacing w:after="0"/>
              <w:rPr>
                <w:sz w:val="20"/>
                <w:szCs w:val="20"/>
                <w:color w:val="auto"/>
              </w:rPr>
            </w:pPr>
            <w:r>
              <w:rPr>
                <w:rFonts w:ascii="Arial" w:cs="Arial" w:eastAsia="Arial" w:hAnsi="Arial"/>
                <w:sz w:val="16"/>
                <w:szCs w:val="16"/>
                <w:b w:val="1"/>
                <w:bCs w:val="1"/>
                <w:color w:val="auto"/>
              </w:rPr>
              <w:t>Achievement</w:t>
            </w:r>
          </w:p>
        </w:tc>
        <w:tc>
          <w:tcPr>
            <w:tcW w:w="1300" w:type="dxa"/>
            <w:vAlign w:val="bottom"/>
            <w:vMerge w:val="restart"/>
          </w:tcPr>
          <w:p>
            <w:pPr>
              <w:jc w:val="right"/>
              <w:ind w:right="139"/>
              <w:spacing w:after="0"/>
              <w:rPr>
                <w:sz w:val="20"/>
                <w:szCs w:val="20"/>
                <w:color w:val="auto"/>
              </w:rPr>
            </w:pPr>
            <w:r>
              <w:rPr>
                <w:rFonts w:ascii="Arial" w:cs="Arial" w:eastAsia="Arial" w:hAnsi="Arial"/>
                <w:sz w:val="16"/>
                <w:szCs w:val="16"/>
                <w:color w:val="auto"/>
              </w:rPr>
              <w:t>&lt; 90%</w:t>
            </w:r>
          </w:p>
        </w:tc>
        <w:tc>
          <w:tcPr>
            <w:tcW w:w="1240" w:type="dxa"/>
            <w:vAlign w:val="bottom"/>
            <w:vMerge w:val="restart"/>
          </w:tcPr>
          <w:p>
            <w:pPr>
              <w:jc w:val="right"/>
              <w:ind w:right="139"/>
              <w:spacing w:after="0"/>
              <w:rPr>
                <w:sz w:val="20"/>
                <w:szCs w:val="20"/>
                <w:color w:val="auto"/>
              </w:rPr>
            </w:pPr>
            <w:r>
              <w:rPr>
                <w:rFonts w:ascii="Arial" w:cs="Arial" w:eastAsia="Arial" w:hAnsi="Arial"/>
                <w:sz w:val="16"/>
                <w:szCs w:val="16"/>
                <w:color w:val="auto"/>
              </w:rPr>
              <w:t>90%</w:t>
            </w:r>
          </w:p>
        </w:tc>
        <w:tc>
          <w:tcPr>
            <w:tcW w:w="880" w:type="dxa"/>
            <w:vAlign w:val="bottom"/>
            <w:vMerge w:val="restart"/>
          </w:tcPr>
          <w:p>
            <w:pPr>
              <w:jc w:val="right"/>
              <w:ind w:right="99"/>
              <w:spacing w:after="0"/>
              <w:rPr>
                <w:sz w:val="20"/>
                <w:szCs w:val="20"/>
                <w:color w:val="auto"/>
              </w:rPr>
            </w:pPr>
            <w:r>
              <w:rPr>
                <w:rFonts w:ascii="Arial" w:cs="Arial" w:eastAsia="Arial" w:hAnsi="Arial"/>
                <w:sz w:val="16"/>
                <w:szCs w:val="16"/>
                <w:color w:val="auto"/>
              </w:rPr>
              <w:t>100%</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128"/>
        </w:trPr>
        <w:tc>
          <w:tcPr>
            <w:tcW w:w="2540" w:type="dxa"/>
            <w:vAlign w:val="bottom"/>
            <w:vMerge w:val="restart"/>
          </w:tcPr>
          <w:p>
            <w:pPr>
              <w:ind w:left="80"/>
              <w:spacing w:after="0"/>
              <w:rPr>
                <w:sz w:val="20"/>
                <w:szCs w:val="20"/>
                <w:color w:val="auto"/>
              </w:rPr>
            </w:pPr>
            <w:r>
              <w:rPr>
                <w:rFonts w:ascii="Arial" w:cs="Arial" w:eastAsia="Arial" w:hAnsi="Arial"/>
                <w:sz w:val="16"/>
                <w:szCs w:val="16"/>
                <w:color w:val="auto"/>
              </w:rPr>
              <w:t>Revenue $</w:t>
            </w:r>
          </w:p>
        </w:tc>
        <w:tc>
          <w:tcPr>
            <w:tcW w:w="174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2540" w:type="dxa"/>
            <w:vAlign w:val="bottom"/>
            <w:vMerge w:val="continue"/>
          </w:tcPr>
          <w:p>
            <w:pPr>
              <w:spacing w:after="0"/>
              <w:rPr>
                <w:sz w:val="7"/>
                <w:szCs w:val="7"/>
                <w:color w:val="auto"/>
              </w:rPr>
            </w:pPr>
          </w:p>
        </w:tc>
        <w:tc>
          <w:tcPr>
            <w:tcW w:w="17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2540" w:type="dxa"/>
            <w:vAlign w:val="bottom"/>
            <w:tcBorders>
              <w:bottom w:val="single" w:sz="8" w:color="808080"/>
            </w:tcBorders>
          </w:tcPr>
          <w:p>
            <w:pPr>
              <w:spacing w:after="0"/>
              <w:rPr>
                <w:sz w:val="2"/>
                <w:szCs w:val="2"/>
                <w:color w:val="auto"/>
              </w:rPr>
            </w:pPr>
          </w:p>
        </w:tc>
        <w:tc>
          <w:tcPr>
            <w:tcW w:w="1740" w:type="dxa"/>
            <w:vAlign w:val="bottom"/>
            <w:tcBorders>
              <w:bottom w:val="single" w:sz="8" w:color="808080"/>
            </w:tcBorders>
          </w:tcPr>
          <w:p>
            <w:pPr>
              <w:spacing w:after="0"/>
              <w:rPr>
                <w:sz w:val="2"/>
                <w:szCs w:val="2"/>
                <w:color w:val="auto"/>
              </w:rPr>
            </w:pPr>
          </w:p>
        </w:tc>
        <w:tc>
          <w:tcPr>
            <w:tcW w:w="1300" w:type="dxa"/>
            <w:vAlign w:val="bottom"/>
            <w:tcBorders>
              <w:bottom w:val="single" w:sz="8" w:color="808080"/>
            </w:tcBorders>
          </w:tcPr>
          <w:p>
            <w:pPr>
              <w:spacing w:after="0"/>
              <w:rPr>
                <w:sz w:val="2"/>
                <w:szCs w:val="2"/>
                <w:color w:val="auto"/>
              </w:rPr>
            </w:pPr>
          </w:p>
        </w:tc>
        <w:tc>
          <w:tcPr>
            <w:tcW w:w="1240" w:type="dxa"/>
            <w:vAlign w:val="bottom"/>
            <w:tcBorders>
              <w:bottom w:val="single" w:sz="8" w:color="808080"/>
            </w:tcBorders>
          </w:tcPr>
          <w:p>
            <w:pPr>
              <w:spacing w:after="0"/>
              <w:rPr>
                <w:sz w:val="2"/>
                <w:szCs w:val="2"/>
                <w:color w:val="auto"/>
              </w:rPr>
            </w:pPr>
          </w:p>
        </w:tc>
        <w:tc>
          <w:tcPr>
            <w:tcW w:w="88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2540" w:type="dxa"/>
            <w:vAlign w:val="bottom"/>
          </w:tcPr>
          <w:p>
            <w:pPr>
              <w:spacing w:after="0"/>
              <w:rPr>
                <w:sz w:val="19"/>
                <w:szCs w:val="19"/>
                <w:color w:val="auto"/>
              </w:rPr>
            </w:pPr>
          </w:p>
        </w:tc>
        <w:tc>
          <w:tcPr>
            <w:tcW w:w="1740" w:type="dxa"/>
            <w:vAlign w:val="bottom"/>
          </w:tcPr>
          <w:p>
            <w:pPr>
              <w:ind w:left="420"/>
              <w:spacing w:after="0"/>
              <w:rPr>
                <w:sz w:val="20"/>
                <w:szCs w:val="20"/>
                <w:color w:val="auto"/>
              </w:rPr>
            </w:pPr>
            <w:r>
              <w:rPr>
                <w:rFonts w:ascii="Arial" w:cs="Arial" w:eastAsia="Arial" w:hAnsi="Arial"/>
                <w:sz w:val="16"/>
                <w:szCs w:val="16"/>
                <w:b w:val="1"/>
                <w:bCs w:val="1"/>
                <w:color w:val="auto"/>
              </w:rPr>
              <w:t>Payout</w:t>
            </w: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0%</w:t>
            </w: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50%</w:t>
            </w: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100%</w:t>
            </w:r>
          </w:p>
        </w:tc>
        <w:tc>
          <w:tcPr>
            <w:tcW w:w="720" w:type="dxa"/>
            <w:vAlign w:val="bottom"/>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1"/>
        </w:trPr>
        <w:tc>
          <w:tcPr>
            <w:tcW w:w="2540" w:type="dxa"/>
            <w:vAlign w:val="bottom"/>
            <w:tcBorders>
              <w:bottom w:val="single" w:sz="8" w:color="808080"/>
            </w:tcBorders>
          </w:tcPr>
          <w:p>
            <w:pPr>
              <w:spacing w:after="0" w:line="20" w:lineRule="exact"/>
              <w:rPr>
                <w:sz w:val="1"/>
                <w:szCs w:val="1"/>
                <w:color w:val="auto"/>
              </w:rPr>
            </w:pPr>
          </w:p>
        </w:tc>
        <w:tc>
          <w:tcPr>
            <w:tcW w:w="1740" w:type="dxa"/>
            <w:vAlign w:val="bottom"/>
            <w:tcBorders>
              <w:bottom w:val="single" w:sz="8" w:color="808080"/>
            </w:tcBorders>
          </w:tcPr>
          <w:p>
            <w:pPr>
              <w:spacing w:after="0" w:line="20" w:lineRule="exact"/>
              <w:rPr>
                <w:sz w:val="1"/>
                <w:szCs w:val="1"/>
                <w:color w:val="auto"/>
              </w:rPr>
            </w:pPr>
          </w:p>
        </w:tc>
        <w:tc>
          <w:tcPr>
            <w:tcW w:w="1300" w:type="dxa"/>
            <w:vAlign w:val="bottom"/>
            <w:tcBorders>
              <w:bottom w:val="single" w:sz="8" w:color="808080"/>
            </w:tcBorders>
          </w:tcPr>
          <w:p>
            <w:pPr>
              <w:spacing w:after="0" w:line="20" w:lineRule="exact"/>
              <w:rPr>
                <w:sz w:val="1"/>
                <w:szCs w:val="1"/>
                <w:color w:val="auto"/>
              </w:rPr>
            </w:pPr>
          </w:p>
        </w:tc>
        <w:tc>
          <w:tcPr>
            <w:tcW w:w="1240" w:type="dxa"/>
            <w:vAlign w:val="bottom"/>
            <w:tcBorders>
              <w:bottom w:val="single" w:sz="8" w:color="808080"/>
            </w:tcBorders>
          </w:tcPr>
          <w:p>
            <w:pPr>
              <w:spacing w:after="0" w:line="20" w:lineRule="exact"/>
              <w:rPr>
                <w:sz w:val="1"/>
                <w:szCs w:val="1"/>
                <w:color w:val="auto"/>
              </w:rPr>
            </w:pPr>
          </w:p>
        </w:tc>
        <w:tc>
          <w:tcPr>
            <w:tcW w:w="880" w:type="dxa"/>
            <w:vAlign w:val="bottom"/>
            <w:tcBorders>
              <w:bottom w:val="single" w:sz="8" w:color="808080"/>
            </w:tcBorders>
          </w:tcPr>
          <w:p>
            <w:pPr>
              <w:spacing w:after="0" w:line="20" w:lineRule="exact"/>
              <w:rPr>
                <w:sz w:val="1"/>
                <w:szCs w:val="1"/>
                <w:color w:val="auto"/>
              </w:rPr>
            </w:pPr>
          </w:p>
        </w:tc>
        <w:tc>
          <w:tcPr>
            <w:tcW w:w="72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2540" w:type="dxa"/>
            <w:vAlign w:val="bottom"/>
          </w:tcPr>
          <w:p>
            <w:pPr>
              <w:ind w:left="80"/>
              <w:spacing w:after="0"/>
              <w:rPr>
                <w:sz w:val="20"/>
                <w:szCs w:val="20"/>
                <w:color w:val="auto"/>
              </w:rPr>
            </w:pPr>
            <w:r>
              <w:rPr>
                <w:rFonts w:ascii="Arial" w:cs="Arial" w:eastAsia="Arial" w:hAnsi="Arial"/>
                <w:sz w:val="16"/>
                <w:szCs w:val="16"/>
                <w:color w:val="auto"/>
              </w:rPr>
              <w:t>Adjusted EBITDA $</w:t>
            </w:r>
          </w:p>
        </w:tc>
        <w:tc>
          <w:tcPr>
            <w:tcW w:w="1740" w:type="dxa"/>
            <w:vAlign w:val="bottom"/>
          </w:tcPr>
          <w:p>
            <w:pPr>
              <w:ind w:left="420"/>
              <w:spacing w:after="0"/>
              <w:rPr>
                <w:sz w:val="20"/>
                <w:szCs w:val="20"/>
                <w:color w:val="auto"/>
              </w:rPr>
            </w:pPr>
            <w:r>
              <w:rPr>
                <w:rFonts w:ascii="Arial" w:cs="Arial" w:eastAsia="Arial" w:hAnsi="Arial"/>
                <w:sz w:val="16"/>
                <w:szCs w:val="16"/>
                <w:b w:val="1"/>
                <w:bCs w:val="1"/>
                <w:color w:val="auto"/>
              </w:rPr>
              <w:t>Achievement</w:t>
            </w: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&lt; 75%</w:t>
            </w: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75%</w:t>
            </w: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100%</w:t>
            </w:r>
          </w:p>
        </w:tc>
        <w:tc>
          <w:tcPr>
            <w:tcW w:w="720" w:type="dxa"/>
            <w:vAlign w:val="bottom"/>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1"/>
        </w:trPr>
        <w:tc>
          <w:tcPr>
            <w:tcW w:w="2540" w:type="dxa"/>
            <w:vAlign w:val="bottom"/>
            <w:tcBorders>
              <w:bottom w:val="single" w:sz="8" w:color="808080"/>
            </w:tcBorders>
          </w:tcPr>
          <w:p>
            <w:pPr>
              <w:spacing w:after="0" w:line="20" w:lineRule="exact"/>
              <w:rPr>
                <w:sz w:val="1"/>
                <w:szCs w:val="1"/>
                <w:color w:val="auto"/>
              </w:rPr>
            </w:pPr>
          </w:p>
        </w:tc>
        <w:tc>
          <w:tcPr>
            <w:tcW w:w="1740" w:type="dxa"/>
            <w:vAlign w:val="bottom"/>
            <w:tcBorders>
              <w:bottom w:val="single" w:sz="8" w:color="808080"/>
            </w:tcBorders>
          </w:tcPr>
          <w:p>
            <w:pPr>
              <w:spacing w:after="0" w:line="20" w:lineRule="exact"/>
              <w:rPr>
                <w:sz w:val="1"/>
                <w:szCs w:val="1"/>
                <w:color w:val="auto"/>
              </w:rPr>
            </w:pPr>
          </w:p>
        </w:tc>
        <w:tc>
          <w:tcPr>
            <w:tcW w:w="1300" w:type="dxa"/>
            <w:vAlign w:val="bottom"/>
            <w:tcBorders>
              <w:bottom w:val="single" w:sz="8" w:color="808080"/>
            </w:tcBorders>
          </w:tcPr>
          <w:p>
            <w:pPr>
              <w:spacing w:after="0" w:line="20" w:lineRule="exact"/>
              <w:rPr>
                <w:sz w:val="1"/>
                <w:szCs w:val="1"/>
                <w:color w:val="auto"/>
              </w:rPr>
            </w:pPr>
          </w:p>
        </w:tc>
        <w:tc>
          <w:tcPr>
            <w:tcW w:w="1240" w:type="dxa"/>
            <w:vAlign w:val="bottom"/>
            <w:tcBorders>
              <w:bottom w:val="single" w:sz="8" w:color="808080"/>
            </w:tcBorders>
          </w:tcPr>
          <w:p>
            <w:pPr>
              <w:spacing w:after="0" w:line="20" w:lineRule="exact"/>
              <w:rPr>
                <w:sz w:val="1"/>
                <w:szCs w:val="1"/>
                <w:color w:val="auto"/>
              </w:rPr>
            </w:pPr>
          </w:p>
        </w:tc>
        <w:tc>
          <w:tcPr>
            <w:tcW w:w="880" w:type="dxa"/>
            <w:vAlign w:val="bottom"/>
            <w:tcBorders>
              <w:bottom w:val="single" w:sz="8" w:color="808080"/>
            </w:tcBorders>
          </w:tcPr>
          <w:p>
            <w:pPr>
              <w:spacing w:after="0" w:line="20" w:lineRule="exact"/>
              <w:rPr>
                <w:sz w:val="1"/>
                <w:szCs w:val="1"/>
                <w:color w:val="auto"/>
              </w:rPr>
            </w:pPr>
          </w:p>
        </w:tc>
        <w:tc>
          <w:tcPr>
            <w:tcW w:w="72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2540" w:type="dxa"/>
            <w:vAlign w:val="bottom"/>
          </w:tcPr>
          <w:p>
            <w:pPr>
              <w:spacing w:after="0"/>
              <w:rPr>
                <w:sz w:val="19"/>
                <w:szCs w:val="19"/>
                <w:color w:val="auto"/>
              </w:rPr>
            </w:pPr>
          </w:p>
        </w:tc>
        <w:tc>
          <w:tcPr>
            <w:tcW w:w="1740" w:type="dxa"/>
            <w:vAlign w:val="bottom"/>
          </w:tcPr>
          <w:p>
            <w:pPr>
              <w:ind w:left="420"/>
              <w:spacing w:after="0"/>
              <w:rPr>
                <w:sz w:val="20"/>
                <w:szCs w:val="20"/>
                <w:color w:val="auto"/>
              </w:rPr>
            </w:pPr>
            <w:r>
              <w:rPr>
                <w:rFonts w:ascii="Arial" w:cs="Arial" w:eastAsia="Arial" w:hAnsi="Arial"/>
                <w:sz w:val="16"/>
                <w:szCs w:val="16"/>
                <w:b w:val="1"/>
                <w:bCs w:val="1"/>
                <w:color w:val="auto"/>
              </w:rPr>
              <w:t>Payout</w:t>
            </w: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0%</w:t>
            </w: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50%</w:t>
            </w: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100%</w:t>
            </w:r>
          </w:p>
        </w:tc>
        <w:tc>
          <w:tcPr>
            <w:tcW w:w="720" w:type="dxa"/>
            <w:vAlign w:val="bottom"/>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1"/>
        </w:trPr>
        <w:tc>
          <w:tcPr>
            <w:tcW w:w="2540" w:type="dxa"/>
            <w:vAlign w:val="bottom"/>
            <w:tcBorders>
              <w:bottom w:val="single" w:sz="8" w:color="808080"/>
            </w:tcBorders>
          </w:tcPr>
          <w:p>
            <w:pPr>
              <w:spacing w:after="0" w:line="20" w:lineRule="exact"/>
              <w:rPr>
                <w:sz w:val="1"/>
                <w:szCs w:val="1"/>
                <w:color w:val="auto"/>
              </w:rPr>
            </w:pPr>
          </w:p>
        </w:tc>
        <w:tc>
          <w:tcPr>
            <w:tcW w:w="1740" w:type="dxa"/>
            <w:vAlign w:val="bottom"/>
            <w:tcBorders>
              <w:bottom w:val="single" w:sz="8" w:color="808080"/>
            </w:tcBorders>
          </w:tcPr>
          <w:p>
            <w:pPr>
              <w:spacing w:after="0" w:line="20" w:lineRule="exact"/>
              <w:rPr>
                <w:sz w:val="1"/>
                <w:szCs w:val="1"/>
                <w:color w:val="auto"/>
              </w:rPr>
            </w:pPr>
          </w:p>
        </w:tc>
        <w:tc>
          <w:tcPr>
            <w:tcW w:w="1300" w:type="dxa"/>
            <w:vAlign w:val="bottom"/>
            <w:tcBorders>
              <w:bottom w:val="single" w:sz="8" w:color="808080"/>
            </w:tcBorders>
          </w:tcPr>
          <w:p>
            <w:pPr>
              <w:spacing w:after="0" w:line="20" w:lineRule="exact"/>
              <w:rPr>
                <w:sz w:val="1"/>
                <w:szCs w:val="1"/>
                <w:color w:val="auto"/>
              </w:rPr>
            </w:pPr>
          </w:p>
        </w:tc>
        <w:tc>
          <w:tcPr>
            <w:tcW w:w="1240" w:type="dxa"/>
            <w:vAlign w:val="bottom"/>
            <w:tcBorders>
              <w:bottom w:val="single" w:sz="8" w:color="808080"/>
            </w:tcBorders>
          </w:tcPr>
          <w:p>
            <w:pPr>
              <w:spacing w:after="0" w:line="20" w:lineRule="exact"/>
              <w:rPr>
                <w:sz w:val="1"/>
                <w:szCs w:val="1"/>
                <w:color w:val="auto"/>
              </w:rPr>
            </w:pPr>
          </w:p>
        </w:tc>
        <w:tc>
          <w:tcPr>
            <w:tcW w:w="880" w:type="dxa"/>
            <w:vAlign w:val="bottom"/>
            <w:tcBorders>
              <w:bottom w:val="single" w:sz="8" w:color="808080"/>
            </w:tcBorders>
          </w:tcPr>
          <w:p>
            <w:pPr>
              <w:spacing w:after="0" w:line="20" w:lineRule="exact"/>
              <w:rPr>
                <w:sz w:val="1"/>
                <w:szCs w:val="1"/>
                <w:color w:val="auto"/>
              </w:rPr>
            </w:pPr>
          </w:p>
        </w:tc>
        <w:tc>
          <w:tcPr>
            <w:tcW w:w="72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2540" w:type="dxa"/>
            <w:vAlign w:val="bottom"/>
          </w:tcPr>
          <w:p>
            <w:pPr>
              <w:ind w:left="80"/>
              <w:spacing w:after="0"/>
              <w:rPr>
                <w:sz w:val="20"/>
                <w:szCs w:val="20"/>
                <w:color w:val="auto"/>
              </w:rPr>
            </w:pPr>
            <w:r>
              <w:rPr>
                <w:rFonts w:ascii="Arial" w:cs="Arial" w:eastAsia="Arial" w:hAnsi="Arial"/>
                <w:sz w:val="16"/>
                <w:szCs w:val="16"/>
                <w:color w:val="auto"/>
              </w:rPr>
              <w:t>Strategic Objectives</w:t>
            </w:r>
          </w:p>
        </w:tc>
        <w:tc>
          <w:tcPr>
            <w:tcW w:w="1740" w:type="dxa"/>
            <w:vAlign w:val="bottom"/>
          </w:tcPr>
          <w:p>
            <w:pPr>
              <w:ind w:left="420"/>
              <w:spacing w:after="0"/>
              <w:rPr>
                <w:sz w:val="20"/>
                <w:szCs w:val="20"/>
                <w:color w:val="auto"/>
              </w:rPr>
            </w:pPr>
            <w:r>
              <w:rPr>
                <w:rFonts w:ascii="Arial" w:cs="Arial" w:eastAsia="Arial" w:hAnsi="Arial"/>
                <w:sz w:val="16"/>
                <w:szCs w:val="16"/>
                <w:b w:val="1"/>
                <w:bCs w:val="1"/>
                <w:color w:val="auto"/>
              </w:rPr>
              <w:t>Achievement</w:t>
            </w: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N/A</w:t>
            </w: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Below</w:t>
            </w: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Target​</w:t>
            </w:r>
          </w:p>
        </w:tc>
        <w:tc>
          <w:tcPr>
            <w:tcW w:w="720" w:type="dxa"/>
            <w:vAlign w:val="bottom"/>
          </w:tcPr>
          <w:p>
            <w:pPr>
              <w:jc w:val="right"/>
              <w:spacing w:after="0"/>
              <w:rPr>
                <w:sz w:val="20"/>
                <w:szCs w:val="20"/>
                <w:color w:val="auto"/>
              </w:rPr>
            </w:pPr>
            <w:r>
              <w:rPr>
                <w:rFonts w:ascii="Arial" w:cs="Arial" w:eastAsia="Arial" w:hAnsi="Arial"/>
                <w:sz w:val="16"/>
                <w:szCs w:val="16"/>
                <w:color w:val="auto"/>
              </w:rPr>
              <w:t>Above</w:t>
            </w:r>
          </w:p>
        </w:tc>
        <w:tc>
          <w:tcPr>
            <w:tcW w:w="0" w:type="dxa"/>
            <w:vAlign w:val="bottom"/>
          </w:tcPr>
          <w:p>
            <w:pPr>
              <w:spacing w:after="0"/>
              <w:rPr>
                <w:sz w:val="1"/>
                <w:szCs w:val="1"/>
                <w:color w:val="auto"/>
              </w:rPr>
            </w:pPr>
          </w:p>
        </w:tc>
      </w:tr>
      <w:tr>
        <w:trPr>
          <w:trHeight w:val="21"/>
        </w:trPr>
        <w:tc>
          <w:tcPr>
            <w:tcW w:w="2540" w:type="dxa"/>
            <w:vAlign w:val="bottom"/>
            <w:tcBorders>
              <w:bottom w:val="single" w:sz="8" w:color="808080"/>
            </w:tcBorders>
          </w:tcPr>
          <w:p>
            <w:pPr>
              <w:spacing w:after="0" w:line="20" w:lineRule="exact"/>
              <w:rPr>
                <w:sz w:val="1"/>
                <w:szCs w:val="1"/>
                <w:color w:val="auto"/>
              </w:rPr>
            </w:pPr>
          </w:p>
        </w:tc>
        <w:tc>
          <w:tcPr>
            <w:tcW w:w="1740" w:type="dxa"/>
            <w:vAlign w:val="bottom"/>
            <w:tcBorders>
              <w:bottom w:val="single" w:sz="8" w:color="808080"/>
            </w:tcBorders>
          </w:tcPr>
          <w:p>
            <w:pPr>
              <w:spacing w:after="0" w:line="20" w:lineRule="exact"/>
              <w:rPr>
                <w:sz w:val="1"/>
                <w:szCs w:val="1"/>
                <w:color w:val="auto"/>
              </w:rPr>
            </w:pPr>
          </w:p>
        </w:tc>
        <w:tc>
          <w:tcPr>
            <w:tcW w:w="1300" w:type="dxa"/>
            <w:vAlign w:val="bottom"/>
            <w:tcBorders>
              <w:bottom w:val="single" w:sz="8" w:color="808080"/>
            </w:tcBorders>
          </w:tcPr>
          <w:p>
            <w:pPr>
              <w:spacing w:after="0" w:line="20" w:lineRule="exact"/>
              <w:rPr>
                <w:sz w:val="1"/>
                <w:szCs w:val="1"/>
                <w:color w:val="auto"/>
              </w:rPr>
            </w:pPr>
          </w:p>
        </w:tc>
        <w:tc>
          <w:tcPr>
            <w:tcW w:w="1240" w:type="dxa"/>
            <w:vAlign w:val="bottom"/>
            <w:tcBorders>
              <w:bottom w:val="single" w:sz="8" w:color="808080"/>
            </w:tcBorders>
          </w:tcPr>
          <w:p>
            <w:pPr>
              <w:spacing w:after="0" w:line="20" w:lineRule="exact"/>
              <w:rPr>
                <w:sz w:val="1"/>
                <w:szCs w:val="1"/>
                <w:color w:val="auto"/>
              </w:rPr>
            </w:pPr>
          </w:p>
        </w:tc>
        <w:tc>
          <w:tcPr>
            <w:tcW w:w="880" w:type="dxa"/>
            <w:vAlign w:val="bottom"/>
            <w:tcBorders>
              <w:bottom w:val="single" w:sz="8" w:color="808080"/>
            </w:tcBorders>
          </w:tcPr>
          <w:p>
            <w:pPr>
              <w:spacing w:after="0" w:line="20" w:lineRule="exact"/>
              <w:rPr>
                <w:sz w:val="1"/>
                <w:szCs w:val="1"/>
                <w:color w:val="auto"/>
              </w:rPr>
            </w:pPr>
          </w:p>
        </w:tc>
        <w:tc>
          <w:tcPr>
            <w:tcW w:w="72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540" w:type="dxa"/>
            <w:vAlign w:val="bottom"/>
            <w:tcBorders>
              <w:bottom w:val="single" w:sz="8" w:color="342C82"/>
            </w:tcBorders>
          </w:tcPr>
          <w:p>
            <w:pPr>
              <w:spacing w:after="0"/>
              <w:rPr>
                <w:sz w:val="19"/>
                <w:szCs w:val="19"/>
                <w:color w:val="auto"/>
              </w:rPr>
            </w:pPr>
          </w:p>
        </w:tc>
        <w:tc>
          <w:tcPr>
            <w:tcW w:w="1740" w:type="dxa"/>
            <w:vAlign w:val="bottom"/>
            <w:tcBorders>
              <w:bottom w:val="single" w:sz="8" w:color="342C82"/>
            </w:tcBorders>
          </w:tcPr>
          <w:p>
            <w:pPr>
              <w:ind w:left="420"/>
              <w:spacing w:after="0"/>
              <w:rPr>
                <w:sz w:val="20"/>
                <w:szCs w:val="20"/>
                <w:color w:val="auto"/>
              </w:rPr>
            </w:pPr>
            <w:r>
              <w:rPr>
                <w:rFonts w:ascii="Arial" w:cs="Arial" w:eastAsia="Arial" w:hAnsi="Arial"/>
                <w:sz w:val="16"/>
                <w:szCs w:val="16"/>
                <w:b w:val="1"/>
                <w:bCs w:val="1"/>
                <w:color w:val="auto"/>
              </w:rPr>
              <w:t>Payout</w:t>
            </w:r>
          </w:p>
        </w:tc>
        <w:tc>
          <w:tcPr>
            <w:tcW w:w="1300" w:type="dxa"/>
            <w:vAlign w:val="bottom"/>
            <w:tcBorders>
              <w:bottom w:val="single" w:sz="8" w:color="342C82"/>
            </w:tcBorders>
          </w:tcPr>
          <w:p>
            <w:pPr>
              <w:jc w:val="right"/>
              <w:ind w:right="139"/>
              <w:spacing w:after="0"/>
              <w:rPr>
                <w:sz w:val="20"/>
                <w:szCs w:val="20"/>
                <w:color w:val="auto"/>
              </w:rPr>
            </w:pPr>
            <w:r>
              <w:rPr>
                <w:rFonts w:ascii="Arial" w:cs="Arial" w:eastAsia="Arial" w:hAnsi="Arial"/>
                <w:sz w:val="16"/>
                <w:szCs w:val="16"/>
                <w:color w:val="auto"/>
              </w:rPr>
              <w:t>0%</w:t>
            </w:r>
          </w:p>
        </w:tc>
        <w:tc>
          <w:tcPr>
            <w:tcW w:w="1240" w:type="dxa"/>
            <w:vAlign w:val="bottom"/>
            <w:tcBorders>
              <w:bottom w:val="single" w:sz="8" w:color="342C82"/>
            </w:tcBorders>
          </w:tcPr>
          <w:p>
            <w:pPr>
              <w:jc w:val="right"/>
              <w:ind w:right="139"/>
              <w:spacing w:after="0"/>
              <w:rPr>
                <w:sz w:val="20"/>
                <w:szCs w:val="20"/>
                <w:color w:val="auto"/>
              </w:rPr>
            </w:pPr>
            <w:r>
              <w:rPr>
                <w:rFonts w:ascii="Arial" w:cs="Arial" w:eastAsia="Arial" w:hAnsi="Arial"/>
                <w:sz w:val="16"/>
                <w:szCs w:val="16"/>
                <w:color w:val="auto"/>
              </w:rPr>
              <w:t>50%</w:t>
            </w:r>
          </w:p>
        </w:tc>
        <w:tc>
          <w:tcPr>
            <w:tcW w:w="880" w:type="dxa"/>
            <w:vAlign w:val="bottom"/>
            <w:tcBorders>
              <w:bottom w:val="single" w:sz="8" w:color="342C82"/>
            </w:tcBorders>
          </w:tcPr>
          <w:p>
            <w:pPr>
              <w:jc w:val="right"/>
              <w:ind w:right="99"/>
              <w:spacing w:after="0"/>
              <w:rPr>
                <w:sz w:val="20"/>
                <w:szCs w:val="20"/>
                <w:color w:val="auto"/>
              </w:rPr>
            </w:pPr>
            <w:r>
              <w:rPr>
                <w:rFonts w:ascii="Arial" w:cs="Arial" w:eastAsia="Arial" w:hAnsi="Arial"/>
                <w:sz w:val="16"/>
                <w:szCs w:val="16"/>
                <w:color w:val="auto"/>
              </w:rPr>
              <w:t>100%</w:t>
            </w:r>
          </w:p>
        </w:tc>
        <w:tc>
          <w:tcPr>
            <w:tcW w:w="720" w:type="dxa"/>
            <w:vAlign w:val="bottom"/>
            <w:tcBorders>
              <w:bottom w:val="single" w:sz="8" w:color="342C82"/>
            </w:tcBorders>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00" w:right="379"/>
        <w:spacing w:after="0" w:line="266" w:lineRule="auto"/>
        <w:rPr>
          <w:sz w:val="20"/>
          <w:szCs w:val="20"/>
          <w:color w:val="auto"/>
        </w:rPr>
      </w:pPr>
      <w:r>
        <w:rPr>
          <w:rFonts w:ascii="Arial" w:cs="Arial" w:eastAsia="Arial" w:hAnsi="Arial"/>
          <w:sz w:val="16"/>
          <w:szCs w:val="16"/>
          <w:color w:val="auto"/>
        </w:rPr>
        <w:t>The payout range applicable to 2024 is 50% - 200% for all measures and there is no payout for performance below threshold. Payout between threshold and target achievement and payout between target and maximum achievement is interpolated on a straight-line basis.</w:t>
      </w:r>
    </w:p>
    <w:p>
      <w:pPr>
        <w:spacing w:after="0" w:line="117" w:lineRule="exact"/>
        <w:rPr>
          <w:sz w:val="20"/>
          <w:szCs w:val="20"/>
          <w:color w:val="auto"/>
        </w:rPr>
      </w:pPr>
    </w:p>
    <w:tbl>
      <w:tblPr>
        <w:tblLayout w:type="fixed"/>
        <w:tblInd w:w="300" w:type="dxa"/>
        <w:tblCellMar>
          <w:top w:w="0" w:type="dxa"/>
          <w:left w:w="0" w:type="dxa"/>
          <w:bottom w:w="0" w:type="dxa"/>
          <w:right w:w="0" w:type="dxa"/>
        </w:tblCellMar>
      </w:tblPr>
      <w:tr>
        <w:trPr>
          <w:trHeight w:val="189"/>
        </w:trPr>
        <w:tc>
          <w:tcPr>
            <w:tcW w:w="3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160" w:type="dxa"/>
            <w:vAlign w:val="bottom"/>
          </w:tcPr>
          <w:p>
            <w:pPr>
              <w:jc w:val="right"/>
              <w:ind w:right="239"/>
              <w:spacing w:after="0"/>
              <w:rPr>
                <w:sz w:val="20"/>
                <w:szCs w:val="20"/>
                <w:color w:val="auto"/>
              </w:rPr>
            </w:pPr>
            <w:r>
              <w:rPr>
                <w:rFonts w:ascii="Arial" w:cs="Arial" w:eastAsia="Arial" w:hAnsi="Arial"/>
                <w:sz w:val="16"/>
                <w:szCs w:val="16"/>
                <w:b w:val="1"/>
                <w:bCs w:val="1"/>
                <w:color w:val="auto"/>
              </w:rPr>
              <w:t>Achieved Payout</w:t>
            </w:r>
          </w:p>
        </w:tc>
        <w:tc>
          <w:tcPr>
            <w:tcW w:w="1720" w:type="dxa"/>
            <w:vAlign w:val="bottom"/>
          </w:tcPr>
          <w:p>
            <w:pPr>
              <w:jc w:val="right"/>
              <w:ind w:right="39"/>
              <w:spacing w:after="0"/>
              <w:rPr>
                <w:sz w:val="20"/>
                <w:szCs w:val="20"/>
                <w:color w:val="auto"/>
              </w:rPr>
            </w:pPr>
            <w:r>
              <w:rPr>
                <w:rFonts w:ascii="Arial" w:cs="Arial" w:eastAsia="Arial" w:hAnsi="Arial"/>
                <w:sz w:val="16"/>
                <w:szCs w:val="16"/>
                <w:b w:val="1"/>
                <w:bCs w:val="1"/>
                <w:color w:val="auto"/>
              </w:rPr>
              <w:t>Weighted Payout</w:t>
            </w:r>
          </w:p>
        </w:tc>
      </w:tr>
      <w:tr>
        <w:trPr>
          <w:trHeight w:val="223"/>
        </w:trPr>
        <w:tc>
          <w:tcPr>
            <w:tcW w:w="3300" w:type="dxa"/>
            <w:vAlign w:val="bottom"/>
          </w:tcPr>
          <w:p>
            <w:pPr>
              <w:ind w:left="80"/>
              <w:spacing w:after="0"/>
              <w:rPr>
                <w:sz w:val="20"/>
                <w:szCs w:val="20"/>
                <w:color w:val="auto"/>
              </w:rPr>
            </w:pPr>
            <w:r>
              <w:rPr>
                <w:rFonts w:ascii="Arial" w:cs="Arial" w:eastAsia="Arial" w:hAnsi="Arial"/>
                <w:sz w:val="16"/>
                <w:szCs w:val="16"/>
                <w:b w:val="1"/>
                <w:bCs w:val="1"/>
                <w:color w:val="auto"/>
              </w:rPr>
              <w:t>Performance Measures</w:t>
            </w:r>
          </w:p>
        </w:tc>
        <w:tc>
          <w:tcPr>
            <w:tcW w:w="1240" w:type="dxa"/>
            <w:vAlign w:val="bottom"/>
          </w:tcPr>
          <w:p>
            <w:pPr>
              <w:jc w:val="right"/>
              <w:ind w:right="259"/>
              <w:spacing w:after="0"/>
              <w:rPr>
                <w:sz w:val="20"/>
                <w:szCs w:val="20"/>
                <w:color w:val="auto"/>
              </w:rPr>
            </w:pPr>
            <w:r>
              <w:rPr>
                <w:rFonts w:ascii="Arial" w:cs="Arial" w:eastAsia="Arial" w:hAnsi="Arial"/>
                <w:sz w:val="16"/>
                <w:szCs w:val="16"/>
                <w:b w:val="1"/>
                <w:bCs w:val="1"/>
                <w:color w:val="auto"/>
              </w:rPr>
              <w:t>Weight</w:t>
            </w:r>
          </w:p>
        </w:tc>
        <w:tc>
          <w:tcPr>
            <w:tcW w:w="2160" w:type="dxa"/>
            <w:vAlign w:val="bottom"/>
          </w:tcPr>
          <w:p>
            <w:pPr>
              <w:jc w:val="right"/>
              <w:ind w:right="199"/>
              <w:spacing w:after="0"/>
              <w:rPr>
                <w:sz w:val="20"/>
                <w:szCs w:val="20"/>
                <w:color w:val="auto"/>
              </w:rPr>
            </w:pPr>
            <w:r>
              <w:rPr>
                <w:rFonts w:ascii="Arial" w:cs="Arial" w:eastAsia="Arial" w:hAnsi="Arial"/>
                <w:sz w:val="16"/>
                <w:szCs w:val="16"/>
                <w:b w:val="1"/>
                <w:bCs w:val="1"/>
                <w:color w:val="auto"/>
              </w:rPr>
              <w:t>Factor</w:t>
            </w:r>
          </w:p>
        </w:tc>
        <w:tc>
          <w:tcPr>
            <w:tcW w:w="1720" w:type="dxa"/>
            <w:vAlign w:val="bottom"/>
          </w:tcPr>
          <w:p>
            <w:pPr>
              <w:jc w:val="right"/>
              <w:spacing w:after="0"/>
              <w:rPr>
                <w:sz w:val="20"/>
                <w:szCs w:val="20"/>
                <w:color w:val="auto"/>
              </w:rPr>
            </w:pPr>
            <w:r>
              <w:rPr>
                <w:rFonts w:ascii="Arial" w:cs="Arial" w:eastAsia="Arial" w:hAnsi="Arial"/>
                <w:sz w:val="16"/>
                <w:szCs w:val="16"/>
                <w:b w:val="1"/>
                <w:bCs w:val="1"/>
                <w:color w:val="auto"/>
              </w:rPr>
              <w:t>Factor</w:t>
            </w:r>
          </w:p>
        </w:tc>
      </w:tr>
      <w:tr>
        <w:trPr>
          <w:trHeight w:val="21"/>
        </w:trPr>
        <w:tc>
          <w:tcPr>
            <w:tcW w:w="3300" w:type="dxa"/>
            <w:vAlign w:val="bottom"/>
            <w:tcBorders>
              <w:bottom w:val="single" w:sz="8" w:color="342C82"/>
            </w:tcBorders>
          </w:tcPr>
          <w:p>
            <w:pPr>
              <w:spacing w:after="0" w:line="20" w:lineRule="exact"/>
              <w:rPr>
                <w:sz w:val="1"/>
                <w:szCs w:val="1"/>
                <w:color w:val="auto"/>
              </w:rPr>
            </w:pPr>
          </w:p>
        </w:tc>
        <w:tc>
          <w:tcPr>
            <w:tcW w:w="1240" w:type="dxa"/>
            <w:vAlign w:val="bottom"/>
            <w:tcBorders>
              <w:bottom w:val="single" w:sz="8" w:color="342C82"/>
            </w:tcBorders>
          </w:tcPr>
          <w:p>
            <w:pPr>
              <w:spacing w:after="0" w:line="20" w:lineRule="exact"/>
              <w:rPr>
                <w:sz w:val="1"/>
                <w:szCs w:val="1"/>
                <w:color w:val="auto"/>
              </w:rPr>
            </w:pPr>
          </w:p>
        </w:tc>
        <w:tc>
          <w:tcPr>
            <w:tcW w:w="2160" w:type="dxa"/>
            <w:vAlign w:val="bottom"/>
            <w:tcBorders>
              <w:bottom w:val="single" w:sz="8" w:color="342C82"/>
            </w:tcBorders>
          </w:tcPr>
          <w:p>
            <w:pPr>
              <w:spacing w:after="0" w:line="20" w:lineRule="exact"/>
              <w:rPr>
                <w:sz w:val="1"/>
                <w:szCs w:val="1"/>
                <w:color w:val="auto"/>
              </w:rPr>
            </w:pPr>
          </w:p>
        </w:tc>
        <w:tc>
          <w:tcPr>
            <w:tcW w:w="1720" w:type="dxa"/>
            <w:vAlign w:val="bottom"/>
            <w:tcBorders>
              <w:bottom w:val="single" w:sz="8" w:color="342C82"/>
            </w:tcBorders>
          </w:tcPr>
          <w:p>
            <w:pPr>
              <w:spacing w:after="0" w:line="20" w:lineRule="exact"/>
              <w:rPr>
                <w:sz w:val="1"/>
                <w:szCs w:val="1"/>
                <w:color w:val="auto"/>
              </w:rPr>
            </w:pPr>
          </w:p>
        </w:tc>
      </w:tr>
      <w:tr>
        <w:trPr>
          <w:trHeight w:val="221"/>
        </w:trPr>
        <w:tc>
          <w:tcPr>
            <w:tcW w:w="3300" w:type="dxa"/>
            <w:vAlign w:val="bottom"/>
          </w:tcPr>
          <w:p>
            <w:pPr>
              <w:ind w:left="80"/>
              <w:spacing w:after="0"/>
              <w:rPr>
                <w:sz w:val="20"/>
                <w:szCs w:val="20"/>
                <w:color w:val="auto"/>
              </w:rPr>
            </w:pPr>
            <w:r>
              <w:rPr>
                <w:rFonts w:ascii="Arial" w:cs="Arial" w:eastAsia="Arial" w:hAnsi="Arial"/>
                <w:sz w:val="16"/>
                <w:szCs w:val="16"/>
                <w:color w:val="auto"/>
              </w:rPr>
              <w:t>Adjusted Constant Currency Revenue $</w:t>
            </w:r>
          </w:p>
        </w:tc>
        <w:tc>
          <w:tcPr>
            <w:tcW w:w="1240" w:type="dxa"/>
            <w:vAlign w:val="bottom"/>
          </w:tcPr>
          <w:p>
            <w:pPr>
              <w:jc w:val="right"/>
              <w:ind w:right="159"/>
              <w:spacing w:after="0"/>
              <w:rPr>
                <w:sz w:val="20"/>
                <w:szCs w:val="20"/>
                <w:color w:val="auto"/>
              </w:rPr>
            </w:pPr>
            <w:r>
              <w:rPr>
                <w:rFonts w:ascii="Arial" w:cs="Arial" w:eastAsia="Arial" w:hAnsi="Arial"/>
                <w:sz w:val="16"/>
                <w:szCs w:val="16"/>
                <w:color w:val="auto"/>
              </w:rPr>
              <w:t>40%</w:t>
            </w:r>
          </w:p>
        </w:tc>
        <w:tc>
          <w:tcPr>
            <w:tcW w:w="2160" w:type="dxa"/>
            <w:vAlign w:val="bottom"/>
          </w:tcPr>
          <w:p>
            <w:pPr>
              <w:jc w:val="right"/>
              <w:ind w:right="199"/>
              <w:spacing w:after="0"/>
              <w:rPr>
                <w:sz w:val="20"/>
                <w:szCs w:val="20"/>
                <w:color w:val="auto"/>
              </w:rPr>
            </w:pPr>
            <w:r>
              <w:rPr>
                <w:rFonts w:ascii="Arial" w:cs="Arial" w:eastAsia="Arial" w:hAnsi="Arial"/>
                <w:sz w:val="16"/>
                <w:szCs w:val="16"/>
                <w:color w:val="auto"/>
              </w:rPr>
              <w:t>112.7%</w:t>
            </w:r>
          </w:p>
        </w:tc>
        <w:tc>
          <w:tcPr>
            <w:tcW w:w="1720" w:type="dxa"/>
            <w:vAlign w:val="bottom"/>
          </w:tcPr>
          <w:p>
            <w:pPr>
              <w:jc w:val="right"/>
              <w:spacing w:after="0"/>
              <w:rPr>
                <w:sz w:val="20"/>
                <w:szCs w:val="20"/>
                <w:color w:val="auto"/>
              </w:rPr>
            </w:pPr>
            <w:r>
              <w:rPr>
                <w:rFonts w:ascii="Arial" w:cs="Arial" w:eastAsia="Arial" w:hAnsi="Arial"/>
                <w:sz w:val="16"/>
                <w:szCs w:val="16"/>
                <w:color w:val="auto"/>
              </w:rPr>
              <w:t>45.1%</w:t>
            </w:r>
          </w:p>
        </w:tc>
      </w:tr>
      <w:tr>
        <w:trPr>
          <w:trHeight w:val="29"/>
        </w:trPr>
        <w:tc>
          <w:tcPr>
            <w:tcW w:w="3300" w:type="dxa"/>
            <w:vAlign w:val="bottom"/>
            <w:tcBorders>
              <w:bottom w:val="single" w:sz="8" w:color="808080"/>
            </w:tcBorders>
          </w:tcPr>
          <w:p>
            <w:pPr>
              <w:spacing w:after="0"/>
              <w:rPr>
                <w:sz w:val="2"/>
                <w:szCs w:val="2"/>
                <w:color w:val="auto"/>
              </w:rPr>
            </w:pPr>
          </w:p>
        </w:tc>
        <w:tc>
          <w:tcPr>
            <w:tcW w:w="1240" w:type="dxa"/>
            <w:vAlign w:val="bottom"/>
            <w:tcBorders>
              <w:bottom w:val="single" w:sz="8" w:color="808080"/>
            </w:tcBorders>
          </w:tcPr>
          <w:p>
            <w:pPr>
              <w:spacing w:after="0"/>
              <w:rPr>
                <w:sz w:val="2"/>
                <w:szCs w:val="2"/>
                <w:color w:val="auto"/>
              </w:rPr>
            </w:pPr>
          </w:p>
        </w:tc>
        <w:tc>
          <w:tcPr>
            <w:tcW w:w="2160" w:type="dxa"/>
            <w:vAlign w:val="bottom"/>
            <w:tcBorders>
              <w:bottom w:val="single" w:sz="8" w:color="808080"/>
            </w:tcBorders>
          </w:tcPr>
          <w:p>
            <w:pPr>
              <w:spacing w:after="0"/>
              <w:rPr>
                <w:sz w:val="2"/>
                <w:szCs w:val="2"/>
                <w:color w:val="auto"/>
              </w:rPr>
            </w:pPr>
          </w:p>
        </w:tc>
        <w:tc>
          <w:tcPr>
            <w:tcW w:w="1720" w:type="dxa"/>
            <w:vAlign w:val="bottom"/>
            <w:tcBorders>
              <w:bottom w:val="single" w:sz="8" w:color="808080"/>
            </w:tcBorders>
          </w:tcPr>
          <w:p>
            <w:pPr>
              <w:spacing w:after="0"/>
              <w:rPr>
                <w:sz w:val="2"/>
                <w:szCs w:val="2"/>
                <w:color w:val="auto"/>
              </w:rPr>
            </w:pPr>
          </w:p>
        </w:tc>
      </w:tr>
      <w:tr>
        <w:trPr>
          <w:trHeight w:val="221"/>
        </w:trPr>
        <w:tc>
          <w:tcPr>
            <w:tcW w:w="3300" w:type="dxa"/>
            <w:vAlign w:val="bottom"/>
          </w:tcPr>
          <w:p>
            <w:pPr>
              <w:ind w:left="80"/>
              <w:spacing w:after="0"/>
              <w:rPr>
                <w:sz w:val="20"/>
                <w:szCs w:val="20"/>
                <w:color w:val="auto"/>
              </w:rPr>
            </w:pPr>
            <w:r>
              <w:rPr>
                <w:rFonts w:ascii="Arial" w:cs="Arial" w:eastAsia="Arial" w:hAnsi="Arial"/>
                <w:sz w:val="16"/>
                <w:szCs w:val="16"/>
                <w:color w:val="auto"/>
              </w:rPr>
              <w:t>Adjusted EBITDA $</w:t>
            </w:r>
          </w:p>
        </w:tc>
        <w:tc>
          <w:tcPr>
            <w:tcW w:w="1240" w:type="dxa"/>
            <w:vAlign w:val="bottom"/>
          </w:tcPr>
          <w:p>
            <w:pPr>
              <w:jc w:val="right"/>
              <w:ind w:right="159"/>
              <w:spacing w:after="0"/>
              <w:rPr>
                <w:sz w:val="20"/>
                <w:szCs w:val="20"/>
                <w:color w:val="auto"/>
              </w:rPr>
            </w:pPr>
            <w:r>
              <w:rPr>
                <w:rFonts w:ascii="Arial" w:cs="Arial" w:eastAsia="Arial" w:hAnsi="Arial"/>
                <w:sz w:val="16"/>
                <w:szCs w:val="16"/>
                <w:color w:val="auto"/>
              </w:rPr>
              <w:t>40%</w:t>
            </w:r>
          </w:p>
        </w:tc>
        <w:tc>
          <w:tcPr>
            <w:tcW w:w="2160" w:type="dxa"/>
            <w:vAlign w:val="bottom"/>
          </w:tcPr>
          <w:p>
            <w:pPr>
              <w:jc w:val="right"/>
              <w:ind w:right="199"/>
              <w:spacing w:after="0"/>
              <w:rPr>
                <w:sz w:val="20"/>
                <w:szCs w:val="20"/>
                <w:color w:val="auto"/>
              </w:rPr>
            </w:pPr>
            <w:r>
              <w:rPr>
                <w:rFonts w:ascii="Arial" w:cs="Arial" w:eastAsia="Arial" w:hAnsi="Arial"/>
                <w:sz w:val="16"/>
                <w:szCs w:val="16"/>
                <w:color w:val="auto"/>
              </w:rPr>
              <w:t>111.0%</w:t>
            </w:r>
          </w:p>
        </w:tc>
        <w:tc>
          <w:tcPr>
            <w:tcW w:w="1720" w:type="dxa"/>
            <w:vAlign w:val="bottom"/>
          </w:tcPr>
          <w:p>
            <w:pPr>
              <w:jc w:val="right"/>
              <w:spacing w:after="0"/>
              <w:rPr>
                <w:sz w:val="20"/>
                <w:szCs w:val="20"/>
                <w:color w:val="auto"/>
              </w:rPr>
            </w:pPr>
            <w:r>
              <w:rPr>
                <w:rFonts w:ascii="Arial" w:cs="Arial" w:eastAsia="Arial" w:hAnsi="Arial"/>
                <w:sz w:val="16"/>
                <w:szCs w:val="16"/>
                <w:color w:val="auto"/>
              </w:rPr>
              <w:t>44.4%</w:t>
            </w:r>
          </w:p>
        </w:tc>
      </w:tr>
      <w:tr>
        <w:trPr>
          <w:trHeight w:val="29"/>
        </w:trPr>
        <w:tc>
          <w:tcPr>
            <w:tcW w:w="3300" w:type="dxa"/>
            <w:vAlign w:val="bottom"/>
            <w:tcBorders>
              <w:bottom w:val="single" w:sz="8" w:color="808080"/>
            </w:tcBorders>
          </w:tcPr>
          <w:p>
            <w:pPr>
              <w:spacing w:after="0"/>
              <w:rPr>
                <w:sz w:val="2"/>
                <w:szCs w:val="2"/>
                <w:color w:val="auto"/>
              </w:rPr>
            </w:pPr>
          </w:p>
        </w:tc>
        <w:tc>
          <w:tcPr>
            <w:tcW w:w="1240" w:type="dxa"/>
            <w:vAlign w:val="bottom"/>
            <w:tcBorders>
              <w:bottom w:val="single" w:sz="8" w:color="808080"/>
            </w:tcBorders>
          </w:tcPr>
          <w:p>
            <w:pPr>
              <w:spacing w:after="0"/>
              <w:rPr>
                <w:sz w:val="2"/>
                <w:szCs w:val="2"/>
                <w:color w:val="auto"/>
              </w:rPr>
            </w:pPr>
          </w:p>
        </w:tc>
        <w:tc>
          <w:tcPr>
            <w:tcW w:w="2160" w:type="dxa"/>
            <w:vAlign w:val="bottom"/>
            <w:tcBorders>
              <w:bottom w:val="single" w:sz="8" w:color="808080"/>
            </w:tcBorders>
          </w:tcPr>
          <w:p>
            <w:pPr>
              <w:spacing w:after="0"/>
              <w:rPr>
                <w:sz w:val="2"/>
                <w:szCs w:val="2"/>
                <w:color w:val="auto"/>
              </w:rPr>
            </w:pPr>
          </w:p>
        </w:tc>
        <w:tc>
          <w:tcPr>
            <w:tcW w:w="1720" w:type="dxa"/>
            <w:vAlign w:val="bottom"/>
            <w:tcBorders>
              <w:bottom w:val="single" w:sz="8" w:color="808080"/>
            </w:tcBorders>
          </w:tcPr>
          <w:p>
            <w:pPr>
              <w:spacing w:after="0"/>
              <w:rPr>
                <w:sz w:val="2"/>
                <w:szCs w:val="2"/>
                <w:color w:val="auto"/>
              </w:rPr>
            </w:pPr>
          </w:p>
        </w:tc>
      </w:tr>
      <w:tr>
        <w:trPr>
          <w:trHeight w:val="221"/>
        </w:trPr>
        <w:tc>
          <w:tcPr>
            <w:tcW w:w="3300" w:type="dxa"/>
            <w:vAlign w:val="bottom"/>
          </w:tcPr>
          <w:p>
            <w:pPr>
              <w:ind w:left="80"/>
              <w:spacing w:after="0"/>
              <w:rPr>
                <w:sz w:val="20"/>
                <w:szCs w:val="20"/>
                <w:color w:val="auto"/>
              </w:rPr>
            </w:pPr>
            <w:r>
              <w:rPr>
                <w:rFonts w:ascii="Arial" w:cs="Arial" w:eastAsia="Arial" w:hAnsi="Arial"/>
                <w:sz w:val="16"/>
                <w:szCs w:val="16"/>
                <w:color w:val="auto"/>
              </w:rPr>
              <w:t>Strategic Objectives</w:t>
            </w:r>
          </w:p>
        </w:tc>
        <w:tc>
          <w:tcPr>
            <w:tcW w:w="1240" w:type="dxa"/>
            <w:vAlign w:val="bottom"/>
          </w:tcPr>
          <w:p>
            <w:pPr>
              <w:jc w:val="right"/>
              <w:ind w:right="159"/>
              <w:spacing w:after="0"/>
              <w:rPr>
                <w:sz w:val="20"/>
                <w:szCs w:val="20"/>
                <w:color w:val="auto"/>
              </w:rPr>
            </w:pPr>
            <w:r>
              <w:rPr>
                <w:rFonts w:ascii="Arial" w:cs="Arial" w:eastAsia="Arial" w:hAnsi="Arial"/>
                <w:sz w:val="16"/>
                <w:szCs w:val="16"/>
                <w:color w:val="auto"/>
              </w:rPr>
              <w:t>20%</w:t>
            </w:r>
          </w:p>
        </w:tc>
        <w:tc>
          <w:tcPr>
            <w:tcW w:w="2160" w:type="dxa"/>
            <w:vAlign w:val="bottom"/>
          </w:tcPr>
          <w:p>
            <w:pPr>
              <w:jc w:val="right"/>
              <w:ind w:right="199"/>
              <w:spacing w:after="0"/>
              <w:rPr>
                <w:sz w:val="20"/>
                <w:szCs w:val="20"/>
                <w:color w:val="auto"/>
              </w:rPr>
            </w:pPr>
            <w:r>
              <w:rPr>
                <w:rFonts w:ascii="Arial" w:cs="Arial" w:eastAsia="Arial" w:hAnsi="Arial"/>
                <w:sz w:val="16"/>
                <w:szCs w:val="16"/>
                <w:color w:val="auto"/>
              </w:rPr>
              <w:t>151.7%</w:t>
            </w:r>
          </w:p>
        </w:tc>
        <w:tc>
          <w:tcPr>
            <w:tcW w:w="1720" w:type="dxa"/>
            <w:vAlign w:val="bottom"/>
          </w:tcPr>
          <w:p>
            <w:pPr>
              <w:jc w:val="right"/>
              <w:spacing w:after="0"/>
              <w:rPr>
                <w:sz w:val="20"/>
                <w:szCs w:val="20"/>
                <w:color w:val="auto"/>
              </w:rPr>
            </w:pPr>
            <w:r>
              <w:rPr>
                <w:rFonts w:ascii="Arial" w:cs="Arial" w:eastAsia="Arial" w:hAnsi="Arial"/>
                <w:sz w:val="16"/>
                <w:szCs w:val="16"/>
                <w:color w:val="auto"/>
              </w:rPr>
              <w:t>30.3%</w:t>
            </w:r>
          </w:p>
        </w:tc>
      </w:tr>
      <w:tr>
        <w:trPr>
          <w:trHeight w:val="29"/>
        </w:trPr>
        <w:tc>
          <w:tcPr>
            <w:tcW w:w="3300" w:type="dxa"/>
            <w:vAlign w:val="bottom"/>
            <w:tcBorders>
              <w:bottom w:val="single" w:sz="8" w:color="808080"/>
            </w:tcBorders>
          </w:tcPr>
          <w:p>
            <w:pPr>
              <w:spacing w:after="0"/>
              <w:rPr>
                <w:sz w:val="2"/>
                <w:szCs w:val="2"/>
                <w:color w:val="auto"/>
              </w:rPr>
            </w:pPr>
          </w:p>
        </w:tc>
        <w:tc>
          <w:tcPr>
            <w:tcW w:w="1240" w:type="dxa"/>
            <w:vAlign w:val="bottom"/>
            <w:tcBorders>
              <w:bottom w:val="single" w:sz="8" w:color="808080"/>
            </w:tcBorders>
          </w:tcPr>
          <w:p>
            <w:pPr>
              <w:spacing w:after="0"/>
              <w:rPr>
                <w:sz w:val="2"/>
                <w:szCs w:val="2"/>
                <w:color w:val="auto"/>
              </w:rPr>
            </w:pPr>
          </w:p>
        </w:tc>
        <w:tc>
          <w:tcPr>
            <w:tcW w:w="2160" w:type="dxa"/>
            <w:vAlign w:val="bottom"/>
            <w:tcBorders>
              <w:bottom w:val="single" w:sz="8" w:color="808080"/>
            </w:tcBorders>
          </w:tcPr>
          <w:p>
            <w:pPr>
              <w:spacing w:after="0"/>
              <w:rPr>
                <w:sz w:val="2"/>
                <w:szCs w:val="2"/>
                <w:color w:val="auto"/>
              </w:rPr>
            </w:pPr>
          </w:p>
        </w:tc>
        <w:tc>
          <w:tcPr>
            <w:tcW w:w="1720" w:type="dxa"/>
            <w:vAlign w:val="bottom"/>
            <w:tcBorders>
              <w:bottom w:val="single" w:sz="8" w:color="808080"/>
            </w:tcBorders>
          </w:tcPr>
          <w:p>
            <w:pPr>
              <w:spacing w:after="0"/>
              <w:rPr>
                <w:sz w:val="2"/>
                <w:szCs w:val="2"/>
                <w:color w:val="auto"/>
              </w:rPr>
            </w:pPr>
          </w:p>
        </w:tc>
      </w:tr>
      <w:tr>
        <w:trPr>
          <w:trHeight w:val="223"/>
        </w:trPr>
        <w:tc>
          <w:tcPr>
            <w:tcW w:w="3300" w:type="dxa"/>
            <w:vAlign w:val="bottom"/>
            <w:tcBorders>
              <w:bottom w:val="single" w:sz="8" w:color="342C82"/>
            </w:tcBorders>
          </w:tcPr>
          <w:p>
            <w:pPr>
              <w:spacing w:after="0"/>
              <w:rPr>
                <w:sz w:val="19"/>
                <w:szCs w:val="19"/>
                <w:color w:val="auto"/>
              </w:rPr>
            </w:pPr>
          </w:p>
        </w:tc>
        <w:tc>
          <w:tcPr>
            <w:tcW w:w="1240" w:type="dxa"/>
            <w:vAlign w:val="bottom"/>
            <w:tcBorders>
              <w:bottom w:val="single" w:sz="8" w:color="342C82"/>
            </w:tcBorders>
          </w:tcPr>
          <w:p>
            <w:pPr>
              <w:spacing w:after="0"/>
              <w:rPr>
                <w:sz w:val="19"/>
                <w:szCs w:val="19"/>
                <w:color w:val="auto"/>
              </w:rPr>
            </w:pPr>
          </w:p>
        </w:tc>
        <w:tc>
          <w:tcPr>
            <w:tcW w:w="2160" w:type="dxa"/>
            <w:vAlign w:val="bottom"/>
            <w:tcBorders>
              <w:bottom w:val="single" w:sz="8" w:color="342C82"/>
            </w:tcBorders>
          </w:tcPr>
          <w:p>
            <w:pPr>
              <w:jc w:val="right"/>
              <w:ind w:right="339"/>
              <w:spacing w:after="0"/>
              <w:rPr>
                <w:sz w:val="20"/>
                <w:szCs w:val="20"/>
                <w:color w:val="auto"/>
              </w:rPr>
            </w:pPr>
            <w:r>
              <w:rPr>
                <w:rFonts w:ascii="Arial" w:cs="Arial" w:eastAsia="Arial" w:hAnsi="Arial"/>
                <w:sz w:val="16"/>
                <w:szCs w:val="16"/>
                <w:b w:val="1"/>
                <w:bCs w:val="1"/>
                <w:color w:val="auto"/>
              </w:rPr>
              <w:t>Final Payout Factor</w:t>
            </w:r>
          </w:p>
        </w:tc>
        <w:tc>
          <w:tcPr>
            <w:tcW w:w="1720" w:type="dxa"/>
            <w:vAlign w:val="bottom"/>
            <w:tcBorders>
              <w:bottom w:val="single" w:sz="8" w:color="342C82"/>
            </w:tcBorders>
          </w:tcPr>
          <w:p>
            <w:pPr>
              <w:jc w:val="right"/>
              <w:spacing w:after="0"/>
              <w:rPr>
                <w:sz w:val="20"/>
                <w:szCs w:val="20"/>
                <w:color w:val="auto"/>
              </w:rPr>
            </w:pPr>
            <w:r>
              <w:rPr>
                <w:rFonts w:ascii="Arial" w:cs="Arial" w:eastAsia="Arial" w:hAnsi="Arial"/>
                <w:sz w:val="16"/>
                <w:szCs w:val="16"/>
                <w:b w:val="1"/>
                <w:bCs w:val="1"/>
                <w:color w:val="auto"/>
              </w:rPr>
              <w:t>119.8%</w:t>
            </w:r>
          </w:p>
        </w:tc>
      </w:tr>
    </w:tbl>
    <w:p>
      <w:pPr>
        <w:spacing w:after="0" w:line="202" w:lineRule="exact"/>
        <w:rPr>
          <w:sz w:val="20"/>
          <w:szCs w:val="20"/>
          <w:color w:val="auto"/>
        </w:rPr>
      </w:pPr>
    </w:p>
    <w:p>
      <w:pPr>
        <w:ind w:left="300" w:right="439"/>
        <w:spacing w:after="0" w:line="249" w:lineRule="auto"/>
        <w:rPr>
          <w:sz w:val="20"/>
          <w:szCs w:val="20"/>
          <w:color w:val="auto"/>
        </w:rPr>
      </w:pPr>
      <w:r>
        <w:rPr>
          <w:rFonts w:ascii="Arial" w:cs="Arial" w:eastAsia="Arial" w:hAnsi="Arial"/>
          <w:sz w:val="16"/>
          <w:szCs w:val="16"/>
          <w:color w:val="auto"/>
        </w:rPr>
        <w:t>Generally, target performance objectives for our short-term financial goals are developed through our annual operating planning process, during which management assesses our operating environment and builds projections on anticipated results. These target performance objectives are then reviewed and approved by the Compensation Committee. The Compensation Committee approved the following targets for 2024: Adjusted Constant Currency Revenue $ of $1,105 million and Adjusted EBITDA $ of $337 million. Strategic Objectives performance goals are quantifiable and rigorously set, with final payout subject to the achievement of a minimum Adjusted EBITDA of 20%. The Adjusted Constant Currency Revenue $ and Adjusted EBITDA $ targets, set according to the annual operating process, were below prior year results. These year over year reductions were due in part to foreign</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exchange headwinds, lower sales volumes, and the impact of inflation on raw material, labor, and overhead costs.</w:t>
      </w:r>
    </w:p>
    <w:p>
      <w:pPr>
        <w:spacing w:after="0" w:line="151" w:lineRule="exact"/>
        <w:rPr>
          <w:sz w:val="20"/>
          <w:szCs w:val="20"/>
          <w:color w:val="auto"/>
        </w:rPr>
      </w:pPr>
    </w:p>
    <w:p>
      <w:pPr>
        <w:ind w:left="300" w:right="579"/>
        <w:spacing w:after="0" w:line="286" w:lineRule="auto"/>
        <w:rPr>
          <w:sz w:val="20"/>
          <w:szCs w:val="20"/>
          <w:color w:val="auto"/>
        </w:rPr>
      </w:pPr>
      <w:r>
        <w:rPr>
          <w:rFonts w:ascii="Arial" w:cs="Arial" w:eastAsia="Arial" w:hAnsi="Arial"/>
          <w:sz w:val="16"/>
          <w:szCs w:val="16"/>
          <w:color w:val="auto"/>
        </w:rPr>
        <w:t>For the purposes of measuring performance versus target for the 2024 performance period under the Bonus Plan, actual results were calculated using the same foreign exchange rates used to develop the targets.</w:t>
      </w:r>
    </w:p>
    <w:p>
      <w:pPr>
        <w:spacing w:after="0" w:line="102" w:lineRule="exact"/>
        <w:rPr>
          <w:sz w:val="20"/>
          <w:szCs w:val="20"/>
          <w:color w:val="auto"/>
        </w:rPr>
      </w:pPr>
    </w:p>
    <w:p>
      <w:pPr>
        <w:ind w:left="300" w:right="579"/>
        <w:spacing w:after="0" w:line="286" w:lineRule="auto"/>
        <w:rPr>
          <w:sz w:val="20"/>
          <w:szCs w:val="20"/>
          <w:color w:val="auto"/>
        </w:rPr>
      </w:pPr>
      <w:r>
        <w:rPr>
          <w:rFonts w:ascii="Arial" w:cs="Arial" w:eastAsia="Arial" w:hAnsi="Arial"/>
          <w:sz w:val="16"/>
          <w:szCs w:val="16"/>
          <w:color w:val="auto"/>
        </w:rPr>
        <w:t>The final payout factor is subject to the approval of the Compensation Committee, which also has the discretion to reduce or increase the payout factor derived from the Bonus Plan formula. Actual award</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123825</wp:posOffset>
            </wp:positionV>
            <wp:extent cx="699516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4" w:name="page55"/>
    <w:bookmarkEnd w:id="54"/>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1300"/>
        <w:spacing w:after="0"/>
        <w:rPr>
          <w:sz w:val="20"/>
          <w:szCs w:val="20"/>
          <w:color w:val="auto"/>
        </w:rPr>
      </w:pPr>
      <w:r>
        <w:rPr>
          <w:rFonts w:ascii="Arial" w:cs="Arial" w:eastAsia="Arial" w:hAnsi="Arial"/>
          <w:sz w:val="16"/>
          <w:szCs w:val="16"/>
          <w:color w:val="342C82"/>
        </w:rPr>
        <w:t>Compensation Discussion and Analysis</w:t>
      </w:r>
    </w:p>
    <w:p>
      <w:pPr>
        <w:spacing w:after="0" w:line="113" w:lineRule="exact"/>
        <w:rPr>
          <w:sz w:val="20"/>
          <w:szCs w:val="20"/>
          <w:color w:val="auto"/>
        </w:rPr>
      </w:pPr>
    </w:p>
    <w:p>
      <w:pPr>
        <w:ind w:left="1300" w:right="1320"/>
        <w:spacing w:after="0" w:line="266" w:lineRule="auto"/>
        <w:rPr>
          <w:sz w:val="20"/>
          <w:szCs w:val="20"/>
          <w:color w:val="auto"/>
        </w:rPr>
      </w:pPr>
      <w:r>
        <w:rPr>
          <w:rFonts w:ascii="Arial" w:cs="Arial" w:eastAsia="Arial" w:hAnsi="Arial"/>
          <w:sz w:val="16"/>
          <w:szCs w:val="16"/>
          <w:color w:val="auto"/>
        </w:rPr>
        <w:t>payouts to our NEOs are subject to the Compensation Committee’s final review and determination at its discretion. Due to the Compensation Committee’s role in exercising this discretion, award payouts to our NEOs, as a percentage of their target amounts, may ultimately be more or less than the final payout factor.</w:t>
      </w:r>
    </w:p>
    <w:p>
      <w:pPr>
        <w:spacing w:after="0" w:line="117" w:lineRule="exact"/>
        <w:rPr>
          <w:sz w:val="20"/>
          <w:szCs w:val="20"/>
          <w:color w:val="auto"/>
        </w:rPr>
      </w:pPr>
    </w:p>
    <w:p>
      <w:pPr>
        <w:ind w:left="1300" w:right="1420"/>
        <w:spacing w:after="0" w:line="254" w:lineRule="auto"/>
        <w:rPr>
          <w:sz w:val="20"/>
          <w:szCs w:val="20"/>
          <w:color w:val="auto"/>
        </w:rPr>
      </w:pPr>
      <w:r>
        <w:rPr>
          <w:rFonts w:ascii="Arial" w:cs="Arial" w:eastAsia="Arial" w:hAnsi="Arial"/>
          <w:sz w:val="16"/>
          <w:szCs w:val="16"/>
          <w:color w:val="auto"/>
        </w:rPr>
        <w:t>When comparing the Company’s operating results to the performance targets, the Compensation Committee also retains the discretion to make adjustments to Embecta’s results for unbudgeted items that are not considered part of our ordinary operations and other events that significantly impacted Company performance. This encourages management to make holistic business decisions that are in the best interests of Embecta, rather than influencing possible effects on management compensation. It also ensures that our executives are not unfairly rewarded for or penalized by these types of events.</w:t>
      </w:r>
    </w:p>
    <w:p>
      <w:pPr>
        <w:spacing w:after="0" w:line="258" w:lineRule="exact"/>
        <w:rPr>
          <w:sz w:val="20"/>
          <w:szCs w:val="20"/>
          <w:color w:val="auto"/>
        </w:rPr>
      </w:pPr>
    </w:p>
    <w:p>
      <w:pPr>
        <w:ind w:left="1300"/>
        <w:spacing w:after="0"/>
        <w:rPr>
          <w:sz w:val="20"/>
          <w:szCs w:val="20"/>
          <w:color w:val="auto"/>
        </w:rPr>
      </w:pPr>
      <w:r>
        <w:rPr>
          <w:rFonts w:ascii="Arial" w:cs="Arial" w:eastAsia="Arial" w:hAnsi="Arial"/>
          <w:sz w:val="18"/>
          <w:szCs w:val="18"/>
          <w:color w:val="342C82"/>
        </w:rPr>
        <w:t>Setting individual awards</w:t>
      </w:r>
    </w:p>
    <w:p>
      <w:pPr>
        <w:spacing w:after="0" w:line="162" w:lineRule="exact"/>
        <w:rPr>
          <w:sz w:val="20"/>
          <w:szCs w:val="20"/>
          <w:color w:val="auto"/>
        </w:rPr>
      </w:pPr>
    </w:p>
    <w:p>
      <w:pPr>
        <w:ind w:left="1300" w:right="1340"/>
        <w:spacing w:after="0" w:line="254" w:lineRule="auto"/>
        <w:rPr>
          <w:sz w:val="20"/>
          <w:szCs w:val="20"/>
          <w:color w:val="auto"/>
        </w:rPr>
      </w:pPr>
      <w:r>
        <w:rPr>
          <w:rFonts w:ascii="Arial" w:cs="Arial" w:eastAsia="Arial" w:hAnsi="Arial"/>
          <w:sz w:val="16"/>
          <w:szCs w:val="16"/>
          <w:color w:val="auto"/>
        </w:rPr>
        <w:t>In setting annual performance targets, the Compensation Committee considers Embecta’s business plan, the target bonuses set by companies in its compensation Peer Group and the market in which Embecta competes. The Compensation Committee seeks to reward superior performance by management, accounting for current industry conditions and growth trends. The Compensation Committee sets challenging performance targets in light of the Embecta operating plans that are reviewed by the Board and structures payouts to align with Embecta’s performance against those targets.</w:t>
      </w:r>
    </w:p>
    <w:p>
      <w:pPr>
        <w:spacing w:after="0" w:line="128" w:lineRule="exact"/>
        <w:rPr>
          <w:sz w:val="20"/>
          <w:szCs w:val="20"/>
          <w:color w:val="auto"/>
        </w:rPr>
      </w:pPr>
    </w:p>
    <w:p>
      <w:pPr>
        <w:ind w:left="1300" w:right="1320"/>
        <w:spacing w:after="0" w:line="254" w:lineRule="auto"/>
        <w:rPr>
          <w:sz w:val="20"/>
          <w:szCs w:val="20"/>
          <w:color w:val="auto"/>
        </w:rPr>
      </w:pPr>
      <w:r>
        <w:rPr>
          <w:rFonts w:ascii="Arial" w:cs="Arial" w:eastAsia="Arial" w:hAnsi="Arial"/>
          <w:sz w:val="16"/>
          <w:szCs w:val="16"/>
          <w:color w:val="auto"/>
        </w:rPr>
        <w:t>At the beginning of fiscal year 2024, target annual incentive levels were set by the Compensation Committee, with Korn Ferry’s assistance. Based on its review, the Compensation Committee determined that the annual incentive target for Mr. Kurdikar should be increased from 115% of base salary to 127% of base salary and that the annual incentive target for Mr. Curtis should be increased from 55% of base salary to 60% of base salary. The Compensation Committee determined that the annual incentive targets for our other NEOs were appropriate. 2024 annual incentive targets for the NEOs are set forth below:</w:t>
      </w:r>
    </w:p>
    <w:p>
      <w:pPr>
        <w:spacing w:after="0" w:line="168" w:lineRule="exact"/>
        <w:rPr>
          <w:sz w:val="20"/>
          <w:szCs w:val="20"/>
          <w:color w:val="auto"/>
        </w:rPr>
      </w:pPr>
    </w:p>
    <w:tbl>
      <w:tblPr>
        <w:tblLayout w:type="fixed"/>
        <w:tblInd w:w="1300" w:type="dxa"/>
        <w:tblCellMar>
          <w:top w:w="0" w:type="dxa"/>
          <w:left w:w="0" w:type="dxa"/>
          <w:bottom w:w="0" w:type="dxa"/>
          <w:right w:w="0" w:type="dxa"/>
        </w:tblCellMar>
      </w:tblPr>
      <w:tr>
        <w:trPr>
          <w:trHeight w:val="223"/>
        </w:trPr>
        <w:tc>
          <w:tcPr>
            <w:tcW w:w="4300" w:type="dxa"/>
            <w:vAlign w:val="bottom"/>
          </w:tcPr>
          <w:p>
            <w:pPr>
              <w:ind w:left="80"/>
              <w:spacing w:after="0"/>
              <w:rPr>
                <w:sz w:val="20"/>
                <w:szCs w:val="20"/>
                <w:color w:val="auto"/>
              </w:rPr>
            </w:pPr>
            <w:r>
              <w:rPr>
                <w:rFonts w:ascii="Arial" w:cs="Arial" w:eastAsia="Arial" w:hAnsi="Arial"/>
                <w:sz w:val="16"/>
                <w:szCs w:val="16"/>
                <w:b w:val="1"/>
                <w:bCs w:val="1"/>
                <w:color w:val="auto"/>
              </w:rPr>
              <w:t>Named Executive Officer</w:t>
            </w:r>
          </w:p>
        </w:tc>
        <w:tc>
          <w:tcPr>
            <w:tcW w:w="4120" w:type="dxa"/>
            <w:vAlign w:val="bottom"/>
          </w:tcPr>
          <w:p>
            <w:pPr>
              <w:jc w:val="right"/>
              <w:spacing w:after="0"/>
              <w:rPr>
                <w:sz w:val="20"/>
                <w:szCs w:val="20"/>
                <w:color w:val="auto"/>
              </w:rPr>
            </w:pPr>
            <w:r>
              <w:rPr>
                <w:rFonts w:ascii="Arial" w:cs="Arial" w:eastAsia="Arial" w:hAnsi="Arial"/>
                <w:sz w:val="16"/>
                <w:szCs w:val="16"/>
                <w:b w:val="1"/>
                <w:bCs w:val="1"/>
                <w:color w:val="auto"/>
              </w:rPr>
              <w:t>Target Bonus for FY24</w:t>
            </w:r>
          </w:p>
        </w:tc>
      </w:tr>
      <w:tr>
        <w:trPr>
          <w:trHeight w:val="21"/>
        </w:trPr>
        <w:tc>
          <w:tcPr>
            <w:tcW w:w="4300" w:type="dxa"/>
            <w:vAlign w:val="bottom"/>
            <w:tcBorders>
              <w:bottom w:val="single" w:sz="8" w:color="342C82"/>
            </w:tcBorders>
          </w:tcPr>
          <w:p>
            <w:pPr>
              <w:spacing w:after="0" w:line="20" w:lineRule="exact"/>
              <w:rPr>
                <w:sz w:val="1"/>
                <w:szCs w:val="1"/>
                <w:color w:val="auto"/>
              </w:rPr>
            </w:pPr>
          </w:p>
        </w:tc>
        <w:tc>
          <w:tcPr>
            <w:tcW w:w="4120" w:type="dxa"/>
            <w:vAlign w:val="bottom"/>
            <w:tcBorders>
              <w:bottom w:val="single" w:sz="8" w:color="342C82"/>
            </w:tcBorders>
          </w:tcPr>
          <w:p>
            <w:pPr>
              <w:spacing w:after="0" w:line="20" w:lineRule="exact"/>
              <w:rPr>
                <w:sz w:val="1"/>
                <w:szCs w:val="1"/>
                <w:color w:val="auto"/>
              </w:rPr>
            </w:pPr>
          </w:p>
        </w:tc>
      </w:tr>
      <w:tr>
        <w:trPr>
          <w:trHeight w:val="229"/>
        </w:trPr>
        <w:tc>
          <w:tcPr>
            <w:tcW w:w="4300" w:type="dxa"/>
            <w:vAlign w:val="bottom"/>
          </w:tcPr>
          <w:p>
            <w:pPr>
              <w:ind w:left="80"/>
              <w:spacing w:after="0"/>
              <w:rPr>
                <w:sz w:val="20"/>
                <w:szCs w:val="20"/>
                <w:color w:val="auto"/>
              </w:rPr>
            </w:pPr>
            <w:r>
              <w:rPr>
                <w:rFonts w:ascii="Arial" w:cs="Arial" w:eastAsia="Arial" w:hAnsi="Arial"/>
                <w:sz w:val="16"/>
                <w:szCs w:val="16"/>
                <w:b w:val="1"/>
                <w:bCs w:val="1"/>
                <w:color w:val="342C82"/>
              </w:rPr>
              <w:t>Dev Kurdikar</w:t>
            </w:r>
          </w:p>
        </w:tc>
        <w:tc>
          <w:tcPr>
            <w:tcW w:w="4120" w:type="dxa"/>
            <w:vAlign w:val="bottom"/>
          </w:tcPr>
          <w:p>
            <w:pPr>
              <w:jc w:val="right"/>
              <w:spacing w:after="0"/>
              <w:rPr>
                <w:sz w:val="20"/>
                <w:szCs w:val="20"/>
                <w:color w:val="auto"/>
              </w:rPr>
            </w:pPr>
            <w:r>
              <w:rPr>
                <w:rFonts w:ascii="Arial" w:cs="Arial" w:eastAsia="Arial" w:hAnsi="Arial"/>
                <w:sz w:val="16"/>
                <w:szCs w:val="16"/>
                <w:color w:val="auto"/>
              </w:rPr>
              <w:t>127%</w:t>
            </w:r>
          </w:p>
        </w:tc>
      </w:tr>
      <w:tr>
        <w:trPr>
          <w:trHeight w:val="21"/>
        </w:trPr>
        <w:tc>
          <w:tcPr>
            <w:tcW w:w="4300" w:type="dxa"/>
            <w:vAlign w:val="bottom"/>
            <w:tcBorders>
              <w:bottom w:val="single" w:sz="8" w:color="808080"/>
            </w:tcBorders>
          </w:tcPr>
          <w:p>
            <w:pPr>
              <w:spacing w:after="0" w:line="20" w:lineRule="exact"/>
              <w:rPr>
                <w:sz w:val="1"/>
                <w:szCs w:val="1"/>
                <w:color w:val="auto"/>
              </w:rPr>
            </w:pPr>
          </w:p>
        </w:tc>
        <w:tc>
          <w:tcPr>
            <w:tcW w:w="4120" w:type="dxa"/>
            <w:vAlign w:val="bottom"/>
            <w:tcBorders>
              <w:bottom w:val="single" w:sz="8" w:color="808080"/>
            </w:tcBorders>
          </w:tcPr>
          <w:p>
            <w:pPr>
              <w:spacing w:after="0" w:line="20" w:lineRule="exact"/>
              <w:rPr>
                <w:sz w:val="1"/>
                <w:szCs w:val="1"/>
                <w:color w:val="auto"/>
              </w:rPr>
            </w:pPr>
          </w:p>
        </w:tc>
      </w:tr>
      <w:tr>
        <w:trPr>
          <w:trHeight w:val="229"/>
        </w:trPr>
        <w:tc>
          <w:tcPr>
            <w:tcW w:w="4300" w:type="dxa"/>
            <w:vAlign w:val="bottom"/>
          </w:tcPr>
          <w:p>
            <w:pPr>
              <w:ind w:left="80"/>
              <w:spacing w:after="0"/>
              <w:rPr>
                <w:sz w:val="20"/>
                <w:szCs w:val="20"/>
                <w:color w:val="auto"/>
              </w:rPr>
            </w:pPr>
            <w:r>
              <w:rPr>
                <w:rFonts w:ascii="Arial" w:cs="Arial" w:eastAsia="Arial" w:hAnsi="Arial"/>
                <w:sz w:val="16"/>
                <w:szCs w:val="16"/>
                <w:b w:val="1"/>
                <w:bCs w:val="1"/>
                <w:color w:val="342C82"/>
              </w:rPr>
              <w:t>Jake Elguicze</w:t>
            </w:r>
          </w:p>
        </w:tc>
        <w:tc>
          <w:tcPr>
            <w:tcW w:w="412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21"/>
        </w:trPr>
        <w:tc>
          <w:tcPr>
            <w:tcW w:w="4300" w:type="dxa"/>
            <w:vAlign w:val="bottom"/>
            <w:tcBorders>
              <w:bottom w:val="single" w:sz="8" w:color="808080"/>
            </w:tcBorders>
          </w:tcPr>
          <w:p>
            <w:pPr>
              <w:spacing w:after="0" w:line="20" w:lineRule="exact"/>
              <w:rPr>
                <w:sz w:val="1"/>
                <w:szCs w:val="1"/>
                <w:color w:val="auto"/>
              </w:rPr>
            </w:pPr>
          </w:p>
        </w:tc>
        <w:tc>
          <w:tcPr>
            <w:tcW w:w="4120" w:type="dxa"/>
            <w:vAlign w:val="bottom"/>
            <w:tcBorders>
              <w:bottom w:val="single" w:sz="8" w:color="808080"/>
            </w:tcBorders>
          </w:tcPr>
          <w:p>
            <w:pPr>
              <w:spacing w:after="0" w:line="20" w:lineRule="exact"/>
              <w:rPr>
                <w:sz w:val="1"/>
                <w:szCs w:val="1"/>
                <w:color w:val="auto"/>
              </w:rPr>
            </w:pPr>
          </w:p>
        </w:tc>
      </w:tr>
      <w:tr>
        <w:trPr>
          <w:trHeight w:val="229"/>
        </w:trPr>
        <w:tc>
          <w:tcPr>
            <w:tcW w:w="4300" w:type="dxa"/>
            <w:vAlign w:val="bottom"/>
          </w:tcPr>
          <w:p>
            <w:pPr>
              <w:ind w:left="80"/>
              <w:spacing w:after="0"/>
              <w:rPr>
                <w:sz w:val="20"/>
                <w:szCs w:val="20"/>
                <w:color w:val="auto"/>
              </w:rPr>
            </w:pPr>
            <w:r>
              <w:rPr>
                <w:rFonts w:ascii="Arial" w:cs="Arial" w:eastAsia="Arial" w:hAnsi="Arial"/>
                <w:sz w:val="16"/>
                <w:szCs w:val="16"/>
                <w:b w:val="1"/>
                <w:bCs w:val="1"/>
                <w:color w:val="342C82"/>
              </w:rPr>
              <w:t>Shaun Curtis</w:t>
            </w:r>
          </w:p>
        </w:tc>
        <w:tc>
          <w:tcPr>
            <w:tcW w:w="412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1"/>
        </w:trPr>
        <w:tc>
          <w:tcPr>
            <w:tcW w:w="4300" w:type="dxa"/>
            <w:vAlign w:val="bottom"/>
            <w:tcBorders>
              <w:bottom w:val="single" w:sz="8" w:color="808080"/>
            </w:tcBorders>
          </w:tcPr>
          <w:p>
            <w:pPr>
              <w:spacing w:after="0" w:line="20" w:lineRule="exact"/>
              <w:rPr>
                <w:sz w:val="1"/>
                <w:szCs w:val="1"/>
                <w:color w:val="auto"/>
              </w:rPr>
            </w:pPr>
          </w:p>
        </w:tc>
        <w:tc>
          <w:tcPr>
            <w:tcW w:w="4120" w:type="dxa"/>
            <w:vAlign w:val="bottom"/>
            <w:tcBorders>
              <w:bottom w:val="single" w:sz="8" w:color="808080"/>
            </w:tcBorders>
          </w:tcPr>
          <w:p>
            <w:pPr>
              <w:spacing w:after="0" w:line="20" w:lineRule="exact"/>
              <w:rPr>
                <w:sz w:val="1"/>
                <w:szCs w:val="1"/>
                <w:color w:val="auto"/>
              </w:rPr>
            </w:pPr>
          </w:p>
        </w:tc>
      </w:tr>
      <w:tr>
        <w:trPr>
          <w:trHeight w:val="229"/>
        </w:trPr>
        <w:tc>
          <w:tcPr>
            <w:tcW w:w="4300" w:type="dxa"/>
            <w:vAlign w:val="bottom"/>
          </w:tcPr>
          <w:p>
            <w:pPr>
              <w:ind w:left="80"/>
              <w:spacing w:after="0"/>
              <w:rPr>
                <w:sz w:val="20"/>
                <w:szCs w:val="20"/>
                <w:color w:val="auto"/>
              </w:rPr>
            </w:pPr>
            <w:r>
              <w:rPr>
                <w:rFonts w:ascii="Arial" w:cs="Arial" w:eastAsia="Arial" w:hAnsi="Arial"/>
                <w:sz w:val="16"/>
                <w:szCs w:val="16"/>
                <w:b w:val="1"/>
                <w:bCs w:val="1"/>
                <w:color w:val="342C82"/>
              </w:rPr>
              <w:t>Jeff Mann</w:t>
            </w:r>
          </w:p>
        </w:tc>
        <w:tc>
          <w:tcPr>
            <w:tcW w:w="412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1"/>
        </w:trPr>
        <w:tc>
          <w:tcPr>
            <w:tcW w:w="4300" w:type="dxa"/>
            <w:vAlign w:val="bottom"/>
            <w:tcBorders>
              <w:bottom w:val="single" w:sz="8" w:color="808080"/>
            </w:tcBorders>
          </w:tcPr>
          <w:p>
            <w:pPr>
              <w:spacing w:after="0" w:line="20" w:lineRule="exact"/>
              <w:rPr>
                <w:sz w:val="1"/>
                <w:szCs w:val="1"/>
                <w:color w:val="auto"/>
              </w:rPr>
            </w:pPr>
          </w:p>
        </w:tc>
        <w:tc>
          <w:tcPr>
            <w:tcW w:w="4120" w:type="dxa"/>
            <w:vAlign w:val="bottom"/>
            <w:tcBorders>
              <w:bottom w:val="single" w:sz="8" w:color="808080"/>
            </w:tcBorders>
          </w:tcPr>
          <w:p>
            <w:pPr>
              <w:spacing w:after="0" w:line="20" w:lineRule="exact"/>
              <w:rPr>
                <w:sz w:val="1"/>
                <w:szCs w:val="1"/>
                <w:color w:val="auto"/>
              </w:rPr>
            </w:pPr>
          </w:p>
        </w:tc>
      </w:tr>
      <w:tr>
        <w:trPr>
          <w:trHeight w:val="223"/>
        </w:trPr>
        <w:tc>
          <w:tcPr>
            <w:tcW w:w="4300" w:type="dxa"/>
            <w:vAlign w:val="bottom"/>
            <w:tcBorders>
              <w:bottom w:val="single" w:sz="8" w:color="342C82"/>
            </w:tcBorders>
          </w:tcPr>
          <w:p>
            <w:pPr>
              <w:ind w:left="80"/>
              <w:spacing w:after="0"/>
              <w:rPr>
                <w:sz w:val="20"/>
                <w:szCs w:val="20"/>
                <w:color w:val="auto"/>
              </w:rPr>
            </w:pPr>
            <w:r>
              <w:rPr>
                <w:rFonts w:ascii="Arial" w:cs="Arial" w:eastAsia="Arial" w:hAnsi="Arial"/>
                <w:sz w:val="16"/>
                <w:szCs w:val="16"/>
                <w:b w:val="1"/>
                <w:bCs w:val="1"/>
                <w:color w:val="342C82"/>
              </w:rPr>
              <w:t>Jean Casner</w:t>
            </w:r>
          </w:p>
        </w:tc>
        <w:tc>
          <w:tcPr>
            <w:tcW w:w="4120" w:type="dxa"/>
            <w:vAlign w:val="bottom"/>
            <w:tcBorders>
              <w:bottom w:val="single" w:sz="8" w:color="342C82"/>
            </w:tcBorders>
          </w:tcPr>
          <w:p>
            <w:pPr>
              <w:jc w:val="right"/>
              <w:spacing w:after="0"/>
              <w:rPr>
                <w:sz w:val="20"/>
                <w:szCs w:val="20"/>
                <w:color w:val="auto"/>
              </w:rPr>
            </w:pPr>
            <w:r>
              <w:rPr>
                <w:rFonts w:ascii="Arial" w:cs="Arial" w:eastAsia="Arial" w:hAnsi="Arial"/>
                <w:sz w:val="16"/>
                <w:szCs w:val="16"/>
                <w:color w:val="auto"/>
              </w:rPr>
              <w:t>60%</w:t>
            </w:r>
          </w:p>
        </w:tc>
      </w:tr>
    </w:tbl>
    <w:p>
      <w:pPr>
        <w:spacing w:after="0" w:line="278" w:lineRule="exact"/>
        <w:rPr>
          <w:sz w:val="20"/>
          <w:szCs w:val="20"/>
          <w:color w:val="auto"/>
        </w:rPr>
      </w:pPr>
    </w:p>
    <w:p>
      <w:pPr>
        <w:ind w:left="1300"/>
        <w:spacing w:after="0"/>
        <w:rPr>
          <w:sz w:val="20"/>
          <w:szCs w:val="20"/>
          <w:color w:val="auto"/>
        </w:rPr>
      </w:pPr>
      <w:r>
        <w:rPr>
          <w:rFonts w:ascii="Arial" w:cs="Arial" w:eastAsia="Arial" w:hAnsi="Arial"/>
          <w:sz w:val="29"/>
          <w:szCs w:val="29"/>
          <w:color w:val="342C82"/>
        </w:rPr>
        <w:t>2024 bonus determinations</w:t>
      </w:r>
    </w:p>
    <w:p>
      <w:pPr>
        <w:spacing w:after="0" w:line="130" w:lineRule="exact"/>
        <w:rPr>
          <w:sz w:val="20"/>
          <w:szCs w:val="20"/>
          <w:color w:val="auto"/>
        </w:rPr>
      </w:pPr>
    </w:p>
    <w:p>
      <w:pPr>
        <w:ind w:left="1300" w:right="1300"/>
        <w:spacing w:after="0" w:line="254" w:lineRule="auto"/>
        <w:rPr>
          <w:sz w:val="20"/>
          <w:szCs w:val="20"/>
          <w:color w:val="auto"/>
        </w:rPr>
      </w:pPr>
      <w:r>
        <w:rPr>
          <w:rFonts w:ascii="Arial" w:cs="Arial" w:eastAsia="Arial" w:hAnsi="Arial"/>
          <w:sz w:val="16"/>
          <w:szCs w:val="16"/>
          <w:color w:val="auto"/>
        </w:rPr>
        <w:t>At the end of 2024, the Compensation Committee measured performance for our employees, including the NEOs. Embecta’s strong performance for the year resulted in funding for the Bonus Plan at 119.8% of target, based on the following actual results: Adjusted Constant Currency Revenue $ of $1,119.6 million, Adjusted EBITDA $ of $346.2 million, and Strategic Objective targets were exceeded based on the outcomes described below. Please refer to Appendix A to this proxy statement for a reconciliation of Adjusted Constant Currency Revenue and Adjusted EBITDA to the most directly comparable GAAP measures.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300" w:type="dxa"/>
            <w:vAlign w:val="bottom"/>
          </w:tcPr>
          <w:p>
            <w:pPr>
              <w:spacing w:after="0"/>
              <w:rPr>
                <w:sz w:val="19"/>
                <w:szCs w:val="19"/>
                <w:color w:val="auto"/>
              </w:rPr>
            </w:pPr>
          </w:p>
        </w:tc>
        <w:tc>
          <w:tcPr>
            <w:tcW w:w="2320" w:type="dxa"/>
            <w:vAlign w:val="bottom"/>
          </w:tcPr>
          <w:p>
            <w:pPr>
              <w:ind w:left="160"/>
              <w:spacing w:after="0"/>
              <w:rPr>
                <w:sz w:val="20"/>
                <w:szCs w:val="20"/>
                <w:color w:val="auto"/>
              </w:rPr>
            </w:pPr>
            <w:r>
              <w:rPr>
                <w:rFonts w:ascii="Arial" w:cs="Arial" w:eastAsia="Arial" w:hAnsi="Arial"/>
                <w:sz w:val="16"/>
                <w:szCs w:val="16"/>
                <w:b w:val="1"/>
                <w:bCs w:val="1"/>
                <w:color w:val="auto"/>
              </w:rPr>
              <w:t>2024 Strategic Objective</w:t>
            </w:r>
          </w:p>
        </w:tc>
        <w:tc>
          <w:tcPr>
            <w:tcW w:w="61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Strategic Objective Outcomes</w:t>
            </w:r>
          </w:p>
        </w:tc>
        <w:tc>
          <w:tcPr>
            <w:tcW w:w="1300" w:type="dxa"/>
            <w:vAlign w:val="bottom"/>
          </w:tcPr>
          <w:p>
            <w:pPr>
              <w:spacing w:after="0"/>
              <w:rPr>
                <w:sz w:val="19"/>
                <w:szCs w:val="19"/>
                <w:color w:val="auto"/>
              </w:rPr>
            </w:pPr>
          </w:p>
        </w:tc>
      </w:tr>
      <w:tr>
        <w:trPr>
          <w:trHeight w:val="48"/>
        </w:trPr>
        <w:tc>
          <w:tcPr>
            <w:tcW w:w="1300" w:type="dxa"/>
            <w:vAlign w:val="bottom"/>
          </w:tcPr>
          <w:p>
            <w:pPr>
              <w:spacing w:after="0"/>
              <w:rPr>
                <w:sz w:val="4"/>
                <w:szCs w:val="4"/>
                <w:color w:val="auto"/>
              </w:rPr>
            </w:pPr>
          </w:p>
        </w:tc>
        <w:tc>
          <w:tcPr>
            <w:tcW w:w="2320" w:type="dxa"/>
            <w:vAlign w:val="bottom"/>
            <w:tcBorders>
              <w:bottom w:val="single" w:sz="8" w:color="342C82"/>
            </w:tcBorders>
          </w:tcPr>
          <w:p>
            <w:pPr>
              <w:spacing w:after="0"/>
              <w:rPr>
                <w:sz w:val="4"/>
                <w:szCs w:val="4"/>
                <w:color w:val="auto"/>
              </w:rPr>
            </w:pPr>
          </w:p>
        </w:tc>
        <w:tc>
          <w:tcPr>
            <w:tcW w:w="5980" w:type="dxa"/>
            <w:vAlign w:val="bottom"/>
            <w:tcBorders>
              <w:bottom w:val="single" w:sz="8" w:color="342C82"/>
            </w:tcBorders>
          </w:tcPr>
          <w:p>
            <w:pPr>
              <w:spacing w:after="0"/>
              <w:rPr>
                <w:sz w:val="4"/>
                <w:szCs w:val="4"/>
                <w:color w:val="auto"/>
              </w:rPr>
            </w:pPr>
          </w:p>
        </w:tc>
        <w:tc>
          <w:tcPr>
            <w:tcW w:w="1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36"/>
        </w:trPr>
        <w:tc>
          <w:tcPr>
            <w:tcW w:w="1300" w:type="dxa"/>
            <w:vAlign w:val="bottom"/>
          </w:tcPr>
          <w:p>
            <w:pPr>
              <w:spacing w:after="0"/>
              <w:rPr>
                <w:sz w:val="20"/>
                <w:szCs w:val="20"/>
                <w:color w:val="auto"/>
              </w:rPr>
            </w:pPr>
          </w:p>
        </w:tc>
        <w:tc>
          <w:tcPr>
            <w:tcW w:w="2320" w:type="dxa"/>
            <w:vAlign w:val="bottom"/>
          </w:tcPr>
          <w:p>
            <w:pPr>
              <w:ind w:left="160"/>
              <w:spacing w:after="0"/>
              <w:rPr>
                <w:sz w:val="20"/>
                <w:szCs w:val="20"/>
                <w:color w:val="auto"/>
              </w:rPr>
            </w:pPr>
            <w:r>
              <w:rPr>
                <w:rFonts w:ascii="Arial" w:cs="Arial" w:eastAsia="Arial" w:hAnsi="Arial"/>
                <w:sz w:val="16"/>
                <w:szCs w:val="16"/>
                <w:b w:val="1"/>
                <w:bCs w:val="1"/>
                <w:color w:val="342C82"/>
              </w:rPr>
              <w:t>ERP Implementation</w:t>
            </w:r>
          </w:p>
        </w:tc>
        <w:tc>
          <w:tcPr>
            <w:tcW w:w="6100" w:type="dxa"/>
            <w:vAlign w:val="bottom"/>
            <w:gridSpan w:val="2"/>
          </w:tcPr>
          <w:p>
            <w:pPr>
              <w:jc w:val="right"/>
              <w:ind w:right="220"/>
              <w:spacing w:after="0"/>
              <w:rPr>
                <w:sz w:val="20"/>
                <w:szCs w:val="20"/>
                <w:color w:val="auto"/>
              </w:rPr>
            </w:pPr>
            <w:r>
              <w:rPr>
                <w:rFonts w:ascii="Arial" w:cs="Arial" w:eastAsia="Arial" w:hAnsi="Arial"/>
                <w:sz w:val="16"/>
                <w:szCs w:val="16"/>
                <w:color w:val="auto"/>
              </w:rPr>
              <w:t>Target metrics were met for implementation of SAP across major sites: US,</w:t>
            </w:r>
          </w:p>
        </w:tc>
        <w:tc>
          <w:tcPr>
            <w:tcW w:w="1300" w:type="dxa"/>
            <w:vAlign w:val="bottom"/>
          </w:tcPr>
          <w:p>
            <w:pPr>
              <w:spacing w:after="0"/>
              <w:rPr>
                <w:sz w:val="20"/>
                <w:szCs w:val="20"/>
                <w:color w:val="auto"/>
              </w:rPr>
            </w:pPr>
          </w:p>
        </w:tc>
      </w:tr>
      <w:tr>
        <w:trPr>
          <w:trHeight w:val="189"/>
        </w:trPr>
        <w:tc>
          <w:tcPr>
            <w:tcW w:w="13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6100" w:type="dxa"/>
            <w:vAlign w:val="bottom"/>
            <w:gridSpan w:val="2"/>
          </w:tcPr>
          <w:p>
            <w:pPr>
              <w:jc w:val="right"/>
              <w:ind w:right="220"/>
              <w:spacing w:after="0"/>
              <w:rPr>
                <w:sz w:val="20"/>
                <w:szCs w:val="20"/>
                <w:color w:val="auto"/>
              </w:rPr>
            </w:pPr>
            <w:r>
              <w:rPr>
                <w:rFonts w:ascii="Arial" w:cs="Arial" w:eastAsia="Arial" w:hAnsi="Arial"/>
                <w:sz w:val="16"/>
                <w:szCs w:val="16"/>
                <w:color w:val="auto"/>
              </w:rPr>
              <w:t>Canada, and EMEA &amp; Asia Regions. Some Above Target metrics were met</w:t>
            </w:r>
          </w:p>
        </w:tc>
        <w:tc>
          <w:tcPr>
            <w:tcW w:w="1300" w:type="dxa"/>
            <w:vAlign w:val="bottom"/>
          </w:tcPr>
          <w:p>
            <w:pPr>
              <w:spacing w:after="0"/>
              <w:rPr>
                <w:sz w:val="16"/>
                <w:szCs w:val="16"/>
                <w:color w:val="auto"/>
              </w:rPr>
            </w:pPr>
          </w:p>
        </w:tc>
      </w:tr>
      <w:tr>
        <w:trPr>
          <w:trHeight w:val="189"/>
        </w:trPr>
        <w:tc>
          <w:tcPr>
            <w:tcW w:w="13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6100" w:type="dxa"/>
            <w:vAlign w:val="bottom"/>
            <w:gridSpan w:val="2"/>
          </w:tcPr>
          <w:p>
            <w:pPr>
              <w:jc w:val="right"/>
              <w:ind w:right="220"/>
              <w:spacing w:after="0"/>
              <w:rPr>
                <w:sz w:val="20"/>
                <w:szCs w:val="20"/>
                <w:color w:val="auto"/>
              </w:rPr>
            </w:pPr>
            <w:r>
              <w:rPr>
                <w:rFonts w:ascii="Arial" w:cs="Arial" w:eastAsia="Arial" w:hAnsi="Arial"/>
                <w:sz w:val="16"/>
                <w:szCs w:val="16"/>
                <w:color w:val="auto"/>
              </w:rPr>
              <w:t>including the identification and solutioning of operational issues within a target</w:t>
            </w:r>
          </w:p>
        </w:tc>
        <w:tc>
          <w:tcPr>
            <w:tcW w:w="1300" w:type="dxa"/>
            <w:vAlign w:val="bottom"/>
          </w:tcPr>
          <w:p>
            <w:pPr>
              <w:spacing w:after="0"/>
              <w:rPr>
                <w:sz w:val="16"/>
                <w:szCs w:val="16"/>
                <w:color w:val="auto"/>
              </w:rPr>
            </w:pPr>
          </w:p>
        </w:tc>
      </w:tr>
      <w:tr>
        <w:trPr>
          <w:trHeight w:val="215"/>
        </w:trPr>
        <w:tc>
          <w:tcPr>
            <w:tcW w:w="13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6100" w:type="dxa"/>
            <w:vAlign w:val="bottom"/>
            <w:gridSpan w:val="2"/>
          </w:tcPr>
          <w:p>
            <w:pPr>
              <w:jc w:val="right"/>
              <w:ind w:right="220"/>
              <w:spacing w:after="0"/>
              <w:rPr>
                <w:sz w:val="20"/>
                <w:szCs w:val="20"/>
                <w:color w:val="auto"/>
              </w:rPr>
            </w:pPr>
            <w:r>
              <w:rPr>
                <w:rFonts w:ascii="Arial" w:cs="Arial" w:eastAsia="Arial" w:hAnsi="Arial"/>
                <w:sz w:val="16"/>
                <w:szCs w:val="16"/>
                <w:color w:val="auto"/>
              </w:rPr>
              <w:t>time period.</w:t>
            </w:r>
          </w:p>
        </w:tc>
        <w:tc>
          <w:tcPr>
            <w:tcW w:w="1300" w:type="dxa"/>
            <w:vAlign w:val="bottom"/>
          </w:tcPr>
          <w:p>
            <w:pPr>
              <w:spacing w:after="0"/>
              <w:rPr>
                <w:sz w:val="18"/>
                <w:szCs w:val="18"/>
                <w:color w:val="auto"/>
              </w:rPr>
            </w:pPr>
          </w:p>
        </w:tc>
      </w:tr>
      <w:tr>
        <w:trPr>
          <w:trHeight w:val="56"/>
        </w:trPr>
        <w:tc>
          <w:tcPr>
            <w:tcW w:w="1300" w:type="dxa"/>
            <w:vAlign w:val="bottom"/>
          </w:tcPr>
          <w:p>
            <w:pPr>
              <w:spacing w:after="0"/>
              <w:rPr>
                <w:sz w:val="4"/>
                <w:szCs w:val="4"/>
                <w:color w:val="auto"/>
              </w:rPr>
            </w:pPr>
          </w:p>
        </w:tc>
        <w:tc>
          <w:tcPr>
            <w:tcW w:w="2320" w:type="dxa"/>
            <w:vAlign w:val="bottom"/>
            <w:tcBorders>
              <w:bottom w:val="single" w:sz="8" w:color="808080"/>
            </w:tcBorders>
          </w:tcPr>
          <w:p>
            <w:pPr>
              <w:spacing w:after="0"/>
              <w:rPr>
                <w:sz w:val="4"/>
                <w:szCs w:val="4"/>
                <w:color w:val="auto"/>
              </w:rPr>
            </w:pPr>
          </w:p>
        </w:tc>
        <w:tc>
          <w:tcPr>
            <w:tcW w:w="5980" w:type="dxa"/>
            <w:vAlign w:val="bottom"/>
            <w:tcBorders>
              <w:bottom w:val="single" w:sz="8" w:color="808080"/>
            </w:tcBorders>
          </w:tcPr>
          <w:p>
            <w:pPr>
              <w:spacing w:after="0"/>
              <w:rPr>
                <w:sz w:val="4"/>
                <w:szCs w:val="4"/>
                <w:color w:val="auto"/>
              </w:rPr>
            </w:pPr>
          </w:p>
        </w:tc>
        <w:tc>
          <w:tcPr>
            <w:tcW w:w="1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22"/>
        </w:trPr>
        <w:tc>
          <w:tcPr>
            <w:tcW w:w="1300" w:type="dxa"/>
            <w:vAlign w:val="bottom"/>
          </w:tcPr>
          <w:p>
            <w:pPr>
              <w:spacing w:after="0"/>
              <w:rPr>
                <w:sz w:val="19"/>
                <w:szCs w:val="19"/>
                <w:color w:val="auto"/>
              </w:rPr>
            </w:pPr>
          </w:p>
        </w:tc>
        <w:tc>
          <w:tcPr>
            <w:tcW w:w="2320" w:type="dxa"/>
            <w:vAlign w:val="bottom"/>
          </w:tcPr>
          <w:p>
            <w:pPr>
              <w:ind w:left="160"/>
              <w:spacing w:after="0"/>
              <w:rPr>
                <w:sz w:val="20"/>
                <w:szCs w:val="20"/>
                <w:color w:val="auto"/>
              </w:rPr>
            </w:pPr>
            <w:r>
              <w:rPr>
                <w:rFonts w:ascii="Arial" w:cs="Arial" w:eastAsia="Arial" w:hAnsi="Arial"/>
                <w:sz w:val="16"/>
                <w:szCs w:val="16"/>
                <w:b w:val="1"/>
                <w:bCs w:val="1"/>
                <w:color w:val="342C82"/>
              </w:rPr>
              <w:t>Insulin Delivery Pump</w:t>
            </w:r>
          </w:p>
        </w:tc>
        <w:tc>
          <w:tcPr>
            <w:tcW w:w="6100" w:type="dxa"/>
            <w:vAlign w:val="bottom"/>
            <w:gridSpan w:val="2"/>
          </w:tcPr>
          <w:p>
            <w:pPr>
              <w:jc w:val="right"/>
              <w:ind w:right="220"/>
              <w:spacing w:after="0"/>
              <w:rPr>
                <w:sz w:val="20"/>
                <w:szCs w:val="20"/>
                <w:color w:val="auto"/>
              </w:rPr>
            </w:pPr>
            <w:r>
              <w:rPr>
                <w:rFonts w:ascii="Arial" w:cs="Arial" w:eastAsia="Arial" w:hAnsi="Arial"/>
                <w:sz w:val="16"/>
                <w:szCs w:val="16"/>
                <w:color w:val="auto"/>
              </w:rPr>
              <w:t>Target metrics were met for FDA submission and other steps related to the</w:t>
            </w:r>
          </w:p>
        </w:tc>
        <w:tc>
          <w:tcPr>
            <w:tcW w:w="1300" w:type="dxa"/>
            <w:vAlign w:val="bottom"/>
          </w:tcPr>
          <w:p>
            <w:pPr>
              <w:spacing w:after="0"/>
              <w:rPr>
                <w:sz w:val="19"/>
                <w:szCs w:val="19"/>
                <w:color w:val="auto"/>
              </w:rPr>
            </w:pPr>
          </w:p>
        </w:tc>
      </w:tr>
      <w:tr>
        <w:trPr>
          <w:trHeight w:val="189"/>
        </w:trPr>
        <w:tc>
          <w:tcPr>
            <w:tcW w:w="13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6100" w:type="dxa"/>
            <w:vAlign w:val="bottom"/>
            <w:gridSpan w:val="2"/>
          </w:tcPr>
          <w:p>
            <w:pPr>
              <w:jc w:val="right"/>
              <w:ind w:right="220"/>
              <w:spacing w:after="0"/>
              <w:rPr>
                <w:sz w:val="20"/>
                <w:szCs w:val="20"/>
                <w:color w:val="auto"/>
              </w:rPr>
            </w:pPr>
            <w:r>
              <w:rPr>
                <w:rFonts w:ascii="Arial" w:cs="Arial" w:eastAsia="Arial" w:hAnsi="Arial"/>
                <w:sz w:val="16"/>
                <w:szCs w:val="16"/>
                <w:color w:val="auto"/>
              </w:rPr>
              <w:t>development of the Insulin Delivery Pump. Some Above Target metrics were</w:t>
            </w:r>
          </w:p>
        </w:tc>
        <w:tc>
          <w:tcPr>
            <w:tcW w:w="1300" w:type="dxa"/>
            <w:vAlign w:val="bottom"/>
          </w:tcPr>
          <w:p>
            <w:pPr>
              <w:spacing w:after="0"/>
              <w:rPr>
                <w:sz w:val="16"/>
                <w:szCs w:val="16"/>
                <w:color w:val="auto"/>
              </w:rPr>
            </w:pPr>
          </w:p>
        </w:tc>
      </w:tr>
      <w:tr>
        <w:trPr>
          <w:trHeight w:val="215"/>
        </w:trPr>
        <w:tc>
          <w:tcPr>
            <w:tcW w:w="13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6100" w:type="dxa"/>
            <w:vAlign w:val="bottom"/>
            <w:gridSpan w:val="2"/>
          </w:tcPr>
          <w:p>
            <w:pPr>
              <w:jc w:val="right"/>
              <w:ind w:right="220"/>
              <w:spacing w:after="0"/>
              <w:rPr>
                <w:sz w:val="20"/>
                <w:szCs w:val="20"/>
                <w:color w:val="auto"/>
              </w:rPr>
            </w:pPr>
            <w:r>
              <w:rPr>
                <w:rFonts w:ascii="Arial" w:cs="Arial" w:eastAsia="Arial" w:hAnsi="Arial"/>
                <w:sz w:val="16"/>
                <w:szCs w:val="16"/>
                <w:color w:val="auto"/>
              </w:rPr>
              <w:t>met including the 510k clearance obtained for Zodiac.</w:t>
            </w:r>
          </w:p>
        </w:tc>
        <w:tc>
          <w:tcPr>
            <w:tcW w:w="1300" w:type="dxa"/>
            <w:vAlign w:val="bottom"/>
          </w:tcPr>
          <w:p>
            <w:pPr>
              <w:spacing w:after="0"/>
              <w:rPr>
                <w:sz w:val="18"/>
                <w:szCs w:val="18"/>
                <w:color w:val="auto"/>
              </w:rPr>
            </w:pPr>
          </w:p>
        </w:tc>
      </w:tr>
      <w:tr>
        <w:trPr>
          <w:trHeight w:val="43"/>
        </w:trPr>
        <w:tc>
          <w:tcPr>
            <w:tcW w:w="1300" w:type="dxa"/>
            <w:vAlign w:val="bottom"/>
          </w:tcPr>
          <w:p>
            <w:pPr>
              <w:spacing w:after="0"/>
              <w:rPr>
                <w:sz w:val="3"/>
                <w:szCs w:val="3"/>
                <w:color w:val="auto"/>
              </w:rPr>
            </w:pPr>
          </w:p>
        </w:tc>
        <w:tc>
          <w:tcPr>
            <w:tcW w:w="2320" w:type="dxa"/>
            <w:vAlign w:val="bottom"/>
            <w:tcBorders>
              <w:bottom w:val="single" w:sz="8" w:color="342C82"/>
            </w:tcBorders>
          </w:tcPr>
          <w:p>
            <w:pPr>
              <w:spacing w:after="0"/>
              <w:rPr>
                <w:sz w:val="3"/>
                <w:szCs w:val="3"/>
                <w:color w:val="auto"/>
              </w:rPr>
            </w:pPr>
          </w:p>
        </w:tc>
        <w:tc>
          <w:tcPr>
            <w:tcW w:w="5980" w:type="dxa"/>
            <w:vAlign w:val="bottom"/>
            <w:tcBorders>
              <w:bottom w:val="single" w:sz="8" w:color="342C82"/>
            </w:tcBorders>
          </w:tcPr>
          <w:p>
            <w:pPr>
              <w:spacing w:after="0"/>
              <w:rPr>
                <w:sz w:val="3"/>
                <w:szCs w:val="3"/>
                <w:color w:val="auto"/>
              </w:rPr>
            </w:pPr>
          </w:p>
        </w:tc>
        <w:tc>
          <w:tcPr>
            <w:tcW w:w="120" w:type="dxa"/>
            <w:vAlign w:val="bottom"/>
            <w:tcBorders>
              <w:bottom w:val="single" w:sz="8" w:color="342C82"/>
            </w:tcBorders>
          </w:tcPr>
          <w:p>
            <w:pPr>
              <w:spacing w:after="0"/>
              <w:rPr>
                <w:sz w:val="3"/>
                <w:szCs w:val="3"/>
                <w:color w:val="auto"/>
              </w:rPr>
            </w:pPr>
          </w:p>
        </w:tc>
        <w:tc>
          <w:tcPr>
            <w:tcW w:w="1300" w:type="dxa"/>
            <w:vAlign w:val="bottom"/>
          </w:tcPr>
          <w:p>
            <w:pPr>
              <w:spacing w:after="0"/>
              <w:rPr>
                <w:sz w:val="3"/>
                <w:szCs w:val="3"/>
                <w:color w:val="auto"/>
              </w:rPr>
            </w:pPr>
          </w:p>
        </w:tc>
      </w:tr>
      <w:tr>
        <w:trPr>
          <w:trHeight w:val="418"/>
        </w:trPr>
        <w:tc>
          <w:tcPr>
            <w:tcW w:w="1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5980" w:type="dxa"/>
            <w:vAlign w:val="bottom"/>
          </w:tcPr>
          <w:p>
            <w:pPr>
              <w:jc w:val="right"/>
              <w:ind w:right="3919"/>
              <w:spacing w:after="0"/>
              <w:rPr>
                <w:sz w:val="20"/>
                <w:szCs w:val="20"/>
                <w:color w:val="auto"/>
              </w:rPr>
            </w:pPr>
            <w:r>
              <w:rPr>
                <w:rFonts w:ascii="Arial" w:cs="Arial" w:eastAsia="Arial" w:hAnsi="Arial"/>
                <w:sz w:val="16"/>
                <w:szCs w:val="16"/>
                <w:b w:val="1"/>
                <w:bCs w:val="1"/>
                <w:color w:val="auto"/>
              </w:rPr>
              <w:t>42</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6"/>
        </w:trPr>
        <w:tc>
          <w:tcPr>
            <w:tcW w:w="130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tcPr>
          <w:p>
            <w:pPr>
              <w:spacing w:after="0"/>
              <w:rPr>
                <w:sz w:val="15"/>
                <w:szCs w:val="15"/>
                <w:color w:val="auto"/>
              </w:rPr>
            </w:pPr>
          </w:p>
        </w:tc>
        <w:tc>
          <w:tcPr>
            <w:tcW w:w="59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114" w:right="439" w:bottom="1440" w:gutter="0" w:footer="0" w:header="0"/>
        </w:sectPr>
      </w:pPr>
    </w:p>
    <w:bookmarkStart w:id="55" w:name="page56"/>
    <w:bookmarkEnd w:id="55"/>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59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342"/>
        </w:trPr>
        <w:tc>
          <w:tcPr>
            <w:tcW w:w="1540" w:type="dxa"/>
            <w:vAlign w:val="bottom"/>
            <w:tcBorders>
              <w:top w:val="single" w:sz="8" w:color="0000EE"/>
            </w:tcBorders>
          </w:tcPr>
          <w:p>
            <w:pPr>
              <w:spacing w:after="0"/>
              <w:rPr>
                <w:sz w:val="24"/>
                <w:szCs w:val="24"/>
                <w:color w:val="auto"/>
              </w:rPr>
            </w:pPr>
          </w:p>
        </w:tc>
        <w:tc>
          <w:tcPr>
            <w:tcW w:w="840" w:type="dxa"/>
            <w:vAlign w:val="bottom"/>
          </w:tcPr>
          <w:p>
            <w:pPr>
              <w:spacing w:after="0"/>
              <w:rPr>
                <w:sz w:val="24"/>
                <w:szCs w:val="24"/>
                <w:color w:val="auto"/>
              </w:rPr>
            </w:pPr>
          </w:p>
        </w:tc>
        <w:tc>
          <w:tcPr>
            <w:tcW w:w="6040" w:type="dxa"/>
            <w:vAlign w:val="bottom"/>
            <w:gridSpan w:val="2"/>
          </w:tcPr>
          <w:p>
            <w:pPr>
              <w:ind w:left="3200"/>
              <w:spacing w:after="0"/>
              <w:rPr>
                <w:sz w:val="20"/>
                <w:szCs w:val="20"/>
                <w:color w:val="auto"/>
              </w:rPr>
            </w:pPr>
            <w:r>
              <w:rPr>
                <w:rFonts w:ascii="Arial" w:cs="Arial" w:eastAsia="Arial" w:hAnsi="Arial"/>
                <w:sz w:val="16"/>
                <w:szCs w:val="16"/>
                <w:color w:val="342C82"/>
              </w:rPr>
              <w:t>Compensation Discussion and Analysis</w:t>
            </w:r>
          </w:p>
        </w:tc>
      </w:tr>
      <w:tr>
        <w:trPr>
          <w:trHeight w:val="373"/>
        </w:trPr>
        <w:tc>
          <w:tcPr>
            <w:tcW w:w="2380" w:type="dxa"/>
            <w:vAlign w:val="bottom"/>
            <w:gridSpan w:val="2"/>
          </w:tcPr>
          <w:p>
            <w:pPr>
              <w:ind w:left="160"/>
              <w:spacing w:after="0"/>
              <w:rPr>
                <w:sz w:val="20"/>
                <w:szCs w:val="20"/>
                <w:color w:val="auto"/>
              </w:rPr>
            </w:pPr>
            <w:r>
              <w:rPr>
                <w:rFonts w:ascii="Arial" w:cs="Arial" w:eastAsia="Arial" w:hAnsi="Arial"/>
                <w:sz w:val="16"/>
                <w:szCs w:val="16"/>
                <w:b w:val="1"/>
                <w:bCs w:val="1"/>
                <w:color w:val="auto"/>
              </w:rPr>
              <w:t>2024 Strategic Objective</w:t>
            </w:r>
          </w:p>
        </w:tc>
        <w:tc>
          <w:tcPr>
            <w:tcW w:w="60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Strategic Objective Outcomes</w:t>
            </w:r>
          </w:p>
        </w:tc>
      </w:tr>
      <w:tr>
        <w:trPr>
          <w:trHeight w:val="48"/>
        </w:trPr>
        <w:tc>
          <w:tcPr>
            <w:tcW w:w="1540" w:type="dxa"/>
            <w:vAlign w:val="bottom"/>
            <w:tcBorders>
              <w:bottom w:val="single" w:sz="8" w:color="342C82"/>
            </w:tcBorders>
          </w:tcPr>
          <w:p>
            <w:pPr>
              <w:spacing w:after="0"/>
              <w:rPr>
                <w:sz w:val="4"/>
                <w:szCs w:val="4"/>
                <w:color w:val="auto"/>
              </w:rPr>
            </w:pPr>
          </w:p>
        </w:tc>
        <w:tc>
          <w:tcPr>
            <w:tcW w:w="840" w:type="dxa"/>
            <w:vAlign w:val="bottom"/>
            <w:tcBorders>
              <w:bottom w:val="single" w:sz="8" w:color="342C82"/>
            </w:tcBorders>
          </w:tcPr>
          <w:p>
            <w:pPr>
              <w:spacing w:after="0"/>
              <w:rPr>
                <w:sz w:val="4"/>
                <w:szCs w:val="4"/>
                <w:color w:val="auto"/>
              </w:rPr>
            </w:pPr>
          </w:p>
        </w:tc>
        <w:tc>
          <w:tcPr>
            <w:tcW w:w="5920" w:type="dxa"/>
            <w:vAlign w:val="bottom"/>
            <w:tcBorders>
              <w:bottom w:val="single" w:sz="8" w:color="342C82"/>
            </w:tcBorders>
          </w:tcPr>
          <w:p>
            <w:pPr>
              <w:spacing w:after="0"/>
              <w:rPr>
                <w:sz w:val="4"/>
                <w:szCs w:val="4"/>
                <w:color w:val="auto"/>
              </w:rPr>
            </w:pPr>
          </w:p>
        </w:tc>
        <w:tc>
          <w:tcPr>
            <w:tcW w:w="120" w:type="dxa"/>
            <w:vAlign w:val="bottom"/>
          </w:tcPr>
          <w:p>
            <w:pPr>
              <w:spacing w:after="0"/>
              <w:rPr>
                <w:sz w:val="4"/>
                <w:szCs w:val="4"/>
                <w:color w:val="auto"/>
              </w:rPr>
            </w:pPr>
          </w:p>
        </w:tc>
      </w:tr>
      <w:tr>
        <w:trPr>
          <w:trHeight w:val="236"/>
        </w:trPr>
        <w:tc>
          <w:tcPr>
            <w:tcW w:w="2380" w:type="dxa"/>
            <w:vAlign w:val="bottom"/>
            <w:gridSpan w:val="2"/>
          </w:tcPr>
          <w:p>
            <w:pPr>
              <w:ind w:left="160"/>
              <w:spacing w:after="0"/>
              <w:rPr>
                <w:sz w:val="20"/>
                <w:szCs w:val="20"/>
                <w:color w:val="auto"/>
              </w:rPr>
            </w:pPr>
            <w:r>
              <w:rPr>
                <w:rFonts w:ascii="Arial" w:cs="Arial" w:eastAsia="Arial" w:hAnsi="Arial"/>
                <w:sz w:val="16"/>
                <w:szCs w:val="16"/>
                <w:b w:val="1"/>
                <w:bCs w:val="1"/>
                <w:color w:val="342C82"/>
              </w:rPr>
              <w:t>Distribution Network</w:t>
            </w:r>
          </w:p>
        </w:tc>
        <w:tc>
          <w:tcPr>
            <w:tcW w:w="6040" w:type="dxa"/>
            <w:vAlign w:val="bottom"/>
            <w:gridSpan w:val="2"/>
          </w:tcPr>
          <w:p>
            <w:pPr>
              <w:jc w:val="right"/>
              <w:ind w:right="220"/>
              <w:spacing w:after="0"/>
              <w:rPr>
                <w:sz w:val="20"/>
                <w:szCs w:val="20"/>
                <w:color w:val="auto"/>
              </w:rPr>
            </w:pPr>
            <w:r>
              <w:rPr>
                <w:rFonts w:ascii="Arial" w:cs="Arial" w:eastAsia="Arial" w:hAnsi="Arial"/>
                <w:sz w:val="16"/>
                <w:szCs w:val="16"/>
                <w:color w:val="auto"/>
              </w:rPr>
              <w:t>Target metrics were met for inventory movement to Embecta distribution</w:t>
            </w:r>
          </w:p>
        </w:tc>
      </w:tr>
      <w:tr>
        <w:trPr>
          <w:trHeight w:val="189"/>
        </w:trPr>
        <w:tc>
          <w:tcPr>
            <w:tcW w:w="15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40" w:type="dxa"/>
            <w:vAlign w:val="bottom"/>
            <w:gridSpan w:val="2"/>
          </w:tcPr>
          <w:p>
            <w:pPr>
              <w:jc w:val="right"/>
              <w:ind w:right="220"/>
              <w:spacing w:after="0"/>
              <w:rPr>
                <w:sz w:val="20"/>
                <w:szCs w:val="20"/>
                <w:color w:val="auto"/>
              </w:rPr>
            </w:pPr>
            <w:r>
              <w:rPr>
                <w:rFonts w:ascii="Arial" w:cs="Arial" w:eastAsia="Arial" w:hAnsi="Arial"/>
                <w:sz w:val="16"/>
                <w:szCs w:val="16"/>
                <w:color w:val="auto"/>
              </w:rPr>
              <w:t>centers and implementation of 3PL solution globally aligned with the ERP</w:t>
            </w:r>
          </w:p>
        </w:tc>
      </w:tr>
      <w:tr>
        <w:trPr>
          <w:trHeight w:val="189"/>
        </w:trPr>
        <w:tc>
          <w:tcPr>
            <w:tcW w:w="15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40" w:type="dxa"/>
            <w:vAlign w:val="bottom"/>
            <w:gridSpan w:val="2"/>
          </w:tcPr>
          <w:p>
            <w:pPr>
              <w:jc w:val="right"/>
              <w:ind w:right="220"/>
              <w:spacing w:after="0"/>
              <w:rPr>
                <w:sz w:val="20"/>
                <w:szCs w:val="20"/>
                <w:color w:val="auto"/>
              </w:rPr>
            </w:pPr>
            <w:r>
              <w:rPr>
                <w:rFonts w:ascii="Arial" w:cs="Arial" w:eastAsia="Arial" w:hAnsi="Arial"/>
                <w:sz w:val="16"/>
                <w:szCs w:val="16"/>
                <w:color w:val="auto"/>
              </w:rPr>
              <w:t>timeline. Some Above Target metrics were met for efficiency of operations at</w:t>
            </w:r>
          </w:p>
        </w:tc>
      </w:tr>
      <w:tr>
        <w:trPr>
          <w:trHeight w:val="215"/>
        </w:trPr>
        <w:tc>
          <w:tcPr>
            <w:tcW w:w="1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40" w:type="dxa"/>
            <w:vAlign w:val="bottom"/>
            <w:gridSpan w:val="2"/>
          </w:tcPr>
          <w:p>
            <w:pPr>
              <w:jc w:val="right"/>
              <w:ind w:right="220"/>
              <w:spacing w:after="0"/>
              <w:rPr>
                <w:sz w:val="20"/>
                <w:szCs w:val="20"/>
                <w:color w:val="auto"/>
              </w:rPr>
            </w:pPr>
            <w:r>
              <w:rPr>
                <w:rFonts w:ascii="Arial" w:cs="Arial" w:eastAsia="Arial" w:hAnsi="Arial"/>
                <w:sz w:val="16"/>
                <w:szCs w:val="16"/>
                <w:color w:val="auto"/>
              </w:rPr>
              <w:t>cutover and go-forward operations.</w:t>
            </w:r>
          </w:p>
        </w:tc>
      </w:tr>
      <w:tr>
        <w:trPr>
          <w:trHeight w:val="43"/>
        </w:trPr>
        <w:tc>
          <w:tcPr>
            <w:tcW w:w="1540" w:type="dxa"/>
            <w:vAlign w:val="bottom"/>
            <w:tcBorders>
              <w:bottom w:val="single" w:sz="8" w:color="342C82"/>
            </w:tcBorders>
          </w:tcPr>
          <w:p>
            <w:pPr>
              <w:spacing w:after="0"/>
              <w:rPr>
                <w:sz w:val="3"/>
                <w:szCs w:val="3"/>
                <w:color w:val="auto"/>
              </w:rPr>
            </w:pPr>
          </w:p>
        </w:tc>
        <w:tc>
          <w:tcPr>
            <w:tcW w:w="840" w:type="dxa"/>
            <w:vAlign w:val="bottom"/>
            <w:tcBorders>
              <w:bottom w:val="single" w:sz="8" w:color="342C82"/>
            </w:tcBorders>
          </w:tcPr>
          <w:p>
            <w:pPr>
              <w:spacing w:after="0"/>
              <w:rPr>
                <w:sz w:val="3"/>
                <w:szCs w:val="3"/>
                <w:color w:val="auto"/>
              </w:rPr>
            </w:pPr>
          </w:p>
        </w:tc>
        <w:tc>
          <w:tcPr>
            <w:tcW w:w="5920" w:type="dxa"/>
            <w:vAlign w:val="bottom"/>
            <w:tcBorders>
              <w:bottom w:val="single" w:sz="8" w:color="342C82"/>
            </w:tcBorders>
          </w:tcPr>
          <w:p>
            <w:pPr>
              <w:spacing w:after="0"/>
              <w:rPr>
                <w:sz w:val="3"/>
                <w:szCs w:val="3"/>
                <w:color w:val="auto"/>
              </w:rPr>
            </w:pPr>
          </w:p>
        </w:tc>
        <w:tc>
          <w:tcPr>
            <w:tcW w:w="120" w:type="dxa"/>
            <w:vAlign w:val="bottom"/>
            <w:tcBorders>
              <w:bottom w:val="single" w:sz="8" w:color="342C82"/>
            </w:tcBorders>
          </w:tcPr>
          <w:p>
            <w:pPr>
              <w:spacing w:after="0"/>
              <w:rPr>
                <w:sz w:val="3"/>
                <w:szCs w:val="3"/>
                <w:color w:val="auto"/>
              </w:rPr>
            </w:pPr>
          </w:p>
        </w:tc>
      </w:tr>
    </w:tbl>
    <w:p>
      <w:pPr>
        <w:spacing w:after="0" w:line="202" w:lineRule="exact"/>
        <w:rPr>
          <w:sz w:val="20"/>
          <w:szCs w:val="20"/>
          <w:color w:val="auto"/>
        </w:rPr>
      </w:pPr>
    </w:p>
    <w:p>
      <w:pPr>
        <w:ind w:left="300" w:right="319"/>
        <w:spacing w:after="0" w:line="253" w:lineRule="auto"/>
        <w:rPr>
          <w:sz w:val="20"/>
          <w:szCs w:val="20"/>
          <w:color w:val="auto"/>
        </w:rPr>
      </w:pPr>
      <w:r>
        <w:rPr>
          <w:rFonts w:ascii="Arial" w:cs="Arial" w:eastAsia="Arial" w:hAnsi="Arial"/>
          <w:sz w:val="16"/>
          <w:szCs w:val="16"/>
          <w:color w:val="auto"/>
        </w:rPr>
        <w:t>The table below reflects the 2024 fiscal year annual short-term incentive opportunity of each NEO under the Bonus Plan and the amount awarded to each NEO for the 2024 fiscal year. The Compensation Committee did not exercise discretion to increase or decrease the actual annual incentive award payable to our NEOs. The Compensation Committee did acknowledge the negative 1-year Total Shareholder Return result of the Company for the 2024 period, but unanimously approved the above-target payout on the Bonus Plan considering the achievements against the plan targets, the completion and exit from a significant number of temporary service agreements with BD, and the impact that negative discretion could have on the alignment of executives with critical, long-term business goals.</w:t>
      </w:r>
    </w:p>
    <w:p>
      <w:pPr>
        <w:spacing w:after="0" w:line="181" w:lineRule="exact"/>
        <w:rPr>
          <w:sz w:val="20"/>
          <w:szCs w:val="20"/>
          <w:color w:val="auto"/>
        </w:rPr>
      </w:pPr>
    </w:p>
    <w:tbl>
      <w:tblPr>
        <w:tblLayout w:type="fixed"/>
        <w:tblInd w:w="300" w:type="dxa"/>
        <w:tblCellMar>
          <w:top w:w="0" w:type="dxa"/>
          <w:left w:w="0" w:type="dxa"/>
          <w:bottom w:w="0" w:type="dxa"/>
          <w:right w:w="0" w:type="dxa"/>
        </w:tblCellMar>
      </w:tblPr>
      <w:tr>
        <w:trPr>
          <w:trHeight w:val="223"/>
        </w:trPr>
        <w:tc>
          <w:tcPr>
            <w:tcW w:w="3820" w:type="dxa"/>
            <w:vAlign w:val="bottom"/>
          </w:tcPr>
          <w:p>
            <w:pPr>
              <w:ind w:left="80"/>
              <w:spacing w:after="0"/>
              <w:rPr>
                <w:sz w:val="20"/>
                <w:szCs w:val="20"/>
                <w:color w:val="auto"/>
              </w:rPr>
            </w:pPr>
            <w:r>
              <w:rPr>
                <w:rFonts w:ascii="Arial" w:cs="Arial" w:eastAsia="Arial" w:hAnsi="Arial"/>
                <w:sz w:val="16"/>
                <w:szCs w:val="16"/>
                <w:b w:val="1"/>
                <w:bCs w:val="1"/>
                <w:color w:val="auto"/>
              </w:rPr>
              <w:t>Named Executive Officer</w:t>
            </w:r>
          </w:p>
        </w:tc>
        <w:tc>
          <w:tcPr>
            <w:tcW w:w="3080" w:type="dxa"/>
            <w:vAlign w:val="bottom"/>
          </w:tcPr>
          <w:p>
            <w:pPr>
              <w:jc w:val="right"/>
              <w:ind w:right="139"/>
              <w:spacing w:after="0"/>
              <w:rPr>
                <w:sz w:val="20"/>
                <w:szCs w:val="20"/>
                <w:color w:val="auto"/>
              </w:rPr>
            </w:pPr>
            <w:r>
              <w:rPr>
                <w:rFonts w:ascii="Arial" w:cs="Arial" w:eastAsia="Arial" w:hAnsi="Arial"/>
                <w:sz w:val="16"/>
                <w:szCs w:val="16"/>
                <w:b w:val="1"/>
                <w:bCs w:val="1"/>
                <w:color w:val="auto"/>
              </w:rPr>
              <w:t>Target Bonus</w:t>
            </w: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Awarded Bonus</w:t>
            </w:r>
          </w:p>
        </w:tc>
      </w:tr>
      <w:tr>
        <w:trPr>
          <w:trHeight w:val="21"/>
        </w:trPr>
        <w:tc>
          <w:tcPr>
            <w:tcW w:w="3820" w:type="dxa"/>
            <w:vAlign w:val="bottom"/>
            <w:tcBorders>
              <w:bottom w:val="single" w:sz="8" w:color="342C82"/>
            </w:tcBorders>
          </w:tcPr>
          <w:p>
            <w:pPr>
              <w:spacing w:after="0" w:line="20" w:lineRule="exact"/>
              <w:rPr>
                <w:sz w:val="1"/>
                <w:szCs w:val="1"/>
                <w:color w:val="auto"/>
              </w:rPr>
            </w:pPr>
          </w:p>
        </w:tc>
        <w:tc>
          <w:tcPr>
            <w:tcW w:w="3080" w:type="dxa"/>
            <w:vAlign w:val="bottom"/>
            <w:tcBorders>
              <w:bottom w:val="single" w:sz="8" w:color="342C82"/>
            </w:tcBorders>
          </w:tcPr>
          <w:p>
            <w:pPr>
              <w:spacing w:after="0" w:line="20" w:lineRule="exact"/>
              <w:rPr>
                <w:sz w:val="1"/>
                <w:szCs w:val="1"/>
                <w:color w:val="auto"/>
              </w:rPr>
            </w:pPr>
          </w:p>
        </w:tc>
        <w:tc>
          <w:tcPr>
            <w:tcW w:w="1520" w:type="dxa"/>
            <w:vAlign w:val="bottom"/>
            <w:tcBorders>
              <w:bottom w:val="single" w:sz="8" w:color="342C82"/>
            </w:tcBorders>
          </w:tcPr>
          <w:p>
            <w:pPr>
              <w:spacing w:after="0" w:line="20" w:lineRule="exact"/>
              <w:rPr>
                <w:sz w:val="1"/>
                <w:szCs w:val="1"/>
                <w:color w:val="auto"/>
              </w:rPr>
            </w:pPr>
          </w:p>
        </w:tc>
      </w:tr>
      <w:tr>
        <w:trPr>
          <w:trHeight w:val="229"/>
        </w:trPr>
        <w:tc>
          <w:tcPr>
            <w:tcW w:w="3820" w:type="dxa"/>
            <w:vAlign w:val="bottom"/>
          </w:tcPr>
          <w:p>
            <w:pPr>
              <w:ind w:left="80"/>
              <w:spacing w:after="0"/>
              <w:rPr>
                <w:sz w:val="20"/>
                <w:szCs w:val="20"/>
                <w:color w:val="auto"/>
              </w:rPr>
            </w:pPr>
            <w:r>
              <w:rPr>
                <w:rFonts w:ascii="Arial" w:cs="Arial" w:eastAsia="Arial" w:hAnsi="Arial"/>
                <w:sz w:val="16"/>
                <w:szCs w:val="16"/>
                <w:b w:val="1"/>
                <w:bCs w:val="1"/>
                <w:color w:val="342C82"/>
              </w:rPr>
              <w:t>Dev Kurdikar</w:t>
            </w:r>
          </w:p>
        </w:tc>
        <w:tc>
          <w:tcPr>
            <w:tcW w:w="3080" w:type="dxa"/>
            <w:vAlign w:val="bottom"/>
          </w:tcPr>
          <w:p>
            <w:pPr>
              <w:jc w:val="right"/>
              <w:ind w:right="139"/>
              <w:spacing w:after="0"/>
              <w:rPr>
                <w:sz w:val="20"/>
                <w:szCs w:val="20"/>
                <w:color w:val="auto"/>
              </w:rPr>
            </w:pPr>
            <w:r>
              <w:rPr>
                <w:rFonts w:ascii="Arial" w:cs="Arial" w:eastAsia="Arial" w:hAnsi="Arial"/>
                <w:sz w:val="16"/>
                <w:szCs w:val="16"/>
                <w:color w:val="auto"/>
              </w:rPr>
              <w:t>$1,143,000</w:t>
            </w:r>
          </w:p>
        </w:tc>
        <w:tc>
          <w:tcPr>
            <w:tcW w:w="1520" w:type="dxa"/>
            <w:vAlign w:val="bottom"/>
          </w:tcPr>
          <w:p>
            <w:pPr>
              <w:jc w:val="right"/>
              <w:spacing w:after="0"/>
              <w:rPr>
                <w:sz w:val="20"/>
                <w:szCs w:val="20"/>
                <w:color w:val="auto"/>
              </w:rPr>
            </w:pPr>
            <w:r>
              <w:rPr>
                <w:rFonts w:ascii="Arial" w:cs="Arial" w:eastAsia="Arial" w:hAnsi="Arial"/>
                <w:sz w:val="16"/>
                <w:szCs w:val="16"/>
                <w:color w:val="auto"/>
              </w:rPr>
              <w:t>$1,369,314</w:t>
            </w:r>
          </w:p>
        </w:tc>
      </w:tr>
      <w:tr>
        <w:trPr>
          <w:trHeight w:val="21"/>
        </w:trPr>
        <w:tc>
          <w:tcPr>
            <w:tcW w:w="3820" w:type="dxa"/>
            <w:vAlign w:val="bottom"/>
            <w:tcBorders>
              <w:bottom w:val="single" w:sz="8" w:color="808080"/>
            </w:tcBorders>
          </w:tcPr>
          <w:p>
            <w:pPr>
              <w:spacing w:after="0" w:line="20" w:lineRule="exact"/>
              <w:rPr>
                <w:sz w:val="1"/>
                <w:szCs w:val="1"/>
                <w:color w:val="auto"/>
              </w:rPr>
            </w:pPr>
          </w:p>
        </w:tc>
        <w:tc>
          <w:tcPr>
            <w:tcW w:w="3080" w:type="dxa"/>
            <w:vAlign w:val="bottom"/>
            <w:tcBorders>
              <w:bottom w:val="single" w:sz="8" w:color="808080"/>
            </w:tcBorders>
          </w:tcPr>
          <w:p>
            <w:pPr>
              <w:spacing w:after="0" w:line="20" w:lineRule="exact"/>
              <w:rPr>
                <w:sz w:val="1"/>
                <w:szCs w:val="1"/>
                <w:color w:val="auto"/>
              </w:rPr>
            </w:pPr>
          </w:p>
        </w:tc>
        <w:tc>
          <w:tcPr>
            <w:tcW w:w="1520" w:type="dxa"/>
            <w:vAlign w:val="bottom"/>
            <w:tcBorders>
              <w:bottom w:val="single" w:sz="8" w:color="808080"/>
            </w:tcBorders>
          </w:tcPr>
          <w:p>
            <w:pPr>
              <w:spacing w:after="0" w:line="20" w:lineRule="exact"/>
              <w:rPr>
                <w:sz w:val="1"/>
                <w:szCs w:val="1"/>
                <w:color w:val="auto"/>
              </w:rPr>
            </w:pPr>
          </w:p>
        </w:tc>
      </w:tr>
      <w:tr>
        <w:trPr>
          <w:trHeight w:val="229"/>
        </w:trPr>
        <w:tc>
          <w:tcPr>
            <w:tcW w:w="3820" w:type="dxa"/>
            <w:vAlign w:val="bottom"/>
          </w:tcPr>
          <w:p>
            <w:pPr>
              <w:ind w:left="80"/>
              <w:spacing w:after="0"/>
              <w:rPr>
                <w:sz w:val="20"/>
                <w:szCs w:val="20"/>
                <w:color w:val="auto"/>
              </w:rPr>
            </w:pPr>
            <w:r>
              <w:rPr>
                <w:rFonts w:ascii="Arial" w:cs="Arial" w:eastAsia="Arial" w:hAnsi="Arial"/>
                <w:sz w:val="16"/>
                <w:szCs w:val="16"/>
                <w:b w:val="1"/>
                <w:bCs w:val="1"/>
                <w:color w:val="342C82"/>
              </w:rPr>
              <w:t>Jake Elguicze</w:t>
            </w:r>
          </w:p>
        </w:tc>
        <w:tc>
          <w:tcPr>
            <w:tcW w:w="3080" w:type="dxa"/>
            <w:vAlign w:val="bottom"/>
          </w:tcPr>
          <w:p>
            <w:pPr>
              <w:jc w:val="right"/>
              <w:ind w:right="139"/>
              <w:spacing w:after="0"/>
              <w:rPr>
                <w:sz w:val="20"/>
                <w:szCs w:val="20"/>
                <w:color w:val="auto"/>
              </w:rPr>
            </w:pPr>
            <w:r>
              <w:rPr>
                <w:rFonts w:ascii="Arial" w:cs="Arial" w:eastAsia="Arial" w:hAnsi="Arial"/>
                <w:sz w:val="16"/>
                <w:szCs w:val="16"/>
                <w:color w:val="auto"/>
              </w:rPr>
              <w:t>$406,000</w:t>
            </w:r>
          </w:p>
        </w:tc>
        <w:tc>
          <w:tcPr>
            <w:tcW w:w="1520" w:type="dxa"/>
            <w:vAlign w:val="bottom"/>
          </w:tcPr>
          <w:p>
            <w:pPr>
              <w:jc w:val="right"/>
              <w:spacing w:after="0"/>
              <w:rPr>
                <w:sz w:val="20"/>
                <w:szCs w:val="20"/>
                <w:color w:val="auto"/>
              </w:rPr>
            </w:pPr>
            <w:r>
              <w:rPr>
                <w:rFonts w:ascii="Arial" w:cs="Arial" w:eastAsia="Arial" w:hAnsi="Arial"/>
                <w:sz w:val="16"/>
                <w:szCs w:val="16"/>
                <w:color w:val="auto"/>
              </w:rPr>
              <w:t>$486,388</w:t>
            </w:r>
          </w:p>
        </w:tc>
      </w:tr>
      <w:tr>
        <w:trPr>
          <w:trHeight w:val="21"/>
        </w:trPr>
        <w:tc>
          <w:tcPr>
            <w:tcW w:w="3820" w:type="dxa"/>
            <w:vAlign w:val="bottom"/>
            <w:tcBorders>
              <w:bottom w:val="single" w:sz="8" w:color="808080"/>
            </w:tcBorders>
          </w:tcPr>
          <w:p>
            <w:pPr>
              <w:spacing w:after="0" w:line="20" w:lineRule="exact"/>
              <w:rPr>
                <w:sz w:val="1"/>
                <w:szCs w:val="1"/>
                <w:color w:val="auto"/>
              </w:rPr>
            </w:pPr>
          </w:p>
        </w:tc>
        <w:tc>
          <w:tcPr>
            <w:tcW w:w="3080" w:type="dxa"/>
            <w:vAlign w:val="bottom"/>
            <w:tcBorders>
              <w:bottom w:val="single" w:sz="8" w:color="808080"/>
            </w:tcBorders>
          </w:tcPr>
          <w:p>
            <w:pPr>
              <w:spacing w:after="0" w:line="20" w:lineRule="exact"/>
              <w:rPr>
                <w:sz w:val="1"/>
                <w:szCs w:val="1"/>
                <w:color w:val="auto"/>
              </w:rPr>
            </w:pPr>
          </w:p>
        </w:tc>
        <w:tc>
          <w:tcPr>
            <w:tcW w:w="1520" w:type="dxa"/>
            <w:vAlign w:val="bottom"/>
            <w:tcBorders>
              <w:bottom w:val="single" w:sz="8" w:color="808080"/>
            </w:tcBorders>
          </w:tcPr>
          <w:p>
            <w:pPr>
              <w:spacing w:after="0" w:line="20" w:lineRule="exact"/>
              <w:rPr>
                <w:sz w:val="1"/>
                <w:szCs w:val="1"/>
                <w:color w:val="auto"/>
              </w:rPr>
            </w:pPr>
          </w:p>
        </w:tc>
      </w:tr>
      <w:tr>
        <w:trPr>
          <w:trHeight w:val="229"/>
        </w:trPr>
        <w:tc>
          <w:tcPr>
            <w:tcW w:w="3820" w:type="dxa"/>
            <w:vAlign w:val="bottom"/>
          </w:tcPr>
          <w:p>
            <w:pPr>
              <w:ind w:left="80"/>
              <w:spacing w:after="0"/>
              <w:rPr>
                <w:sz w:val="20"/>
                <w:szCs w:val="20"/>
                <w:color w:val="auto"/>
              </w:rPr>
            </w:pPr>
            <w:r>
              <w:rPr>
                <w:rFonts w:ascii="Arial" w:cs="Arial" w:eastAsia="Arial" w:hAnsi="Arial"/>
                <w:sz w:val="16"/>
                <w:szCs w:val="16"/>
                <w:b w:val="1"/>
                <w:bCs w:val="1"/>
                <w:color w:val="342C82"/>
              </w:rPr>
              <w:t>Shaun Curtis*</w:t>
            </w:r>
          </w:p>
        </w:tc>
        <w:tc>
          <w:tcPr>
            <w:tcW w:w="3080" w:type="dxa"/>
            <w:vAlign w:val="bottom"/>
          </w:tcPr>
          <w:p>
            <w:pPr>
              <w:jc w:val="right"/>
              <w:ind w:right="139"/>
              <w:spacing w:after="0"/>
              <w:rPr>
                <w:sz w:val="20"/>
                <w:szCs w:val="20"/>
                <w:color w:val="auto"/>
              </w:rPr>
            </w:pPr>
            <w:r>
              <w:rPr>
                <w:rFonts w:ascii="Arial" w:cs="Arial" w:eastAsia="Arial" w:hAnsi="Arial"/>
                <w:sz w:val="16"/>
                <w:szCs w:val="16"/>
                <w:color w:val="auto"/>
              </w:rPr>
              <w:t>$312,573</w:t>
            </w:r>
          </w:p>
        </w:tc>
        <w:tc>
          <w:tcPr>
            <w:tcW w:w="1520" w:type="dxa"/>
            <w:vAlign w:val="bottom"/>
          </w:tcPr>
          <w:p>
            <w:pPr>
              <w:jc w:val="right"/>
              <w:spacing w:after="0"/>
              <w:rPr>
                <w:sz w:val="20"/>
                <w:szCs w:val="20"/>
                <w:color w:val="auto"/>
              </w:rPr>
            </w:pPr>
            <w:r>
              <w:rPr>
                <w:rFonts w:ascii="Arial" w:cs="Arial" w:eastAsia="Arial" w:hAnsi="Arial"/>
                <w:sz w:val="16"/>
                <w:szCs w:val="16"/>
                <w:color w:val="auto"/>
              </w:rPr>
              <w:t>$374,462</w:t>
            </w:r>
          </w:p>
        </w:tc>
      </w:tr>
      <w:tr>
        <w:trPr>
          <w:trHeight w:val="21"/>
        </w:trPr>
        <w:tc>
          <w:tcPr>
            <w:tcW w:w="3820" w:type="dxa"/>
            <w:vAlign w:val="bottom"/>
            <w:tcBorders>
              <w:bottom w:val="single" w:sz="8" w:color="808080"/>
            </w:tcBorders>
          </w:tcPr>
          <w:p>
            <w:pPr>
              <w:spacing w:after="0" w:line="20" w:lineRule="exact"/>
              <w:rPr>
                <w:sz w:val="1"/>
                <w:szCs w:val="1"/>
                <w:color w:val="auto"/>
              </w:rPr>
            </w:pPr>
          </w:p>
        </w:tc>
        <w:tc>
          <w:tcPr>
            <w:tcW w:w="3080" w:type="dxa"/>
            <w:vAlign w:val="bottom"/>
            <w:tcBorders>
              <w:bottom w:val="single" w:sz="8" w:color="808080"/>
            </w:tcBorders>
          </w:tcPr>
          <w:p>
            <w:pPr>
              <w:spacing w:after="0" w:line="20" w:lineRule="exact"/>
              <w:rPr>
                <w:sz w:val="1"/>
                <w:szCs w:val="1"/>
                <w:color w:val="auto"/>
              </w:rPr>
            </w:pPr>
          </w:p>
        </w:tc>
        <w:tc>
          <w:tcPr>
            <w:tcW w:w="1520" w:type="dxa"/>
            <w:vAlign w:val="bottom"/>
            <w:tcBorders>
              <w:bottom w:val="single" w:sz="8" w:color="808080"/>
            </w:tcBorders>
          </w:tcPr>
          <w:p>
            <w:pPr>
              <w:spacing w:after="0" w:line="20" w:lineRule="exact"/>
              <w:rPr>
                <w:sz w:val="1"/>
                <w:szCs w:val="1"/>
                <w:color w:val="auto"/>
              </w:rPr>
            </w:pPr>
          </w:p>
        </w:tc>
      </w:tr>
      <w:tr>
        <w:trPr>
          <w:trHeight w:val="229"/>
        </w:trPr>
        <w:tc>
          <w:tcPr>
            <w:tcW w:w="3820" w:type="dxa"/>
            <w:vAlign w:val="bottom"/>
          </w:tcPr>
          <w:p>
            <w:pPr>
              <w:ind w:left="80"/>
              <w:spacing w:after="0"/>
              <w:rPr>
                <w:sz w:val="20"/>
                <w:szCs w:val="20"/>
                <w:color w:val="auto"/>
              </w:rPr>
            </w:pPr>
            <w:r>
              <w:rPr>
                <w:rFonts w:ascii="Arial" w:cs="Arial" w:eastAsia="Arial" w:hAnsi="Arial"/>
                <w:sz w:val="16"/>
                <w:szCs w:val="16"/>
                <w:b w:val="1"/>
                <w:bCs w:val="1"/>
                <w:color w:val="342C82"/>
              </w:rPr>
              <w:t>Jeff Mann</w:t>
            </w:r>
          </w:p>
        </w:tc>
        <w:tc>
          <w:tcPr>
            <w:tcW w:w="3080" w:type="dxa"/>
            <w:vAlign w:val="bottom"/>
          </w:tcPr>
          <w:p>
            <w:pPr>
              <w:jc w:val="right"/>
              <w:ind w:right="139"/>
              <w:spacing w:after="0"/>
              <w:rPr>
                <w:sz w:val="20"/>
                <w:szCs w:val="20"/>
                <w:color w:val="auto"/>
              </w:rPr>
            </w:pPr>
            <w:r>
              <w:rPr>
                <w:rFonts w:ascii="Arial" w:cs="Arial" w:eastAsia="Arial" w:hAnsi="Arial"/>
                <w:sz w:val="16"/>
                <w:szCs w:val="16"/>
                <w:color w:val="auto"/>
              </w:rPr>
              <w:t>$342,000</w:t>
            </w:r>
          </w:p>
        </w:tc>
        <w:tc>
          <w:tcPr>
            <w:tcW w:w="1520" w:type="dxa"/>
            <w:vAlign w:val="bottom"/>
          </w:tcPr>
          <w:p>
            <w:pPr>
              <w:jc w:val="right"/>
              <w:spacing w:after="0"/>
              <w:rPr>
                <w:sz w:val="20"/>
                <w:szCs w:val="20"/>
                <w:color w:val="auto"/>
              </w:rPr>
            </w:pPr>
            <w:r>
              <w:rPr>
                <w:rFonts w:ascii="Arial" w:cs="Arial" w:eastAsia="Arial" w:hAnsi="Arial"/>
                <w:sz w:val="16"/>
                <w:szCs w:val="16"/>
                <w:color w:val="auto"/>
              </w:rPr>
              <w:t>$409,716</w:t>
            </w:r>
          </w:p>
        </w:tc>
      </w:tr>
      <w:tr>
        <w:trPr>
          <w:trHeight w:val="21"/>
        </w:trPr>
        <w:tc>
          <w:tcPr>
            <w:tcW w:w="3820" w:type="dxa"/>
            <w:vAlign w:val="bottom"/>
            <w:tcBorders>
              <w:bottom w:val="single" w:sz="8" w:color="808080"/>
            </w:tcBorders>
          </w:tcPr>
          <w:p>
            <w:pPr>
              <w:spacing w:after="0" w:line="20" w:lineRule="exact"/>
              <w:rPr>
                <w:sz w:val="1"/>
                <w:szCs w:val="1"/>
                <w:color w:val="auto"/>
              </w:rPr>
            </w:pPr>
          </w:p>
        </w:tc>
        <w:tc>
          <w:tcPr>
            <w:tcW w:w="3080" w:type="dxa"/>
            <w:vAlign w:val="bottom"/>
            <w:tcBorders>
              <w:bottom w:val="single" w:sz="8" w:color="808080"/>
            </w:tcBorders>
          </w:tcPr>
          <w:p>
            <w:pPr>
              <w:spacing w:after="0" w:line="20" w:lineRule="exact"/>
              <w:rPr>
                <w:sz w:val="1"/>
                <w:szCs w:val="1"/>
                <w:color w:val="auto"/>
              </w:rPr>
            </w:pPr>
          </w:p>
        </w:tc>
        <w:tc>
          <w:tcPr>
            <w:tcW w:w="1520" w:type="dxa"/>
            <w:vAlign w:val="bottom"/>
            <w:tcBorders>
              <w:bottom w:val="single" w:sz="8" w:color="808080"/>
            </w:tcBorders>
          </w:tcPr>
          <w:p>
            <w:pPr>
              <w:spacing w:after="0" w:line="20" w:lineRule="exact"/>
              <w:rPr>
                <w:sz w:val="1"/>
                <w:szCs w:val="1"/>
                <w:color w:val="auto"/>
              </w:rPr>
            </w:pPr>
          </w:p>
        </w:tc>
      </w:tr>
      <w:tr>
        <w:trPr>
          <w:trHeight w:val="223"/>
        </w:trPr>
        <w:tc>
          <w:tcPr>
            <w:tcW w:w="3820" w:type="dxa"/>
            <w:vAlign w:val="bottom"/>
            <w:tcBorders>
              <w:bottom w:val="single" w:sz="8" w:color="342C82"/>
            </w:tcBorders>
          </w:tcPr>
          <w:p>
            <w:pPr>
              <w:ind w:left="80"/>
              <w:spacing w:after="0"/>
              <w:rPr>
                <w:sz w:val="20"/>
                <w:szCs w:val="20"/>
                <w:color w:val="auto"/>
              </w:rPr>
            </w:pPr>
            <w:r>
              <w:rPr>
                <w:rFonts w:ascii="Arial" w:cs="Arial" w:eastAsia="Arial" w:hAnsi="Arial"/>
                <w:sz w:val="16"/>
                <w:szCs w:val="16"/>
                <w:b w:val="1"/>
                <w:bCs w:val="1"/>
                <w:color w:val="342C82"/>
              </w:rPr>
              <w:t>Jean Casner</w:t>
            </w:r>
          </w:p>
        </w:tc>
        <w:tc>
          <w:tcPr>
            <w:tcW w:w="3080" w:type="dxa"/>
            <w:vAlign w:val="bottom"/>
            <w:tcBorders>
              <w:bottom w:val="single" w:sz="8" w:color="342C82"/>
            </w:tcBorders>
          </w:tcPr>
          <w:p>
            <w:pPr>
              <w:jc w:val="right"/>
              <w:ind w:right="139"/>
              <w:spacing w:after="0"/>
              <w:rPr>
                <w:sz w:val="20"/>
                <w:szCs w:val="20"/>
                <w:color w:val="auto"/>
              </w:rPr>
            </w:pPr>
            <w:r>
              <w:rPr>
                <w:rFonts w:ascii="Arial" w:cs="Arial" w:eastAsia="Arial" w:hAnsi="Arial"/>
                <w:sz w:val="16"/>
                <w:szCs w:val="16"/>
                <w:color w:val="auto"/>
              </w:rPr>
              <w:t>$279,000</w:t>
            </w:r>
          </w:p>
        </w:tc>
        <w:tc>
          <w:tcPr>
            <w:tcW w:w="1520" w:type="dxa"/>
            <w:vAlign w:val="bottom"/>
            <w:tcBorders>
              <w:bottom w:val="single" w:sz="8" w:color="342C82"/>
            </w:tcBorders>
          </w:tcPr>
          <w:p>
            <w:pPr>
              <w:jc w:val="right"/>
              <w:spacing w:after="0"/>
              <w:rPr>
                <w:sz w:val="20"/>
                <w:szCs w:val="20"/>
                <w:color w:val="auto"/>
              </w:rPr>
            </w:pPr>
            <w:r>
              <w:rPr>
                <w:rFonts w:ascii="Arial" w:cs="Arial" w:eastAsia="Arial" w:hAnsi="Arial"/>
                <w:sz w:val="16"/>
                <w:szCs w:val="16"/>
                <w:color w:val="auto"/>
              </w:rPr>
              <w:t>$334,242</w:t>
            </w:r>
          </w:p>
        </w:tc>
      </w:tr>
    </w:tbl>
    <w:p>
      <w:pPr>
        <w:spacing w:after="0" w:line="168" w:lineRule="exact"/>
        <w:rPr>
          <w:sz w:val="20"/>
          <w:szCs w:val="20"/>
          <w:color w:val="auto"/>
        </w:rPr>
      </w:pPr>
    </w:p>
    <w:p>
      <w:pPr>
        <w:ind w:left="500" w:hanging="208"/>
        <w:spacing w:after="0"/>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i w:val="1"/>
          <w:iCs w:val="1"/>
          <w:color w:val="auto"/>
        </w:rPr>
        <w:t>Amounts reported for Mr. Curtis are converted from Euros to USD based on an exchange rate of 1.12 as of September 30, 2024.</w:t>
      </w:r>
    </w:p>
    <w:p>
      <w:pPr>
        <w:spacing w:after="0" w:line="350" w:lineRule="exact"/>
        <w:rPr>
          <w:sz w:val="20"/>
          <w:szCs w:val="20"/>
          <w:color w:val="auto"/>
        </w:rPr>
      </w:pPr>
    </w:p>
    <w:p>
      <w:pPr>
        <w:ind w:left="300"/>
        <w:spacing w:after="0"/>
        <w:rPr>
          <w:sz w:val="20"/>
          <w:szCs w:val="20"/>
          <w:color w:val="auto"/>
        </w:rPr>
      </w:pPr>
      <w:r>
        <w:rPr>
          <w:rFonts w:ascii="Arial" w:cs="Arial" w:eastAsia="Arial" w:hAnsi="Arial"/>
          <w:sz w:val="25"/>
          <w:szCs w:val="25"/>
          <w:color w:val="342C82"/>
        </w:rPr>
        <w:t>Equity compensation awards</w:t>
      </w:r>
    </w:p>
    <w:p>
      <w:pPr>
        <w:spacing w:after="0" w:line="153" w:lineRule="exact"/>
        <w:rPr>
          <w:sz w:val="20"/>
          <w:szCs w:val="20"/>
          <w:color w:val="auto"/>
        </w:rPr>
      </w:pPr>
    </w:p>
    <w:p>
      <w:pPr>
        <w:ind w:left="300" w:right="359"/>
        <w:spacing w:after="0" w:line="256" w:lineRule="auto"/>
        <w:rPr>
          <w:sz w:val="20"/>
          <w:szCs w:val="20"/>
          <w:color w:val="auto"/>
        </w:rPr>
      </w:pPr>
      <w:r>
        <w:rPr>
          <w:rFonts w:ascii="Arial" w:cs="Arial" w:eastAsia="Arial" w:hAnsi="Arial"/>
          <w:sz w:val="16"/>
          <w:szCs w:val="16"/>
          <w:color w:val="auto"/>
        </w:rPr>
        <w:t>Embecta uses a mix of equity compensation vehicles to promote the long-term objectives of its compensation program. Below is a description of the long-term incentive awards granted during the 2024 fiscal year pursuant to the Embecta 2022 Employee and Director Equity-Based Compensation Plan (the “2022 Plan”). See “Narrative disclosure to Summary Compensation Table and Grants of Plan-Based Awards Table—Embecta 2022 Employee and Director Equity-Based Compensation Plan” for a description of the 2022 Plan.</w:t>
      </w:r>
    </w:p>
    <w:p>
      <w:pPr>
        <w:spacing w:after="0" w:line="126" w:lineRule="exact"/>
        <w:rPr>
          <w:sz w:val="20"/>
          <w:szCs w:val="20"/>
          <w:color w:val="auto"/>
        </w:rPr>
      </w:pPr>
    </w:p>
    <w:p>
      <w:pPr>
        <w:ind w:left="500" w:right="379" w:hanging="208"/>
        <w:spacing w:after="0" w:line="254" w:lineRule="auto"/>
        <w:tabs>
          <w:tab w:leader="none" w:pos="500" w:val="left"/>
        </w:tabs>
        <w:numPr>
          <w:ilvl w:val="0"/>
          <w:numId w:val="32"/>
        </w:numPr>
        <w:rPr>
          <w:rFonts w:ascii="Arial" w:cs="Arial" w:eastAsia="Arial" w:hAnsi="Arial"/>
          <w:sz w:val="16"/>
          <w:szCs w:val="16"/>
          <w:color w:val="342C82"/>
        </w:rPr>
      </w:pPr>
      <w:r>
        <w:rPr>
          <w:rFonts w:ascii="Arial" w:cs="Arial" w:eastAsia="Arial" w:hAnsi="Arial"/>
          <w:sz w:val="16"/>
          <w:szCs w:val="16"/>
          <w:i w:val="1"/>
          <w:iCs w:val="1"/>
          <w:color w:val="auto"/>
        </w:rPr>
        <w:t>PSUs</w:t>
      </w:r>
      <w:r>
        <w:rPr>
          <w:rFonts w:ascii="Arial" w:cs="Arial" w:eastAsia="Arial" w:hAnsi="Arial"/>
          <w:sz w:val="16"/>
          <w:szCs w:val="16"/>
          <w:color w:val="auto"/>
        </w:rPr>
        <w:t>. PSUs are performance-based restricted stock units that vest three years after grant, based on continued</w:t>
      </w:r>
      <w:r>
        <w:rPr>
          <w:rFonts w:ascii="Arial" w:cs="Arial" w:eastAsia="Arial" w:hAnsi="Arial"/>
          <w:sz w:val="16"/>
          <w:szCs w:val="16"/>
          <w:i w:val="1"/>
          <w:iCs w:val="1"/>
          <w:color w:val="auto"/>
        </w:rPr>
        <w:t xml:space="preserve"> </w:t>
      </w:r>
      <w:r>
        <w:rPr>
          <w:rFonts w:ascii="Arial" w:cs="Arial" w:eastAsia="Arial" w:hAnsi="Arial"/>
          <w:sz w:val="16"/>
          <w:szCs w:val="16"/>
          <w:color w:val="auto"/>
        </w:rPr>
        <w:t>service and the achievement of pre-determined performance metrics. The potential payouts under these awards range from 50% to 200% of target. The actual payout is based on Embecta’s performance against the performance targets set for these awards over the three-year performance period. PSUs are not transferable, and holders cannot vote any shares underlying the award until the shares have been distributed. See “Fiscal 2024-2026 PSU Grants” for a description of the 2024-2026 PSU grants.</w:t>
      </w:r>
    </w:p>
    <w:p>
      <w:pPr>
        <w:spacing w:after="0" w:line="19" w:lineRule="exact"/>
        <w:rPr>
          <w:rFonts w:ascii="Arial" w:cs="Arial" w:eastAsia="Arial" w:hAnsi="Arial"/>
          <w:sz w:val="16"/>
          <w:szCs w:val="16"/>
          <w:color w:val="342C82"/>
        </w:rPr>
      </w:pPr>
    </w:p>
    <w:p>
      <w:pPr>
        <w:jc w:val="both"/>
        <w:ind w:left="500" w:right="479" w:hanging="208"/>
        <w:spacing w:after="0" w:line="259" w:lineRule="auto"/>
        <w:tabs>
          <w:tab w:leader="none" w:pos="500" w:val="left"/>
        </w:tabs>
        <w:numPr>
          <w:ilvl w:val="0"/>
          <w:numId w:val="32"/>
        </w:numPr>
        <w:rPr>
          <w:rFonts w:ascii="Arial" w:cs="Arial" w:eastAsia="Arial" w:hAnsi="Arial"/>
          <w:sz w:val="16"/>
          <w:szCs w:val="16"/>
          <w:color w:val="342C82"/>
        </w:rPr>
      </w:pPr>
      <w:r>
        <w:rPr>
          <w:rFonts w:ascii="Arial" w:cs="Arial" w:eastAsia="Arial" w:hAnsi="Arial"/>
          <w:sz w:val="16"/>
          <w:szCs w:val="16"/>
          <w:i w:val="1"/>
          <w:iCs w:val="1"/>
          <w:color w:val="auto"/>
        </w:rPr>
        <w:t>TVUs</w:t>
      </w:r>
      <w:r>
        <w:rPr>
          <w:rFonts w:ascii="Arial" w:cs="Arial" w:eastAsia="Arial" w:hAnsi="Arial"/>
          <w:sz w:val="16"/>
          <w:szCs w:val="16"/>
          <w:color w:val="auto"/>
        </w:rPr>
        <w:t>. TVUs are restricted stock units that represent the right to receive shares of Embecta common stock upon</w:t>
      </w:r>
      <w:r>
        <w:rPr>
          <w:rFonts w:ascii="Arial" w:cs="Arial" w:eastAsia="Arial" w:hAnsi="Arial"/>
          <w:sz w:val="16"/>
          <w:szCs w:val="16"/>
          <w:i w:val="1"/>
          <w:iCs w:val="1"/>
          <w:color w:val="auto"/>
        </w:rPr>
        <w:t xml:space="preserve"> </w:t>
      </w:r>
      <w:r>
        <w:rPr>
          <w:rFonts w:ascii="Arial" w:cs="Arial" w:eastAsia="Arial" w:hAnsi="Arial"/>
          <w:sz w:val="16"/>
          <w:szCs w:val="16"/>
          <w:color w:val="auto"/>
        </w:rPr>
        <w:t>vesting. TVU awards vest in three annual installments based on continued service, beginning one year from the grant date. TVUs are not transferable, and holders cannot vote any shares underlying the award until the shares have been distributed.</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22"/>
          <w:szCs w:val="22"/>
          <w:color w:val="342C82"/>
        </w:rPr>
        <w:t>Long-term incentive award targets</w:t>
      </w:r>
    </w:p>
    <w:p>
      <w:pPr>
        <w:spacing w:after="0" w:line="124" w:lineRule="exact"/>
        <w:rPr>
          <w:sz w:val="20"/>
          <w:szCs w:val="20"/>
          <w:color w:val="auto"/>
        </w:rPr>
      </w:pPr>
    </w:p>
    <w:p>
      <w:pPr>
        <w:ind w:left="300" w:right="319"/>
        <w:spacing w:after="0" w:line="262" w:lineRule="auto"/>
        <w:rPr>
          <w:sz w:val="20"/>
          <w:szCs w:val="20"/>
          <w:color w:val="auto"/>
        </w:rPr>
      </w:pPr>
      <w:r>
        <w:rPr>
          <w:rFonts w:ascii="Arial" w:cs="Arial" w:eastAsia="Arial" w:hAnsi="Arial"/>
          <w:sz w:val="16"/>
          <w:szCs w:val="16"/>
          <w:color w:val="auto"/>
        </w:rPr>
        <w:t>For 2024, our NEOs were eligible to receive a long-term equity incentive award pursuant to the 2022 Plan based on a target annual long-term incentive award value approved by the Compensation Committee. Awards were delivered 50% in PSUs and 50% in TVUs. The following table sets forth the long-term incentive award targets for our NEOs in 2024:</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132080</wp:posOffset>
            </wp:positionV>
            <wp:extent cx="699516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6" w:name="page57"/>
    <w:bookmarkEnd w:id="56"/>
    <w:tbl>
      <w:tblPr>
        <w:tblLayout w:type="fixed"/>
        <w:tblInd w:w="30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2940" w:type="dxa"/>
            <w:vAlign w:val="bottom"/>
          </w:tcPr>
          <w:p>
            <w:pPr>
              <w:spacing w:after="0"/>
              <w:rPr>
                <w:sz w:val="14"/>
                <w:szCs w:val="14"/>
                <w:color w:val="auto"/>
              </w:rPr>
            </w:pPr>
          </w:p>
        </w:tc>
        <w:tc>
          <w:tcPr>
            <w:tcW w:w="3940" w:type="dxa"/>
            <w:vAlign w:val="bottom"/>
          </w:tcPr>
          <w:p>
            <w:pPr>
              <w:spacing w:after="0"/>
              <w:rPr>
                <w:sz w:val="14"/>
                <w:szCs w:val="14"/>
                <w:color w:val="auto"/>
              </w:rPr>
            </w:pPr>
          </w:p>
        </w:tc>
      </w:tr>
      <w:tr>
        <w:trPr>
          <w:trHeight w:val="342"/>
        </w:trPr>
        <w:tc>
          <w:tcPr>
            <w:tcW w:w="4480" w:type="dxa"/>
            <w:vAlign w:val="bottom"/>
            <w:gridSpan w:val="2"/>
          </w:tcPr>
          <w:p>
            <w:pPr>
              <w:spacing w:after="0"/>
              <w:rPr>
                <w:sz w:val="20"/>
                <w:szCs w:val="20"/>
                <w:color w:val="auto"/>
              </w:rPr>
            </w:pPr>
            <w:r>
              <w:rPr>
                <w:rFonts w:ascii="Arial" w:cs="Arial" w:eastAsia="Arial" w:hAnsi="Arial"/>
                <w:sz w:val="16"/>
                <w:szCs w:val="16"/>
                <w:color w:val="342C82"/>
              </w:rPr>
              <w:t>Compensation Discussion and Analysis</w:t>
            </w:r>
          </w:p>
        </w:tc>
        <w:tc>
          <w:tcPr>
            <w:tcW w:w="3940" w:type="dxa"/>
            <w:vAlign w:val="bottom"/>
          </w:tcPr>
          <w:p>
            <w:pPr>
              <w:spacing w:after="0"/>
              <w:rPr>
                <w:sz w:val="24"/>
                <w:szCs w:val="24"/>
                <w:color w:val="auto"/>
              </w:rPr>
            </w:pPr>
          </w:p>
        </w:tc>
      </w:tr>
      <w:tr>
        <w:trPr>
          <w:trHeight w:val="373"/>
        </w:trPr>
        <w:tc>
          <w:tcPr>
            <w:tcW w:w="4480" w:type="dxa"/>
            <w:vAlign w:val="bottom"/>
            <w:gridSpan w:val="2"/>
          </w:tcPr>
          <w:p>
            <w:pPr>
              <w:ind w:left="80"/>
              <w:spacing w:after="0"/>
              <w:rPr>
                <w:sz w:val="20"/>
                <w:szCs w:val="20"/>
                <w:color w:val="auto"/>
              </w:rPr>
            </w:pPr>
            <w:r>
              <w:rPr>
                <w:rFonts w:ascii="Arial" w:cs="Arial" w:eastAsia="Arial" w:hAnsi="Arial"/>
                <w:sz w:val="16"/>
                <w:szCs w:val="16"/>
                <w:b w:val="1"/>
                <w:bCs w:val="1"/>
                <w:color w:val="auto"/>
              </w:rPr>
              <w:t>Named Executive Officer</w:t>
            </w:r>
          </w:p>
        </w:tc>
        <w:tc>
          <w:tcPr>
            <w:tcW w:w="3940" w:type="dxa"/>
            <w:vAlign w:val="bottom"/>
          </w:tcPr>
          <w:p>
            <w:pPr>
              <w:jc w:val="right"/>
              <w:spacing w:after="0"/>
              <w:rPr>
                <w:sz w:val="20"/>
                <w:szCs w:val="20"/>
                <w:color w:val="auto"/>
              </w:rPr>
            </w:pPr>
            <w:r>
              <w:rPr>
                <w:rFonts w:ascii="Arial" w:cs="Arial" w:eastAsia="Arial" w:hAnsi="Arial"/>
                <w:sz w:val="16"/>
                <w:szCs w:val="16"/>
                <w:b w:val="1"/>
                <w:bCs w:val="1"/>
                <w:color w:val="auto"/>
              </w:rPr>
              <w:t>LTI Award Target for FY 2024</w:t>
            </w:r>
          </w:p>
        </w:tc>
      </w:tr>
      <w:tr>
        <w:trPr>
          <w:trHeight w:val="21"/>
        </w:trPr>
        <w:tc>
          <w:tcPr>
            <w:tcW w:w="1540" w:type="dxa"/>
            <w:vAlign w:val="bottom"/>
            <w:tcBorders>
              <w:bottom w:val="single" w:sz="8" w:color="342C82"/>
            </w:tcBorders>
          </w:tcPr>
          <w:p>
            <w:pPr>
              <w:spacing w:after="0" w:line="20" w:lineRule="exact"/>
              <w:rPr>
                <w:sz w:val="1"/>
                <w:szCs w:val="1"/>
                <w:color w:val="auto"/>
              </w:rPr>
            </w:pPr>
          </w:p>
        </w:tc>
        <w:tc>
          <w:tcPr>
            <w:tcW w:w="2940" w:type="dxa"/>
            <w:vAlign w:val="bottom"/>
            <w:tcBorders>
              <w:bottom w:val="single" w:sz="8" w:color="342C82"/>
            </w:tcBorders>
          </w:tcPr>
          <w:p>
            <w:pPr>
              <w:spacing w:after="0" w:line="20" w:lineRule="exact"/>
              <w:rPr>
                <w:sz w:val="1"/>
                <w:szCs w:val="1"/>
                <w:color w:val="auto"/>
              </w:rPr>
            </w:pPr>
          </w:p>
        </w:tc>
        <w:tc>
          <w:tcPr>
            <w:tcW w:w="3940" w:type="dxa"/>
            <w:vAlign w:val="bottom"/>
            <w:tcBorders>
              <w:bottom w:val="single" w:sz="8" w:color="342C82"/>
            </w:tcBorders>
          </w:tcPr>
          <w:p>
            <w:pPr>
              <w:spacing w:after="0" w:line="20" w:lineRule="exact"/>
              <w:rPr>
                <w:sz w:val="1"/>
                <w:szCs w:val="1"/>
                <w:color w:val="auto"/>
              </w:rPr>
            </w:pPr>
          </w:p>
        </w:tc>
      </w:tr>
      <w:tr>
        <w:trPr>
          <w:trHeight w:val="229"/>
        </w:trPr>
        <w:tc>
          <w:tcPr>
            <w:tcW w:w="4480" w:type="dxa"/>
            <w:vAlign w:val="bottom"/>
            <w:gridSpan w:val="2"/>
          </w:tcPr>
          <w:p>
            <w:pPr>
              <w:ind w:left="80"/>
              <w:spacing w:after="0"/>
              <w:rPr>
                <w:sz w:val="20"/>
                <w:szCs w:val="20"/>
                <w:color w:val="auto"/>
              </w:rPr>
            </w:pPr>
            <w:r>
              <w:rPr>
                <w:rFonts w:ascii="Arial" w:cs="Arial" w:eastAsia="Arial" w:hAnsi="Arial"/>
                <w:sz w:val="16"/>
                <w:szCs w:val="16"/>
                <w:b w:val="1"/>
                <w:bCs w:val="1"/>
                <w:color w:val="342C82"/>
              </w:rPr>
              <w:t>Dev Kurdikar</w:t>
            </w:r>
          </w:p>
        </w:tc>
        <w:tc>
          <w:tcPr>
            <w:tcW w:w="3940" w:type="dxa"/>
            <w:vAlign w:val="bottom"/>
          </w:tcPr>
          <w:p>
            <w:pPr>
              <w:jc w:val="right"/>
              <w:spacing w:after="0"/>
              <w:rPr>
                <w:sz w:val="20"/>
                <w:szCs w:val="20"/>
                <w:color w:val="auto"/>
              </w:rPr>
            </w:pPr>
            <w:r>
              <w:rPr>
                <w:rFonts w:ascii="Arial" w:cs="Arial" w:eastAsia="Arial" w:hAnsi="Arial"/>
                <w:sz w:val="16"/>
                <w:szCs w:val="16"/>
                <w:color w:val="auto"/>
              </w:rPr>
              <w:t>$6,250,000</w:t>
            </w:r>
          </w:p>
        </w:tc>
      </w:tr>
      <w:tr>
        <w:trPr>
          <w:trHeight w:val="21"/>
        </w:trPr>
        <w:tc>
          <w:tcPr>
            <w:tcW w:w="1540" w:type="dxa"/>
            <w:vAlign w:val="bottom"/>
            <w:tcBorders>
              <w:bottom w:val="single" w:sz="8" w:color="808080"/>
            </w:tcBorders>
          </w:tcPr>
          <w:p>
            <w:pPr>
              <w:spacing w:after="0" w:line="20" w:lineRule="exact"/>
              <w:rPr>
                <w:sz w:val="1"/>
                <w:szCs w:val="1"/>
                <w:color w:val="auto"/>
              </w:rPr>
            </w:pPr>
          </w:p>
        </w:tc>
        <w:tc>
          <w:tcPr>
            <w:tcW w:w="2940" w:type="dxa"/>
            <w:vAlign w:val="bottom"/>
            <w:tcBorders>
              <w:bottom w:val="single" w:sz="8" w:color="808080"/>
            </w:tcBorders>
          </w:tcPr>
          <w:p>
            <w:pPr>
              <w:spacing w:after="0" w:line="20" w:lineRule="exact"/>
              <w:rPr>
                <w:sz w:val="1"/>
                <w:szCs w:val="1"/>
                <w:color w:val="auto"/>
              </w:rPr>
            </w:pPr>
          </w:p>
        </w:tc>
        <w:tc>
          <w:tcPr>
            <w:tcW w:w="3940" w:type="dxa"/>
            <w:vAlign w:val="bottom"/>
            <w:tcBorders>
              <w:bottom w:val="single" w:sz="8" w:color="808080"/>
            </w:tcBorders>
          </w:tcPr>
          <w:p>
            <w:pPr>
              <w:spacing w:after="0" w:line="20" w:lineRule="exact"/>
              <w:rPr>
                <w:sz w:val="1"/>
                <w:szCs w:val="1"/>
                <w:color w:val="auto"/>
              </w:rPr>
            </w:pPr>
          </w:p>
        </w:tc>
      </w:tr>
      <w:tr>
        <w:trPr>
          <w:trHeight w:val="229"/>
        </w:trPr>
        <w:tc>
          <w:tcPr>
            <w:tcW w:w="4480" w:type="dxa"/>
            <w:vAlign w:val="bottom"/>
            <w:gridSpan w:val="2"/>
          </w:tcPr>
          <w:p>
            <w:pPr>
              <w:ind w:left="80"/>
              <w:spacing w:after="0"/>
              <w:rPr>
                <w:sz w:val="20"/>
                <w:szCs w:val="20"/>
                <w:color w:val="auto"/>
              </w:rPr>
            </w:pPr>
            <w:r>
              <w:rPr>
                <w:rFonts w:ascii="Arial" w:cs="Arial" w:eastAsia="Arial" w:hAnsi="Arial"/>
                <w:sz w:val="16"/>
                <w:szCs w:val="16"/>
                <w:b w:val="1"/>
                <w:bCs w:val="1"/>
                <w:color w:val="342C82"/>
              </w:rPr>
              <w:t>Jake Elguicze</w:t>
            </w:r>
          </w:p>
        </w:tc>
        <w:tc>
          <w:tcPr>
            <w:tcW w:w="3940" w:type="dxa"/>
            <w:vAlign w:val="bottom"/>
          </w:tcPr>
          <w:p>
            <w:pPr>
              <w:jc w:val="right"/>
              <w:spacing w:after="0"/>
              <w:rPr>
                <w:sz w:val="20"/>
                <w:szCs w:val="20"/>
                <w:color w:val="auto"/>
              </w:rPr>
            </w:pPr>
            <w:r>
              <w:rPr>
                <w:rFonts w:ascii="Arial" w:cs="Arial" w:eastAsia="Arial" w:hAnsi="Arial"/>
                <w:sz w:val="16"/>
                <w:szCs w:val="16"/>
                <w:color w:val="auto"/>
              </w:rPr>
              <w:t>$2,000,000</w:t>
            </w:r>
          </w:p>
        </w:tc>
      </w:tr>
      <w:tr>
        <w:trPr>
          <w:trHeight w:val="21"/>
        </w:trPr>
        <w:tc>
          <w:tcPr>
            <w:tcW w:w="1540" w:type="dxa"/>
            <w:vAlign w:val="bottom"/>
            <w:tcBorders>
              <w:bottom w:val="single" w:sz="8" w:color="808080"/>
            </w:tcBorders>
          </w:tcPr>
          <w:p>
            <w:pPr>
              <w:spacing w:after="0" w:line="20" w:lineRule="exact"/>
              <w:rPr>
                <w:sz w:val="1"/>
                <w:szCs w:val="1"/>
                <w:color w:val="auto"/>
              </w:rPr>
            </w:pPr>
          </w:p>
        </w:tc>
        <w:tc>
          <w:tcPr>
            <w:tcW w:w="2940" w:type="dxa"/>
            <w:vAlign w:val="bottom"/>
            <w:tcBorders>
              <w:bottom w:val="single" w:sz="8" w:color="808080"/>
            </w:tcBorders>
          </w:tcPr>
          <w:p>
            <w:pPr>
              <w:spacing w:after="0" w:line="20" w:lineRule="exact"/>
              <w:rPr>
                <w:sz w:val="1"/>
                <w:szCs w:val="1"/>
                <w:color w:val="auto"/>
              </w:rPr>
            </w:pPr>
          </w:p>
        </w:tc>
        <w:tc>
          <w:tcPr>
            <w:tcW w:w="3940" w:type="dxa"/>
            <w:vAlign w:val="bottom"/>
            <w:tcBorders>
              <w:bottom w:val="single" w:sz="8" w:color="808080"/>
            </w:tcBorders>
          </w:tcPr>
          <w:p>
            <w:pPr>
              <w:spacing w:after="0" w:line="20" w:lineRule="exact"/>
              <w:rPr>
                <w:sz w:val="1"/>
                <w:szCs w:val="1"/>
                <w:color w:val="auto"/>
              </w:rPr>
            </w:pPr>
          </w:p>
        </w:tc>
      </w:tr>
      <w:tr>
        <w:trPr>
          <w:trHeight w:val="229"/>
        </w:trPr>
        <w:tc>
          <w:tcPr>
            <w:tcW w:w="4480" w:type="dxa"/>
            <w:vAlign w:val="bottom"/>
            <w:gridSpan w:val="2"/>
          </w:tcPr>
          <w:p>
            <w:pPr>
              <w:ind w:left="80"/>
              <w:spacing w:after="0"/>
              <w:rPr>
                <w:sz w:val="20"/>
                <w:szCs w:val="20"/>
                <w:color w:val="auto"/>
              </w:rPr>
            </w:pPr>
            <w:r>
              <w:rPr>
                <w:rFonts w:ascii="Arial" w:cs="Arial" w:eastAsia="Arial" w:hAnsi="Arial"/>
                <w:sz w:val="16"/>
                <w:szCs w:val="16"/>
                <w:b w:val="1"/>
                <w:bCs w:val="1"/>
                <w:color w:val="342C82"/>
              </w:rPr>
              <w:t>Shaun Curtis</w:t>
            </w:r>
          </w:p>
        </w:tc>
        <w:tc>
          <w:tcPr>
            <w:tcW w:w="3940" w:type="dxa"/>
            <w:vAlign w:val="bottom"/>
          </w:tcPr>
          <w:p>
            <w:pPr>
              <w:jc w:val="right"/>
              <w:spacing w:after="0"/>
              <w:rPr>
                <w:sz w:val="20"/>
                <w:szCs w:val="20"/>
                <w:color w:val="auto"/>
              </w:rPr>
            </w:pPr>
            <w:r>
              <w:rPr>
                <w:rFonts w:ascii="Arial" w:cs="Arial" w:eastAsia="Arial" w:hAnsi="Arial"/>
                <w:sz w:val="16"/>
                <w:szCs w:val="16"/>
                <w:color w:val="auto"/>
              </w:rPr>
              <w:t>$650,000</w:t>
            </w:r>
          </w:p>
        </w:tc>
      </w:tr>
      <w:tr>
        <w:trPr>
          <w:trHeight w:val="21"/>
        </w:trPr>
        <w:tc>
          <w:tcPr>
            <w:tcW w:w="1540" w:type="dxa"/>
            <w:vAlign w:val="bottom"/>
            <w:tcBorders>
              <w:bottom w:val="single" w:sz="8" w:color="808080"/>
            </w:tcBorders>
          </w:tcPr>
          <w:p>
            <w:pPr>
              <w:spacing w:after="0" w:line="20" w:lineRule="exact"/>
              <w:rPr>
                <w:sz w:val="1"/>
                <w:szCs w:val="1"/>
                <w:color w:val="auto"/>
              </w:rPr>
            </w:pPr>
          </w:p>
        </w:tc>
        <w:tc>
          <w:tcPr>
            <w:tcW w:w="2940" w:type="dxa"/>
            <w:vAlign w:val="bottom"/>
            <w:tcBorders>
              <w:bottom w:val="single" w:sz="8" w:color="808080"/>
            </w:tcBorders>
          </w:tcPr>
          <w:p>
            <w:pPr>
              <w:spacing w:after="0" w:line="20" w:lineRule="exact"/>
              <w:rPr>
                <w:sz w:val="1"/>
                <w:szCs w:val="1"/>
                <w:color w:val="auto"/>
              </w:rPr>
            </w:pPr>
          </w:p>
        </w:tc>
        <w:tc>
          <w:tcPr>
            <w:tcW w:w="3940" w:type="dxa"/>
            <w:vAlign w:val="bottom"/>
            <w:tcBorders>
              <w:bottom w:val="single" w:sz="8" w:color="808080"/>
            </w:tcBorders>
          </w:tcPr>
          <w:p>
            <w:pPr>
              <w:spacing w:after="0" w:line="20" w:lineRule="exact"/>
              <w:rPr>
                <w:sz w:val="1"/>
                <w:szCs w:val="1"/>
                <w:color w:val="auto"/>
              </w:rPr>
            </w:pPr>
          </w:p>
        </w:tc>
      </w:tr>
      <w:tr>
        <w:trPr>
          <w:trHeight w:val="229"/>
        </w:trPr>
        <w:tc>
          <w:tcPr>
            <w:tcW w:w="4480" w:type="dxa"/>
            <w:vAlign w:val="bottom"/>
            <w:gridSpan w:val="2"/>
          </w:tcPr>
          <w:p>
            <w:pPr>
              <w:ind w:left="80"/>
              <w:spacing w:after="0"/>
              <w:rPr>
                <w:sz w:val="20"/>
                <w:szCs w:val="20"/>
                <w:color w:val="auto"/>
              </w:rPr>
            </w:pPr>
            <w:r>
              <w:rPr>
                <w:rFonts w:ascii="Arial" w:cs="Arial" w:eastAsia="Arial" w:hAnsi="Arial"/>
                <w:sz w:val="16"/>
                <w:szCs w:val="16"/>
                <w:b w:val="1"/>
                <w:bCs w:val="1"/>
                <w:color w:val="342C82"/>
              </w:rPr>
              <w:t>Jeff Mann</w:t>
            </w:r>
          </w:p>
        </w:tc>
        <w:tc>
          <w:tcPr>
            <w:tcW w:w="3940" w:type="dxa"/>
            <w:vAlign w:val="bottom"/>
          </w:tcPr>
          <w:p>
            <w:pPr>
              <w:jc w:val="right"/>
              <w:spacing w:after="0"/>
              <w:rPr>
                <w:sz w:val="20"/>
                <w:szCs w:val="20"/>
                <w:color w:val="auto"/>
              </w:rPr>
            </w:pPr>
            <w:r>
              <w:rPr>
                <w:rFonts w:ascii="Arial" w:cs="Arial" w:eastAsia="Arial" w:hAnsi="Arial"/>
                <w:sz w:val="16"/>
                <w:szCs w:val="16"/>
                <w:color w:val="auto"/>
              </w:rPr>
              <w:t>$1,600,000</w:t>
            </w:r>
          </w:p>
        </w:tc>
      </w:tr>
      <w:tr>
        <w:trPr>
          <w:trHeight w:val="21"/>
        </w:trPr>
        <w:tc>
          <w:tcPr>
            <w:tcW w:w="1540" w:type="dxa"/>
            <w:vAlign w:val="bottom"/>
            <w:tcBorders>
              <w:bottom w:val="single" w:sz="8" w:color="808080"/>
            </w:tcBorders>
          </w:tcPr>
          <w:p>
            <w:pPr>
              <w:spacing w:after="0" w:line="20" w:lineRule="exact"/>
              <w:rPr>
                <w:sz w:val="1"/>
                <w:szCs w:val="1"/>
                <w:color w:val="auto"/>
              </w:rPr>
            </w:pPr>
          </w:p>
        </w:tc>
        <w:tc>
          <w:tcPr>
            <w:tcW w:w="2940" w:type="dxa"/>
            <w:vAlign w:val="bottom"/>
            <w:tcBorders>
              <w:bottom w:val="single" w:sz="8" w:color="808080"/>
            </w:tcBorders>
          </w:tcPr>
          <w:p>
            <w:pPr>
              <w:spacing w:after="0" w:line="20" w:lineRule="exact"/>
              <w:rPr>
                <w:sz w:val="1"/>
                <w:szCs w:val="1"/>
                <w:color w:val="auto"/>
              </w:rPr>
            </w:pPr>
          </w:p>
        </w:tc>
        <w:tc>
          <w:tcPr>
            <w:tcW w:w="3940" w:type="dxa"/>
            <w:vAlign w:val="bottom"/>
            <w:tcBorders>
              <w:bottom w:val="single" w:sz="8" w:color="808080"/>
            </w:tcBorders>
          </w:tcPr>
          <w:p>
            <w:pPr>
              <w:spacing w:after="0" w:line="20" w:lineRule="exact"/>
              <w:rPr>
                <w:sz w:val="1"/>
                <w:szCs w:val="1"/>
                <w:color w:val="auto"/>
              </w:rPr>
            </w:pPr>
          </w:p>
        </w:tc>
      </w:tr>
      <w:tr>
        <w:trPr>
          <w:trHeight w:val="223"/>
        </w:trPr>
        <w:tc>
          <w:tcPr>
            <w:tcW w:w="4480" w:type="dxa"/>
            <w:vAlign w:val="bottom"/>
            <w:tcBorders>
              <w:bottom w:val="single" w:sz="8" w:color="342C82"/>
            </w:tcBorders>
            <w:gridSpan w:val="2"/>
          </w:tcPr>
          <w:p>
            <w:pPr>
              <w:ind w:left="80"/>
              <w:spacing w:after="0"/>
              <w:rPr>
                <w:sz w:val="20"/>
                <w:szCs w:val="20"/>
                <w:color w:val="auto"/>
              </w:rPr>
            </w:pPr>
            <w:r>
              <w:rPr>
                <w:rFonts w:ascii="Arial" w:cs="Arial" w:eastAsia="Arial" w:hAnsi="Arial"/>
                <w:sz w:val="16"/>
                <w:szCs w:val="16"/>
                <w:b w:val="1"/>
                <w:bCs w:val="1"/>
                <w:color w:val="342C82"/>
              </w:rPr>
              <w:t>Jean Casner</w:t>
            </w:r>
          </w:p>
        </w:tc>
        <w:tc>
          <w:tcPr>
            <w:tcW w:w="3940" w:type="dxa"/>
            <w:vAlign w:val="bottom"/>
            <w:tcBorders>
              <w:bottom w:val="single" w:sz="8" w:color="342C82"/>
            </w:tcBorders>
          </w:tcPr>
          <w:p>
            <w:pPr>
              <w:jc w:val="right"/>
              <w:spacing w:after="0"/>
              <w:rPr>
                <w:sz w:val="20"/>
                <w:szCs w:val="20"/>
                <w:color w:val="auto"/>
              </w:rPr>
            </w:pPr>
            <w:r>
              <w:rPr>
                <w:rFonts w:ascii="Arial" w:cs="Arial" w:eastAsia="Arial" w:hAnsi="Arial"/>
                <w:sz w:val="16"/>
                <w:szCs w:val="16"/>
                <w:color w:val="auto"/>
              </w:rPr>
              <w:t>$530,000</w:t>
            </w:r>
          </w:p>
        </w:tc>
      </w:tr>
    </w:tbl>
    <w:p>
      <w:pPr>
        <w:spacing w:after="0" w:line="230" w:lineRule="exact"/>
        <w:rPr>
          <w:sz w:val="20"/>
          <w:szCs w:val="20"/>
          <w:color w:val="auto"/>
        </w:rPr>
      </w:pPr>
    </w:p>
    <w:p>
      <w:pPr>
        <w:ind w:left="300"/>
        <w:spacing w:after="0"/>
        <w:rPr>
          <w:sz w:val="20"/>
          <w:szCs w:val="20"/>
          <w:color w:val="auto"/>
        </w:rPr>
      </w:pPr>
      <w:r>
        <w:rPr>
          <w:rFonts w:ascii="Arial" w:cs="Arial" w:eastAsia="Arial" w:hAnsi="Arial"/>
          <w:sz w:val="22"/>
          <w:szCs w:val="22"/>
          <w:color w:val="342C82"/>
        </w:rPr>
        <w:t>Fiscal 2024-2026 PSU Grants</w:t>
      </w:r>
    </w:p>
    <w:p>
      <w:pPr>
        <w:spacing w:after="0" w:line="124" w:lineRule="exact"/>
        <w:rPr>
          <w:sz w:val="20"/>
          <w:szCs w:val="20"/>
          <w:color w:val="auto"/>
        </w:rPr>
      </w:pPr>
    </w:p>
    <w:p>
      <w:pPr>
        <w:ind w:left="300" w:right="319"/>
        <w:spacing w:after="0" w:line="251" w:lineRule="auto"/>
        <w:rPr>
          <w:sz w:val="20"/>
          <w:szCs w:val="20"/>
          <w:color w:val="auto"/>
        </w:rPr>
      </w:pPr>
      <w:r>
        <w:rPr>
          <w:rFonts w:ascii="Arial" w:cs="Arial" w:eastAsia="Arial" w:hAnsi="Arial"/>
          <w:sz w:val="16"/>
          <w:szCs w:val="16"/>
          <w:color w:val="auto"/>
        </w:rPr>
        <w:t>The PSUs awarded in FY 2024 may be earned based on achievement of three-year cumulative financial metrics. The cumulative financial goals are the sum of annual targets set by the Compensation Committee which align with the approved budget in each fiscal year. The PSUs are also subject to a minimum performance threshold: if the Adjusted EBITDA % for the Company does not exceed 20% cumulative for the first two years of the PSUs performance period, none of the PSU awards will vest, regardless of performance achieved. The Compensation Committee, in partnership with the independent consultant, developed this cumulative target approach in light of the Company’s recent spin and dynamic operations. These factors make setting cumulative three-year goals impractical until the business is stabilized. The Committee views this plan design as a temporary solution with the goal to move to a more traditional plan design in the near future.</w:t>
      </w:r>
    </w:p>
    <w:p>
      <w:pPr>
        <w:spacing w:after="0" w:line="131" w:lineRule="exact"/>
        <w:rPr>
          <w:sz w:val="20"/>
          <w:szCs w:val="20"/>
          <w:color w:val="auto"/>
        </w:rPr>
      </w:pPr>
    </w:p>
    <w:p>
      <w:pPr>
        <w:ind w:left="300" w:right="339"/>
        <w:spacing w:after="0" w:line="266" w:lineRule="auto"/>
        <w:rPr>
          <w:sz w:val="20"/>
          <w:szCs w:val="20"/>
          <w:color w:val="auto"/>
        </w:rPr>
      </w:pPr>
      <w:r>
        <w:rPr>
          <w:rFonts w:ascii="Arial" w:cs="Arial" w:eastAsia="Arial" w:hAnsi="Arial"/>
          <w:sz w:val="16"/>
          <w:szCs w:val="16"/>
          <w:color w:val="auto"/>
        </w:rPr>
        <w:t>When awarding PSUs for the FY 2024-2026 period, the Compensation Committee used the following performance metrics: Adjusted Constant Currency Revenue Growth %, weighted 60% and Adjusted Operating Income $, weighted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74930</wp:posOffset>
            </wp:positionV>
            <wp:extent cx="534924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5" w:lineRule="exact"/>
        <w:rPr>
          <w:sz w:val="20"/>
          <w:szCs w:val="20"/>
          <w:color w:val="auto"/>
        </w:rPr>
      </w:pPr>
    </w:p>
    <w:tbl>
      <w:tblPr>
        <w:tblLayout w:type="fixed"/>
        <w:tblInd w:w="300" w:type="dxa"/>
        <w:tblCellMar>
          <w:top w:w="0" w:type="dxa"/>
          <w:left w:w="0" w:type="dxa"/>
          <w:bottom w:w="0" w:type="dxa"/>
          <w:right w:w="0" w:type="dxa"/>
        </w:tblCellMar>
      </w:tblPr>
      <w:tr>
        <w:trPr>
          <w:trHeight w:val="189"/>
        </w:trPr>
        <w:tc>
          <w:tcPr>
            <w:tcW w:w="2280" w:type="dxa"/>
            <w:vAlign w:val="bottom"/>
          </w:tcPr>
          <w:p>
            <w:pPr>
              <w:ind w:left="160"/>
              <w:spacing w:after="0"/>
              <w:rPr>
                <w:sz w:val="20"/>
                <w:szCs w:val="20"/>
                <w:color w:val="auto"/>
              </w:rPr>
            </w:pPr>
            <w:r>
              <w:rPr>
                <w:rFonts w:ascii="Arial" w:cs="Arial" w:eastAsia="Arial" w:hAnsi="Arial"/>
                <w:sz w:val="16"/>
                <w:szCs w:val="16"/>
                <w:b w:val="1"/>
                <w:bCs w:val="1"/>
                <w:color w:val="342C82"/>
              </w:rPr>
              <w:t>Adjusted Constant</w:t>
            </w:r>
          </w:p>
        </w:tc>
        <w:tc>
          <w:tcPr>
            <w:tcW w:w="6140" w:type="dxa"/>
            <w:vAlign w:val="bottom"/>
            <w:gridSpan w:val="2"/>
          </w:tcPr>
          <w:p>
            <w:pPr>
              <w:ind w:left="80"/>
              <w:spacing w:after="0"/>
              <w:rPr>
                <w:sz w:val="20"/>
                <w:szCs w:val="20"/>
                <w:color w:val="auto"/>
              </w:rPr>
            </w:pPr>
            <w:r>
              <w:rPr>
                <w:rFonts w:ascii="Arial" w:cs="Arial" w:eastAsia="Arial" w:hAnsi="Arial"/>
                <w:sz w:val="16"/>
                <w:szCs w:val="16"/>
                <w:color w:val="auto"/>
              </w:rPr>
              <w:t>This measure is defined as the year over year change in revenues, excluding (i)</w:t>
            </w:r>
          </w:p>
        </w:tc>
      </w:tr>
      <w:tr>
        <w:trPr>
          <w:trHeight w:val="189"/>
        </w:trPr>
        <w:tc>
          <w:tcPr>
            <w:tcW w:w="2280" w:type="dxa"/>
            <w:vAlign w:val="bottom"/>
          </w:tcPr>
          <w:p>
            <w:pPr>
              <w:ind w:left="160"/>
              <w:spacing w:after="0"/>
              <w:rPr>
                <w:sz w:val="20"/>
                <w:szCs w:val="20"/>
                <w:color w:val="auto"/>
              </w:rPr>
            </w:pPr>
            <w:r>
              <w:rPr>
                <w:rFonts w:ascii="Arial" w:cs="Arial" w:eastAsia="Arial" w:hAnsi="Arial"/>
                <w:sz w:val="16"/>
                <w:szCs w:val="16"/>
                <w:b w:val="1"/>
                <w:bCs w:val="1"/>
                <w:color w:val="342C82"/>
              </w:rPr>
              <w:t>Currency Revenue Growth</w:t>
            </w:r>
          </w:p>
        </w:tc>
        <w:tc>
          <w:tcPr>
            <w:tcW w:w="6140" w:type="dxa"/>
            <w:vAlign w:val="bottom"/>
            <w:gridSpan w:val="2"/>
          </w:tcPr>
          <w:p>
            <w:pPr>
              <w:ind w:left="80"/>
              <w:spacing w:after="0"/>
              <w:rPr>
                <w:sz w:val="20"/>
                <w:szCs w:val="20"/>
                <w:color w:val="auto"/>
              </w:rPr>
            </w:pPr>
            <w:r>
              <w:rPr>
                <w:rFonts w:ascii="Arial" w:cs="Arial" w:eastAsia="Arial" w:hAnsi="Arial"/>
                <w:sz w:val="16"/>
                <w:szCs w:val="16"/>
                <w:color w:val="auto"/>
              </w:rPr>
              <w:t>the Italian payback measure and (ii) the impact of fluctuations in foreign</w:t>
            </w:r>
          </w:p>
        </w:tc>
      </w:tr>
      <w:tr>
        <w:trPr>
          <w:trHeight w:val="189"/>
        </w:trPr>
        <w:tc>
          <w:tcPr>
            <w:tcW w:w="2280" w:type="dxa"/>
            <w:vAlign w:val="bottom"/>
          </w:tcPr>
          <w:p>
            <w:pPr>
              <w:ind w:left="160"/>
              <w:spacing w:after="0"/>
              <w:rPr>
                <w:sz w:val="20"/>
                <w:szCs w:val="20"/>
                <w:color w:val="auto"/>
              </w:rPr>
            </w:pPr>
            <w:r>
              <w:rPr>
                <w:rFonts w:ascii="Arial" w:cs="Arial" w:eastAsia="Arial" w:hAnsi="Arial"/>
                <w:sz w:val="16"/>
                <w:szCs w:val="16"/>
                <w:b w:val="1"/>
                <w:bCs w:val="1"/>
                <w:color w:val="342C82"/>
              </w:rPr>
              <w:t>%</w:t>
            </w:r>
          </w:p>
        </w:tc>
        <w:tc>
          <w:tcPr>
            <w:tcW w:w="6140" w:type="dxa"/>
            <w:vAlign w:val="bottom"/>
            <w:gridSpan w:val="2"/>
          </w:tcPr>
          <w:p>
            <w:pPr>
              <w:ind w:left="80"/>
              <w:spacing w:after="0"/>
              <w:rPr>
                <w:sz w:val="20"/>
                <w:szCs w:val="20"/>
                <w:color w:val="auto"/>
              </w:rPr>
            </w:pPr>
            <w:r>
              <w:rPr>
                <w:rFonts w:ascii="Arial" w:cs="Arial" w:eastAsia="Arial" w:hAnsi="Arial"/>
                <w:sz w:val="16"/>
                <w:szCs w:val="16"/>
                <w:color w:val="auto"/>
              </w:rPr>
              <w:t>exchange rates by comparing results between periods as if exchange rates had</w:t>
            </w:r>
          </w:p>
        </w:tc>
      </w:tr>
      <w:tr>
        <w:trPr>
          <w:trHeight w:val="215"/>
        </w:trPr>
        <w:tc>
          <w:tcPr>
            <w:tcW w:w="2280" w:type="dxa"/>
            <w:vAlign w:val="bottom"/>
          </w:tcPr>
          <w:p>
            <w:pPr>
              <w:spacing w:after="0"/>
              <w:rPr>
                <w:sz w:val="18"/>
                <w:szCs w:val="18"/>
                <w:color w:val="auto"/>
              </w:rPr>
            </w:pPr>
          </w:p>
        </w:tc>
        <w:tc>
          <w:tcPr>
            <w:tcW w:w="6140" w:type="dxa"/>
            <w:vAlign w:val="bottom"/>
            <w:gridSpan w:val="2"/>
          </w:tcPr>
          <w:p>
            <w:pPr>
              <w:ind w:left="80"/>
              <w:spacing w:after="0"/>
              <w:rPr>
                <w:sz w:val="20"/>
                <w:szCs w:val="20"/>
                <w:color w:val="auto"/>
              </w:rPr>
            </w:pPr>
            <w:r>
              <w:rPr>
                <w:rFonts w:ascii="Arial" w:cs="Arial" w:eastAsia="Arial" w:hAnsi="Arial"/>
                <w:sz w:val="16"/>
                <w:szCs w:val="16"/>
                <w:color w:val="auto"/>
              </w:rPr>
              <w:t>remained constant.</w:t>
            </w:r>
          </w:p>
        </w:tc>
      </w:tr>
      <w:tr>
        <w:trPr>
          <w:trHeight w:val="56"/>
        </w:trPr>
        <w:tc>
          <w:tcPr>
            <w:tcW w:w="2280" w:type="dxa"/>
            <w:vAlign w:val="bottom"/>
            <w:tcBorders>
              <w:bottom w:val="single" w:sz="8" w:color="808080"/>
            </w:tcBorders>
          </w:tcPr>
          <w:p>
            <w:pPr>
              <w:spacing w:after="0"/>
              <w:rPr>
                <w:sz w:val="4"/>
                <w:szCs w:val="4"/>
                <w:color w:val="auto"/>
              </w:rPr>
            </w:pPr>
          </w:p>
        </w:tc>
        <w:tc>
          <w:tcPr>
            <w:tcW w:w="6020" w:type="dxa"/>
            <w:vAlign w:val="bottom"/>
            <w:tcBorders>
              <w:bottom w:val="single" w:sz="8" w:color="808080"/>
            </w:tcBorders>
          </w:tcPr>
          <w:p>
            <w:pPr>
              <w:spacing w:after="0"/>
              <w:rPr>
                <w:sz w:val="4"/>
                <w:szCs w:val="4"/>
                <w:color w:val="auto"/>
              </w:rPr>
            </w:pPr>
          </w:p>
        </w:tc>
        <w:tc>
          <w:tcPr>
            <w:tcW w:w="120" w:type="dxa"/>
            <w:vAlign w:val="bottom"/>
          </w:tcPr>
          <w:p>
            <w:pPr>
              <w:spacing w:after="0"/>
              <w:rPr>
                <w:sz w:val="4"/>
                <w:szCs w:val="4"/>
                <w:color w:val="auto"/>
              </w:rPr>
            </w:pPr>
          </w:p>
        </w:tc>
      </w:tr>
      <w:tr>
        <w:trPr>
          <w:trHeight w:val="222"/>
        </w:trPr>
        <w:tc>
          <w:tcPr>
            <w:tcW w:w="2280" w:type="dxa"/>
            <w:vAlign w:val="bottom"/>
          </w:tcPr>
          <w:p>
            <w:pPr>
              <w:ind w:left="160"/>
              <w:spacing w:after="0"/>
              <w:rPr>
                <w:sz w:val="20"/>
                <w:szCs w:val="20"/>
                <w:color w:val="auto"/>
              </w:rPr>
            </w:pPr>
            <w:r>
              <w:rPr>
                <w:rFonts w:ascii="Arial" w:cs="Arial" w:eastAsia="Arial" w:hAnsi="Arial"/>
                <w:sz w:val="16"/>
                <w:szCs w:val="16"/>
                <w:b w:val="1"/>
                <w:bCs w:val="1"/>
                <w:color w:val="342C82"/>
              </w:rPr>
              <w:t>Adjusted Operating</w:t>
            </w:r>
          </w:p>
        </w:tc>
        <w:tc>
          <w:tcPr>
            <w:tcW w:w="6140" w:type="dxa"/>
            <w:vAlign w:val="bottom"/>
            <w:gridSpan w:val="2"/>
          </w:tcPr>
          <w:p>
            <w:pPr>
              <w:ind w:left="80"/>
              <w:spacing w:after="0"/>
              <w:rPr>
                <w:sz w:val="20"/>
                <w:szCs w:val="20"/>
                <w:color w:val="auto"/>
              </w:rPr>
            </w:pPr>
            <w:r>
              <w:rPr>
                <w:rFonts w:ascii="Arial" w:cs="Arial" w:eastAsia="Arial" w:hAnsi="Arial"/>
                <w:sz w:val="16"/>
                <w:szCs w:val="16"/>
                <w:color w:val="auto"/>
              </w:rPr>
              <w:t>This measure is defined as operating income excluding certain items that affect</w:t>
            </w:r>
          </w:p>
        </w:tc>
      </w:tr>
      <w:tr>
        <w:trPr>
          <w:trHeight w:val="189"/>
        </w:trPr>
        <w:tc>
          <w:tcPr>
            <w:tcW w:w="2280" w:type="dxa"/>
            <w:vAlign w:val="bottom"/>
          </w:tcPr>
          <w:p>
            <w:pPr>
              <w:ind w:left="160"/>
              <w:spacing w:after="0"/>
              <w:rPr>
                <w:sz w:val="20"/>
                <w:szCs w:val="20"/>
                <w:color w:val="auto"/>
              </w:rPr>
            </w:pPr>
            <w:r>
              <w:rPr>
                <w:rFonts w:ascii="Arial" w:cs="Arial" w:eastAsia="Arial" w:hAnsi="Arial"/>
                <w:sz w:val="16"/>
                <w:szCs w:val="16"/>
                <w:b w:val="1"/>
                <w:bCs w:val="1"/>
                <w:color w:val="342C82"/>
              </w:rPr>
              <w:t>Income $</w:t>
            </w:r>
          </w:p>
        </w:tc>
        <w:tc>
          <w:tcPr>
            <w:tcW w:w="6140" w:type="dxa"/>
            <w:vAlign w:val="bottom"/>
            <w:gridSpan w:val="2"/>
          </w:tcPr>
          <w:p>
            <w:pPr>
              <w:ind w:left="80"/>
              <w:spacing w:after="0"/>
              <w:rPr>
                <w:sz w:val="20"/>
                <w:szCs w:val="20"/>
                <w:color w:val="auto"/>
              </w:rPr>
            </w:pPr>
            <w:r>
              <w:rPr>
                <w:rFonts w:ascii="Arial" w:cs="Arial" w:eastAsia="Arial" w:hAnsi="Arial"/>
                <w:sz w:val="16"/>
                <w:szCs w:val="16"/>
                <w:color w:val="auto"/>
              </w:rPr>
              <w:t>comparability of operating results and the trend of earnings. These adjustments</w:t>
            </w:r>
          </w:p>
        </w:tc>
      </w:tr>
      <w:tr>
        <w:trPr>
          <w:trHeight w:val="189"/>
        </w:trPr>
        <w:tc>
          <w:tcPr>
            <w:tcW w:w="2280" w:type="dxa"/>
            <w:vAlign w:val="bottom"/>
          </w:tcPr>
          <w:p>
            <w:pPr>
              <w:spacing w:after="0"/>
              <w:rPr>
                <w:sz w:val="16"/>
                <w:szCs w:val="16"/>
                <w:color w:val="auto"/>
              </w:rPr>
            </w:pPr>
          </w:p>
        </w:tc>
        <w:tc>
          <w:tcPr>
            <w:tcW w:w="6140" w:type="dxa"/>
            <w:vAlign w:val="bottom"/>
            <w:gridSpan w:val="2"/>
          </w:tcPr>
          <w:p>
            <w:pPr>
              <w:ind w:left="80"/>
              <w:spacing w:after="0"/>
              <w:rPr>
                <w:sz w:val="20"/>
                <w:szCs w:val="20"/>
                <w:color w:val="auto"/>
              </w:rPr>
            </w:pPr>
            <w:r>
              <w:rPr>
                <w:rFonts w:ascii="Arial" w:cs="Arial" w:eastAsia="Arial" w:hAnsi="Arial"/>
                <w:sz w:val="16"/>
                <w:szCs w:val="16"/>
                <w:color w:val="auto"/>
              </w:rPr>
              <w:t>are either non-cash or irregular in nature, may not be indicative of our past and</w:t>
            </w:r>
          </w:p>
        </w:tc>
      </w:tr>
      <w:tr>
        <w:trPr>
          <w:trHeight w:val="189"/>
        </w:trPr>
        <w:tc>
          <w:tcPr>
            <w:tcW w:w="2280" w:type="dxa"/>
            <w:vAlign w:val="bottom"/>
          </w:tcPr>
          <w:p>
            <w:pPr>
              <w:spacing w:after="0"/>
              <w:rPr>
                <w:sz w:val="16"/>
                <w:szCs w:val="16"/>
                <w:color w:val="auto"/>
              </w:rPr>
            </w:pPr>
          </w:p>
        </w:tc>
        <w:tc>
          <w:tcPr>
            <w:tcW w:w="6140" w:type="dxa"/>
            <w:vAlign w:val="bottom"/>
            <w:gridSpan w:val="2"/>
          </w:tcPr>
          <w:p>
            <w:pPr>
              <w:ind w:left="80"/>
              <w:spacing w:after="0"/>
              <w:rPr>
                <w:sz w:val="20"/>
                <w:szCs w:val="20"/>
                <w:color w:val="auto"/>
              </w:rPr>
            </w:pPr>
            <w:r>
              <w:rPr>
                <w:rFonts w:ascii="Arial" w:cs="Arial" w:eastAsia="Arial" w:hAnsi="Arial"/>
                <w:sz w:val="16"/>
                <w:szCs w:val="16"/>
                <w:color w:val="auto"/>
              </w:rPr>
              <w:t>future performance and are therefore excluded to allow investors to better</w:t>
            </w:r>
          </w:p>
        </w:tc>
      </w:tr>
      <w:tr>
        <w:trPr>
          <w:trHeight w:val="189"/>
        </w:trPr>
        <w:tc>
          <w:tcPr>
            <w:tcW w:w="2280" w:type="dxa"/>
            <w:vAlign w:val="bottom"/>
          </w:tcPr>
          <w:p>
            <w:pPr>
              <w:spacing w:after="0"/>
              <w:rPr>
                <w:sz w:val="16"/>
                <w:szCs w:val="16"/>
                <w:color w:val="auto"/>
              </w:rPr>
            </w:pPr>
          </w:p>
        </w:tc>
        <w:tc>
          <w:tcPr>
            <w:tcW w:w="6140" w:type="dxa"/>
            <w:vAlign w:val="bottom"/>
            <w:gridSpan w:val="2"/>
          </w:tcPr>
          <w:p>
            <w:pPr>
              <w:ind w:left="80"/>
              <w:spacing w:after="0"/>
              <w:rPr>
                <w:sz w:val="20"/>
                <w:szCs w:val="20"/>
                <w:color w:val="auto"/>
              </w:rPr>
            </w:pPr>
            <w:r>
              <w:rPr>
                <w:rFonts w:ascii="Arial" w:cs="Arial" w:eastAsia="Arial" w:hAnsi="Arial"/>
                <w:sz w:val="16"/>
                <w:szCs w:val="16"/>
                <w:color w:val="auto"/>
              </w:rPr>
              <w:t>understand underlying operating trends. The following are examples of the types</w:t>
            </w:r>
          </w:p>
        </w:tc>
      </w:tr>
      <w:tr>
        <w:trPr>
          <w:trHeight w:val="189"/>
        </w:trPr>
        <w:tc>
          <w:tcPr>
            <w:tcW w:w="2280" w:type="dxa"/>
            <w:vAlign w:val="bottom"/>
          </w:tcPr>
          <w:p>
            <w:pPr>
              <w:spacing w:after="0"/>
              <w:rPr>
                <w:sz w:val="16"/>
                <w:szCs w:val="16"/>
                <w:color w:val="auto"/>
              </w:rPr>
            </w:pPr>
          </w:p>
        </w:tc>
        <w:tc>
          <w:tcPr>
            <w:tcW w:w="6140" w:type="dxa"/>
            <w:vAlign w:val="bottom"/>
            <w:gridSpan w:val="2"/>
          </w:tcPr>
          <w:p>
            <w:pPr>
              <w:ind w:left="80"/>
              <w:spacing w:after="0"/>
              <w:rPr>
                <w:sz w:val="20"/>
                <w:szCs w:val="20"/>
                <w:color w:val="auto"/>
              </w:rPr>
            </w:pPr>
            <w:r>
              <w:rPr>
                <w:rFonts w:ascii="Arial" w:cs="Arial" w:eastAsia="Arial" w:hAnsi="Arial"/>
                <w:sz w:val="16"/>
                <w:szCs w:val="16"/>
                <w:color w:val="auto"/>
              </w:rPr>
              <w:t>of adjustments that are excluded: share-based compensation, impairment losses,</w:t>
            </w:r>
          </w:p>
        </w:tc>
      </w:tr>
      <w:tr>
        <w:trPr>
          <w:trHeight w:val="189"/>
        </w:trPr>
        <w:tc>
          <w:tcPr>
            <w:tcW w:w="2280" w:type="dxa"/>
            <w:vAlign w:val="bottom"/>
          </w:tcPr>
          <w:p>
            <w:pPr>
              <w:spacing w:after="0"/>
              <w:rPr>
                <w:sz w:val="16"/>
                <w:szCs w:val="16"/>
                <w:color w:val="auto"/>
              </w:rPr>
            </w:pPr>
          </w:p>
        </w:tc>
        <w:tc>
          <w:tcPr>
            <w:tcW w:w="6140" w:type="dxa"/>
            <w:vAlign w:val="bottom"/>
            <w:gridSpan w:val="2"/>
          </w:tcPr>
          <w:p>
            <w:pPr>
              <w:ind w:left="80"/>
              <w:spacing w:after="0"/>
              <w:rPr>
                <w:sz w:val="20"/>
                <w:szCs w:val="20"/>
                <w:color w:val="auto"/>
              </w:rPr>
            </w:pPr>
            <w:r>
              <w:rPr>
                <w:rFonts w:ascii="Arial" w:cs="Arial" w:eastAsia="Arial" w:hAnsi="Arial"/>
                <w:sz w:val="16"/>
                <w:szCs w:val="16"/>
                <w:color w:val="auto"/>
              </w:rPr>
              <w:t>costs associated with the Separation and other significant items management</w:t>
            </w:r>
          </w:p>
        </w:tc>
      </w:tr>
      <w:tr>
        <w:trPr>
          <w:trHeight w:val="189"/>
        </w:trPr>
        <w:tc>
          <w:tcPr>
            <w:tcW w:w="2280" w:type="dxa"/>
            <w:vAlign w:val="bottom"/>
          </w:tcPr>
          <w:p>
            <w:pPr>
              <w:spacing w:after="0"/>
              <w:rPr>
                <w:sz w:val="16"/>
                <w:szCs w:val="16"/>
                <w:color w:val="auto"/>
              </w:rPr>
            </w:pPr>
          </w:p>
        </w:tc>
        <w:tc>
          <w:tcPr>
            <w:tcW w:w="6140" w:type="dxa"/>
            <w:vAlign w:val="bottom"/>
            <w:gridSpan w:val="2"/>
          </w:tcPr>
          <w:p>
            <w:pPr>
              <w:ind w:left="80"/>
              <w:spacing w:after="0"/>
              <w:rPr>
                <w:sz w:val="20"/>
                <w:szCs w:val="20"/>
                <w:color w:val="auto"/>
              </w:rPr>
            </w:pPr>
            <w:r>
              <w:rPr>
                <w:rFonts w:ascii="Arial" w:cs="Arial" w:eastAsia="Arial" w:hAnsi="Arial"/>
                <w:sz w:val="16"/>
                <w:szCs w:val="16"/>
                <w:color w:val="auto"/>
              </w:rPr>
              <w:t>deems irregular or non-operating in nature. This measure excludes the impact of</w:t>
            </w:r>
          </w:p>
        </w:tc>
      </w:tr>
      <w:tr>
        <w:trPr>
          <w:trHeight w:val="215"/>
        </w:trPr>
        <w:tc>
          <w:tcPr>
            <w:tcW w:w="2280" w:type="dxa"/>
            <w:vAlign w:val="bottom"/>
          </w:tcPr>
          <w:p>
            <w:pPr>
              <w:spacing w:after="0"/>
              <w:rPr>
                <w:sz w:val="18"/>
                <w:szCs w:val="18"/>
                <w:color w:val="auto"/>
              </w:rPr>
            </w:pPr>
          </w:p>
        </w:tc>
        <w:tc>
          <w:tcPr>
            <w:tcW w:w="6140" w:type="dxa"/>
            <w:vAlign w:val="bottom"/>
            <w:gridSpan w:val="2"/>
          </w:tcPr>
          <w:p>
            <w:pPr>
              <w:ind w:left="80"/>
              <w:spacing w:after="0"/>
              <w:rPr>
                <w:sz w:val="20"/>
                <w:szCs w:val="20"/>
                <w:color w:val="auto"/>
              </w:rPr>
            </w:pPr>
            <w:r>
              <w:rPr>
                <w:rFonts w:ascii="Arial" w:cs="Arial" w:eastAsia="Arial" w:hAnsi="Arial"/>
                <w:sz w:val="16"/>
                <w:szCs w:val="16"/>
                <w:color w:val="auto"/>
              </w:rPr>
              <w:t>fluctuations in foreign exchange rates since the setting of the PSU plan targets.</w:t>
            </w:r>
          </w:p>
        </w:tc>
      </w:tr>
      <w:tr>
        <w:trPr>
          <w:trHeight w:val="43"/>
        </w:trPr>
        <w:tc>
          <w:tcPr>
            <w:tcW w:w="2280" w:type="dxa"/>
            <w:vAlign w:val="bottom"/>
            <w:tcBorders>
              <w:bottom w:val="single" w:sz="8" w:color="342C82"/>
            </w:tcBorders>
          </w:tcPr>
          <w:p>
            <w:pPr>
              <w:spacing w:after="0"/>
              <w:rPr>
                <w:sz w:val="3"/>
                <w:szCs w:val="3"/>
                <w:color w:val="auto"/>
              </w:rPr>
            </w:pPr>
          </w:p>
        </w:tc>
        <w:tc>
          <w:tcPr>
            <w:tcW w:w="6020" w:type="dxa"/>
            <w:vAlign w:val="bottom"/>
            <w:tcBorders>
              <w:bottom w:val="single" w:sz="8" w:color="342C82"/>
            </w:tcBorders>
          </w:tcPr>
          <w:p>
            <w:pPr>
              <w:spacing w:after="0"/>
              <w:rPr>
                <w:sz w:val="3"/>
                <w:szCs w:val="3"/>
                <w:color w:val="auto"/>
              </w:rPr>
            </w:pPr>
          </w:p>
        </w:tc>
        <w:tc>
          <w:tcPr>
            <w:tcW w:w="120" w:type="dxa"/>
            <w:vAlign w:val="bottom"/>
            <w:tcBorders>
              <w:bottom w:val="single" w:sz="8" w:color="342C82"/>
            </w:tcBorders>
          </w:tcPr>
          <w:p>
            <w:pPr>
              <w:spacing w:after="0"/>
              <w:rPr>
                <w:sz w:val="3"/>
                <w:szCs w:val="3"/>
                <w:color w:val="auto"/>
              </w:rPr>
            </w:pPr>
          </w:p>
        </w:tc>
      </w:tr>
    </w:tbl>
    <w:p>
      <w:pPr>
        <w:spacing w:after="0" w:line="161"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342C82"/>
        </w:rPr>
        <w:t>Fiscal 2024-2026 PSU Grants Incentive Target, Performance and Payout Ranges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200660</wp:posOffset>
            </wp:positionV>
            <wp:extent cx="5297805" cy="13455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297805" cy="1345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 </w:t>
      </w:r>
    </w:p>
    <w:p>
      <w:pPr>
        <w:spacing w:after="0" w:line="167" w:lineRule="exact"/>
        <w:rPr>
          <w:sz w:val="20"/>
          <w:szCs w:val="20"/>
          <w:color w:val="auto"/>
        </w:rPr>
      </w:pPr>
    </w:p>
    <w:p>
      <w:pPr>
        <w:ind w:left="300" w:right="559"/>
        <w:spacing w:after="0" w:line="286" w:lineRule="auto"/>
        <w:rPr>
          <w:sz w:val="20"/>
          <w:szCs w:val="20"/>
          <w:color w:val="auto"/>
        </w:rPr>
      </w:pPr>
      <w:r>
        <w:rPr>
          <w:rFonts w:ascii="Arial" w:cs="Arial" w:eastAsia="Arial" w:hAnsi="Arial"/>
          <w:sz w:val="16"/>
          <w:szCs w:val="16"/>
          <w:i w:val="1"/>
          <w:iCs w:val="1"/>
          <w:color w:val="auto"/>
        </w:rPr>
        <w:t>Targets</w:t>
      </w:r>
      <w:r>
        <w:rPr>
          <w:rFonts w:ascii="Arial" w:cs="Arial" w:eastAsia="Arial" w:hAnsi="Arial"/>
          <w:sz w:val="16"/>
          <w:szCs w:val="16"/>
          <w:color w:val="auto"/>
        </w:rPr>
        <w:t>. The Compensation Committee approved the performance targets for the PSUs awarded in FY 2024 to be</w:t>
      </w:r>
      <w:r>
        <w:rPr>
          <w:rFonts w:ascii="Arial" w:cs="Arial" w:eastAsia="Arial" w:hAnsi="Arial"/>
          <w:sz w:val="16"/>
          <w:szCs w:val="16"/>
          <w:i w:val="1"/>
          <w:iCs w:val="1"/>
          <w:color w:val="auto"/>
        </w:rPr>
        <w:t xml:space="preserve"> </w:t>
      </w:r>
      <w:r>
        <w:rPr>
          <w:rFonts w:ascii="Arial" w:cs="Arial" w:eastAsia="Arial" w:hAnsi="Arial"/>
          <w:sz w:val="16"/>
          <w:szCs w:val="16"/>
          <w:color w:val="auto"/>
        </w:rPr>
        <w:t>set as the sum of the annual targets in the performance period. The first-year targets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123825</wp:posOffset>
            </wp:positionV>
            <wp:extent cx="699516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7" w:name="page58"/>
    <w:bookmarkEnd w:id="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5880"/>
        <w:spacing w:after="0"/>
        <w:rPr>
          <w:sz w:val="20"/>
          <w:szCs w:val="20"/>
          <w:color w:val="auto"/>
        </w:rPr>
      </w:pPr>
      <w:r>
        <w:rPr>
          <w:rFonts w:ascii="Arial" w:cs="Arial" w:eastAsia="Arial" w:hAnsi="Arial"/>
          <w:sz w:val="16"/>
          <w:szCs w:val="16"/>
          <w:color w:val="342C82"/>
        </w:rPr>
        <w:t>Compensation Discussion and Analysis</w:t>
      </w:r>
    </w:p>
    <w:p>
      <w:pPr>
        <w:spacing w:after="0" w:line="113" w:lineRule="exact"/>
        <w:rPr>
          <w:sz w:val="20"/>
          <w:szCs w:val="20"/>
          <w:color w:val="auto"/>
        </w:rPr>
      </w:pPr>
    </w:p>
    <w:p>
      <w:pPr>
        <w:ind w:left="300" w:right="719"/>
        <w:spacing w:after="0" w:line="286" w:lineRule="auto"/>
        <w:rPr>
          <w:sz w:val="20"/>
          <w:szCs w:val="20"/>
          <w:color w:val="auto"/>
        </w:rPr>
      </w:pPr>
      <w:r>
        <w:rPr>
          <w:rFonts w:ascii="Arial" w:cs="Arial" w:eastAsia="Arial" w:hAnsi="Arial"/>
          <w:sz w:val="16"/>
          <w:szCs w:val="16"/>
          <w:color w:val="auto"/>
        </w:rPr>
        <w:t>set for these FY 2024 PSUs are Adjusted Constant Currency Revenue Growth % resulting in Adjusted Constant Currency Revenue of $1,105 million and Adjusted Operating Income $ of $273.4 million.</w:t>
      </w:r>
    </w:p>
    <w:p>
      <w:pPr>
        <w:spacing w:after="0" w:line="102" w:lineRule="exact"/>
        <w:rPr>
          <w:sz w:val="20"/>
          <w:szCs w:val="20"/>
          <w:color w:val="auto"/>
        </w:rPr>
      </w:pPr>
    </w:p>
    <w:p>
      <w:pPr>
        <w:ind w:left="300" w:right="459"/>
        <w:spacing w:after="0" w:line="266" w:lineRule="auto"/>
        <w:rPr>
          <w:sz w:val="20"/>
          <w:szCs w:val="20"/>
          <w:color w:val="auto"/>
        </w:rPr>
      </w:pPr>
      <w:r>
        <w:rPr>
          <w:rFonts w:ascii="Arial" w:cs="Arial" w:eastAsia="Arial" w:hAnsi="Arial"/>
          <w:sz w:val="16"/>
          <w:szCs w:val="16"/>
          <w:i w:val="1"/>
          <w:iCs w:val="1"/>
          <w:color w:val="auto"/>
        </w:rPr>
        <w:t>Payout Range</w:t>
      </w:r>
      <w:r>
        <w:rPr>
          <w:rFonts w:ascii="Arial" w:cs="Arial" w:eastAsia="Arial" w:hAnsi="Arial"/>
          <w:sz w:val="16"/>
          <w:szCs w:val="16"/>
          <w:color w:val="auto"/>
        </w:rPr>
        <w:t>. The payout range applicable to the 2024-2026 performance period is 50% - 200% of target value for</w:t>
      </w:r>
      <w:r>
        <w:rPr>
          <w:rFonts w:ascii="Arial" w:cs="Arial" w:eastAsia="Arial" w:hAnsi="Arial"/>
          <w:sz w:val="16"/>
          <w:szCs w:val="16"/>
          <w:i w:val="1"/>
          <w:iCs w:val="1"/>
          <w:color w:val="auto"/>
        </w:rPr>
        <w:t xml:space="preserve"> </w:t>
      </w:r>
      <w:r>
        <w:rPr>
          <w:rFonts w:ascii="Arial" w:cs="Arial" w:eastAsia="Arial" w:hAnsi="Arial"/>
          <w:sz w:val="16"/>
          <w:szCs w:val="16"/>
          <w:color w:val="auto"/>
        </w:rPr>
        <w:t>all measures and there is no payout for performance below threshold. Payout between threshold and target achievement and payout between target and maximum achievement is interpolated on a straight-line basis.</w:t>
      </w:r>
    </w:p>
    <w:p>
      <w:pPr>
        <w:spacing w:after="0" w:line="117" w:lineRule="exact"/>
        <w:rPr>
          <w:sz w:val="20"/>
          <w:szCs w:val="20"/>
          <w:color w:val="auto"/>
        </w:rPr>
      </w:pPr>
    </w:p>
    <w:p>
      <w:pPr>
        <w:ind w:left="300" w:right="339"/>
        <w:spacing w:after="0" w:line="252" w:lineRule="auto"/>
        <w:rPr>
          <w:sz w:val="20"/>
          <w:szCs w:val="20"/>
          <w:color w:val="auto"/>
        </w:rPr>
      </w:pPr>
      <w:r>
        <w:rPr>
          <w:rFonts w:ascii="Arial" w:cs="Arial" w:eastAsia="Arial" w:hAnsi="Arial"/>
          <w:sz w:val="16"/>
          <w:szCs w:val="16"/>
          <w:color w:val="auto"/>
        </w:rPr>
        <w:t>TVUs and PSUs are awarded with dividend equivalent rights that accrue on unvested awards each time Embecta pays a dividend on its common stock, with the number of TVUs or PSUs, as applicable, determined by dividing the dividends that would be paid on the number of shares of common stock underlying the award (plus the shares underlying any additional TVUs or PSUs, as applicable, credited to the participant pursuant to the dividend equivalent rights) by the closing price of Embecta's common stock on the dividend payment date, as reported on the Nasdaq. Dividend equivalents accrued on unvested awards vest at the same time as and are subject to the same vesting, forfeiture and other terms and conditions as the underlying awards and are payable at the same time the underlying awards are settled.</w:t>
      </w:r>
    </w:p>
    <w:p>
      <w:pPr>
        <w:spacing w:after="0" w:line="300" w:lineRule="exact"/>
        <w:rPr>
          <w:sz w:val="20"/>
          <w:szCs w:val="20"/>
          <w:color w:val="auto"/>
        </w:rPr>
      </w:pPr>
    </w:p>
    <w:p>
      <w:pPr>
        <w:ind w:left="300"/>
        <w:spacing w:after="0"/>
        <w:rPr>
          <w:sz w:val="20"/>
          <w:szCs w:val="20"/>
          <w:color w:val="auto"/>
        </w:rPr>
      </w:pPr>
      <w:r>
        <w:rPr>
          <w:rFonts w:ascii="Arial" w:cs="Arial" w:eastAsia="Arial" w:hAnsi="Arial"/>
          <w:sz w:val="29"/>
          <w:szCs w:val="29"/>
          <w:color w:val="342C82"/>
        </w:rPr>
        <w:t>Other benefits under our executive compensation program</w:t>
      </w:r>
    </w:p>
    <w:p>
      <w:pPr>
        <w:spacing w:after="0" w:line="324" w:lineRule="exact"/>
        <w:rPr>
          <w:sz w:val="20"/>
          <w:szCs w:val="20"/>
          <w:color w:val="auto"/>
        </w:rPr>
      </w:pPr>
    </w:p>
    <w:p>
      <w:pPr>
        <w:ind w:left="300"/>
        <w:spacing w:after="0"/>
        <w:rPr>
          <w:sz w:val="20"/>
          <w:szCs w:val="20"/>
          <w:color w:val="auto"/>
        </w:rPr>
      </w:pPr>
      <w:r>
        <w:rPr>
          <w:rFonts w:ascii="Arial" w:cs="Arial" w:eastAsia="Arial" w:hAnsi="Arial"/>
          <w:sz w:val="25"/>
          <w:szCs w:val="25"/>
          <w:color w:val="342C82"/>
        </w:rPr>
        <w:t>Limited executive perquisites</w:t>
      </w:r>
    </w:p>
    <w:p>
      <w:pPr>
        <w:spacing w:after="0" w:line="126" w:lineRule="exact"/>
        <w:rPr>
          <w:sz w:val="20"/>
          <w:szCs w:val="20"/>
          <w:color w:val="auto"/>
        </w:rPr>
      </w:pPr>
    </w:p>
    <w:p>
      <w:pPr>
        <w:ind w:left="300" w:right="679"/>
        <w:spacing w:after="0" w:line="266" w:lineRule="auto"/>
        <w:rPr>
          <w:sz w:val="20"/>
          <w:szCs w:val="20"/>
          <w:color w:val="auto"/>
        </w:rPr>
      </w:pPr>
      <w:r>
        <w:rPr>
          <w:rFonts w:ascii="Arial" w:cs="Arial" w:eastAsia="Arial" w:hAnsi="Arial"/>
          <w:sz w:val="16"/>
          <w:szCs w:val="16"/>
          <w:color w:val="auto"/>
        </w:rPr>
        <w:t>NEOs are not provided significant executive perquisites. In fiscal year 2024, Mr. Curtis received a monthly car allowance consistent with Embecta’s policy for all managers in Ireland and a housing allowance for his use when traveling to Embecta’s Irish office from his home in the United Kingdom.</w:t>
      </w:r>
    </w:p>
    <w:p>
      <w:pPr>
        <w:spacing w:after="0" w:line="117" w:lineRule="exact"/>
        <w:rPr>
          <w:sz w:val="20"/>
          <w:szCs w:val="20"/>
          <w:color w:val="auto"/>
        </w:rPr>
      </w:pPr>
    </w:p>
    <w:p>
      <w:pPr>
        <w:ind w:left="300" w:right="359"/>
        <w:spacing w:after="0" w:line="259" w:lineRule="auto"/>
        <w:rPr>
          <w:sz w:val="20"/>
          <w:szCs w:val="20"/>
          <w:color w:val="auto"/>
        </w:rPr>
      </w:pPr>
      <w:r>
        <w:rPr>
          <w:rFonts w:ascii="Arial" w:cs="Arial" w:eastAsia="Arial" w:hAnsi="Arial"/>
          <w:sz w:val="16"/>
          <w:szCs w:val="16"/>
          <w:color w:val="auto"/>
        </w:rPr>
        <w:t>Embecta expects to limit the use of perquisites as a method of compensation and provide executive officers with only those perquisites that Embecta believes are reasonable and consistent with its compensation goal of enabling Embecta to attract and retain superior executives for key positions. Embecta does not sponsor or provide access to any defined benefit pension plan for our employees (including our NEOs).</w:t>
      </w:r>
    </w:p>
    <w:p>
      <w:pPr>
        <w:spacing w:after="0" w:line="345" w:lineRule="exact"/>
        <w:rPr>
          <w:sz w:val="20"/>
          <w:szCs w:val="20"/>
          <w:color w:val="auto"/>
        </w:rPr>
      </w:pPr>
    </w:p>
    <w:p>
      <w:pPr>
        <w:ind w:left="300"/>
        <w:spacing w:after="0"/>
        <w:rPr>
          <w:sz w:val="20"/>
          <w:szCs w:val="20"/>
          <w:color w:val="auto"/>
        </w:rPr>
      </w:pPr>
      <w:r>
        <w:rPr>
          <w:rFonts w:ascii="Arial" w:cs="Arial" w:eastAsia="Arial" w:hAnsi="Arial"/>
          <w:sz w:val="25"/>
          <w:szCs w:val="25"/>
          <w:color w:val="342C82"/>
        </w:rPr>
        <w:t>401(k) Plan</w:t>
      </w:r>
    </w:p>
    <w:p>
      <w:pPr>
        <w:spacing w:after="0" w:line="139" w:lineRule="exact"/>
        <w:rPr>
          <w:sz w:val="20"/>
          <w:szCs w:val="20"/>
          <w:color w:val="auto"/>
        </w:rPr>
      </w:pPr>
    </w:p>
    <w:p>
      <w:pPr>
        <w:ind w:left="300" w:right="339"/>
        <w:spacing w:after="0" w:line="251" w:lineRule="auto"/>
        <w:rPr>
          <w:sz w:val="20"/>
          <w:szCs w:val="20"/>
          <w:color w:val="auto"/>
        </w:rPr>
      </w:pPr>
      <w:r>
        <w:rPr>
          <w:rFonts w:ascii="Arial" w:cs="Arial" w:eastAsia="Arial" w:hAnsi="Arial"/>
          <w:sz w:val="16"/>
          <w:szCs w:val="16"/>
          <w:color w:val="auto"/>
        </w:rPr>
        <w:t>Embecta maintains a tax qualified defined contribution retirement plan (the “401(k) Plan”) that covers substantially all US-based employees. Each of the NEOs except Shaun Curtis participates in the 401(k) Plan. Participants may contribute a portion of their compensation on a before-tax basis into their 401(k) Plan accounts, subject to limits. In addition, Embecta matches an amount equal to 75% for each dollar contributed by participants on the first 6% of their eligible earnings, up to prescribed annual limits. In addition to the matching contributions, we may also make additional non-elective contributions to the 401(k) Plan on the same basis for all employees. We believe that providing a vehicle for tax-deferred retirement savings through our 401(k) Plan and making matching contributions adds to the overall desirability of our compensation package and further incentivizes our employees, including our executive officers, in accordance with Embecta’s compensation policies.</w:t>
      </w:r>
    </w:p>
    <w:p>
      <w:pPr>
        <w:spacing w:after="0" w:line="352" w:lineRule="exact"/>
        <w:rPr>
          <w:sz w:val="20"/>
          <w:szCs w:val="20"/>
          <w:color w:val="auto"/>
        </w:rPr>
      </w:pPr>
    </w:p>
    <w:p>
      <w:pPr>
        <w:ind w:left="300"/>
        <w:spacing w:after="0"/>
        <w:rPr>
          <w:sz w:val="20"/>
          <w:szCs w:val="20"/>
          <w:color w:val="auto"/>
        </w:rPr>
      </w:pPr>
      <w:r>
        <w:rPr>
          <w:rFonts w:ascii="Arial" w:cs="Arial" w:eastAsia="Arial" w:hAnsi="Arial"/>
          <w:sz w:val="25"/>
          <w:szCs w:val="25"/>
          <w:color w:val="342C82"/>
        </w:rPr>
        <w:t>Deferred compensation</w:t>
      </w:r>
    </w:p>
    <w:p>
      <w:pPr>
        <w:spacing w:after="0" w:line="139" w:lineRule="exact"/>
        <w:rPr>
          <w:sz w:val="20"/>
          <w:szCs w:val="20"/>
          <w:color w:val="auto"/>
        </w:rPr>
      </w:pPr>
    </w:p>
    <w:p>
      <w:pPr>
        <w:ind w:left="300" w:right="539"/>
        <w:spacing w:after="0" w:line="253" w:lineRule="auto"/>
        <w:rPr>
          <w:sz w:val="20"/>
          <w:szCs w:val="20"/>
          <w:color w:val="auto"/>
        </w:rPr>
      </w:pPr>
      <w:r>
        <w:rPr>
          <w:rFonts w:ascii="Arial" w:cs="Arial" w:eastAsia="Arial" w:hAnsi="Arial"/>
          <w:sz w:val="16"/>
          <w:szCs w:val="16"/>
          <w:color w:val="auto"/>
        </w:rPr>
        <w:t>Our Deferred Compensation Plan (the “DCP”) is an unfunded, nonqualified plan that allows eligible employees to defer receipt of cash compensation on a pre-tax basis in addition to what is allowed under our tax-qualified 401(k) Plan. We do not provide any guaranteed earnings on amounts deferred under the DCP, and earnings on these accounts are based on individual investment elections. Embecta provides matching contributions on deferred cash amounts deferred under the DCP, subject to certain limits. For additional information regarding the deferred compensation provisions of the DCP, see “Compensation of Named Executive Officers—Deferred Compensation Plan, Directors’ Deferral Plan and the GSIP.”</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123825</wp:posOffset>
            </wp:positionV>
            <wp:extent cx="699516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8" w:name="page59"/>
    <w:bookmarkEnd w:id="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6"/>
          <w:szCs w:val="16"/>
          <w:color w:val="342C82"/>
        </w:rPr>
        <w:t>Compensation Discussion and Analysis</w:t>
      </w:r>
    </w:p>
    <w:p>
      <w:pPr>
        <w:spacing w:after="0" w:line="159" w:lineRule="exact"/>
        <w:rPr>
          <w:sz w:val="20"/>
          <w:szCs w:val="20"/>
          <w:color w:val="auto"/>
        </w:rPr>
      </w:pPr>
    </w:p>
    <w:p>
      <w:pPr>
        <w:ind w:left="300"/>
        <w:spacing w:after="0"/>
        <w:rPr>
          <w:sz w:val="20"/>
          <w:szCs w:val="20"/>
          <w:color w:val="auto"/>
        </w:rPr>
      </w:pPr>
      <w:r>
        <w:rPr>
          <w:rFonts w:ascii="Arial" w:cs="Arial" w:eastAsia="Arial" w:hAnsi="Arial"/>
          <w:sz w:val="25"/>
          <w:szCs w:val="25"/>
          <w:color w:val="342C82"/>
        </w:rPr>
        <w:t>GSIP</w:t>
      </w:r>
    </w:p>
    <w:p>
      <w:pPr>
        <w:spacing w:after="0" w:line="153" w:lineRule="exact"/>
        <w:rPr>
          <w:sz w:val="20"/>
          <w:szCs w:val="20"/>
          <w:color w:val="auto"/>
        </w:rPr>
      </w:pPr>
    </w:p>
    <w:p>
      <w:pPr>
        <w:ind w:left="300" w:right="419"/>
        <w:spacing w:after="0" w:line="249" w:lineRule="auto"/>
        <w:rPr>
          <w:sz w:val="20"/>
          <w:szCs w:val="20"/>
          <w:color w:val="auto"/>
        </w:rPr>
      </w:pPr>
      <w:r>
        <w:rPr>
          <w:rFonts w:ascii="Arial" w:cs="Arial" w:eastAsia="Arial" w:hAnsi="Arial"/>
          <w:sz w:val="16"/>
          <w:szCs w:val="16"/>
          <w:color w:val="auto"/>
        </w:rPr>
        <w:t>Embecta maintains a Global Share Investment Program (the “GSIP”) for the benefit of its employees in Ireland. Mr. Curtis is the only NEO eligible to participate in the GSIP. The purpose of the GSIP is to provide employees in certain countries with a tax-efficient way to save on a regular and long-term basis and acquire a beneficial interest in Embecta common stock. Participants are granted a bonus of 3.85% of their base salary which they can elect to receive in cash, paid through payroll and taxed accordingly. Alternatively, participants can opt to invest the 3.85% bonus into the GSIP on a pre-tax basis to buy GSIP shares, to which Embecta provides matching funds of up to 3% of a participant’s base pay through contributions to the participant’s plan account, subject to an annual maximum of €12,700, established by Ireland’s Revenue Commissioners. Participants may also choose to contribute up to 6.85% of their monthly base pay, through payroll deductions, to the GSIP for their account, subject to the same €12,700 annual maximum. A participant may withdraw the vested portion of the participant’s account, although such withdrawals must be in the form of a cash payment if the participant is employed by Embecta at the time of withdrawal. Following a participant’s termination of service, withdrawals are paid in either cash or shares, at the election of the participant.</w:t>
      </w:r>
    </w:p>
    <w:p>
      <w:pPr>
        <w:spacing w:after="0" w:line="345" w:lineRule="exact"/>
        <w:rPr>
          <w:sz w:val="20"/>
          <w:szCs w:val="20"/>
          <w:color w:val="auto"/>
        </w:rPr>
      </w:pPr>
    </w:p>
    <w:p>
      <w:pPr>
        <w:ind w:left="300"/>
        <w:spacing w:after="0"/>
        <w:rPr>
          <w:sz w:val="20"/>
          <w:szCs w:val="20"/>
          <w:color w:val="auto"/>
        </w:rPr>
      </w:pPr>
      <w:r>
        <w:rPr>
          <w:rFonts w:ascii="Arial" w:cs="Arial" w:eastAsia="Arial" w:hAnsi="Arial"/>
          <w:sz w:val="25"/>
          <w:szCs w:val="25"/>
          <w:color w:val="342C82"/>
        </w:rPr>
        <w:t>Executive severance and change in control plan</w:t>
      </w:r>
    </w:p>
    <w:p>
      <w:pPr>
        <w:spacing w:after="0" w:line="153" w:lineRule="exact"/>
        <w:rPr>
          <w:sz w:val="20"/>
          <w:szCs w:val="20"/>
          <w:color w:val="auto"/>
        </w:rPr>
      </w:pPr>
    </w:p>
    <w:p>
      <w:pPr>
        <w:ind w:left="300" w:right="579"/>
        <w:spacing w:after="0" w:line="259" w:lineRule="auto"/>
        <w:rPr>
          <w:sz w:val="20"/>
          <w:szCs w:val="20"/>
          <w:color w:val="auto"/>
        </w:rPr>
      </w:pPr>
      <w:r>
        <w:rPr>
          <w:rFonts w:ascii="Arial" w:cs="Arial" w:eastAsia="Arial" w:hAnsi="Arial"/>
          <w:sz w:val="16"/>
          <w:szCs w:val="16"/>
          <w:color w:val="auto"/>
        </w:rPr>
        <w:t>Embecta’s Executive Severance and Change in Control Plan, and in the case of Mr. Curtis, a letter agreement providing for the same benefits, terms and conditions as the Executive Severance and Change in Control Plan (together, the “Executive Severance Plan”) provides severance benefits to eligible key employees of Embecta and certain subsidiaries of Embecta, including the NEOs, in connection with certain terminations of employment.</w:t>
      </w:r>
    </w:p>
    <w:p>
      <w:pPr>
        <w:spacing w:after="0" w:line="124" w:lineRule="exact"/>
        <w:rPr>
          <w:sz w:val="20"/>
          <w:szCs w:val="20"/>
          <w:color w:val="auto"/>
        </w:rPr>
      </w:pPr>
    </w:p>
    <w:p>
      <w:pPr>
        <w:ind w:left="300" w:right="419"/>
        <w:spacing w:after="0" w:line="250" w:lineRule="auto"/>
        <w:rPr>
          <w:sz w:val="20"/>
          <w:szCs w:val="20"/>
          <w:color w:val="auto"/>
        </w:rPr>
      </w:pPr>
      <w:r>
        <w:rPr>
          <w:rFonts w:ascii="Arial" w:cs="Arial" w:eastAsia="Arial" w:hAnsi="Arial"/>
          <w:sz w:val="16"/>
          <w:szCs w:val="16"/>
          <w:color w:val="auto"/>
        </w:rPr>
        <w:t>Under the terms of the Executive Severance Plan, in the event that an NEO is involuntarily terminated by Embecta without cause or resigns for good reason outside of a change in control coverage period (each as defined in the Executive Severance Plan), the NEO would be entitled to (i) a severance payment (paid over time) consisting of the continuation of payment of the NEO’s base salary (24 months for the CEO, 12 months for the individuals designated as tier II executives and 9 months for the individuals designated as tier III executives) and a multiple of the NEO’s target annual bonus (two times for the CEO and one time for the individuals designated as tier II executives),</w:t>
      </w:r>
    </w:p>
    <w:p>
      <w:pPr>
        <w:ind w:left="300" w:right="419" w:hanging="8"/>
        <w:spacing w:after="0" w:line="251" w:lineRule="auto"/>
        <w:tabs>
          <w:tab w:leader="none" w:pos="525" w:val="left"/>
        </w:tabs>
        <w:numPr>
          <w:ilvl w:val="0"/>
          <w:numId w:val="33"/>
        </w:numPr>
        <w:rPr>
          <w:rFonts w:ascii="Arial" w:cs="Arial" w:eastAsia="Arial" w:hAnsi="Arial"/>
          <w:sz w:val="16"/>
          <w:szCs w:val="16"/>
          <w:color w:val="auto"/>
        </w:rPr>
      </w:pPr>
      <w:r>
        <w:rPr>
          <w:rFonts w:ascii="Arial" w:cs="Arial" w:eastAsia="Arial" w:hAnsi="Arial"/>
          <w:sz w:val="16"/>
          <w:szCs w:val="16"/>
          <w:color w:val="auto"/>
        </w:rPr>
        <w:t>a lump-sum payment equal to a pro-rata portion of the NEO’s target annual cash bonus for the year in which the termination occurred, (iii) a lump-sum payment approximating a certain period of COBRA premiums for continued coverage under Embecta’s group health insurance plan (24 months for the CEO, 12 months for the individuals designated as tier II executives and 9 months for the individuals designated as tier III executives) and (iv) 12 months of outplacement services.</w:t>
      </w:r>
    </w:p>
    <w:p>
      <w:pPr>
        <w:spacing w:after="0" w:line="129" w:lineRule="exact"/>
        <w:rPr>
          <w:sz w:val="20"/>
          <w:szCs w:val="20"/>
          <w:color w:val="auto"/>
        </w:rPr>
      </w:pPr>
    </w:p>
    <w:p>
      <w:pPr>
        <w:ind w:left="300" w:right="359"/>
        <w:spacing w:after="0" w:line="248" w:lineRule="auto"/>
        <w:rPr>
          <w:sz w:val="20"/>
          <w:szCs w:val="20"/>
          <w:color w:val="auto"/>
        </w:rPr>
      </w:pPr>
      <w:r>
        <w:rPr>
          <w:rFonts w:ascii="Arial" w:cs="Arial" w:eastAsia="Arial" w:hAnsi="Arial"/>
          <w:sz w:val="16"/>
          <w:szCs w:val="16"/>
          <w:color w:val="auto"/>
        </w:rPr>
        <w:t>In the event that an NEO is involuntarily terminated by Embecta without cause or resigns for good reason during the 24 months following a change in control (or prior to the change in control, if the NEO reasonably demonstrates that the termination was in connection with the change in control), the NEO would be entitled to (i) a lump-sum severance payment consisting of a multiple (three times for the CEO, two times for the individuals designated as tier II executives and one time for the individuals designated as tier III executives) of the sum of the NEO’s base salary and the greater of (x) the NEO’s target annual cash bonus for the year in which the termination occurred, (y) the NEO’s actual annual bonus for the most recently completed fiscal year for which bonuses have been determined and (z) the NEO’s average annual bonus for the two most recently completed fiscal years prior to the year in which the termination occurred, (ii) a lump-sum payment equal to a pro rata portion of the NEO’s target annual cash bonus for the year in which the termination occurred, (iii) a lump-sum payment approximating a certain period of COBRA premiums for continued coverage under Embecta’s group health insurance plan (36 months for the CEO, 24 months for the individuals designated as tier II executives and 12 months for the individuals designated as tier III executives),</w:t>
      </w:r>
    </w:p>
    <w:p>
      <w:pPr>
        <w:spacing w:after="0" w:line="3" w:lineRule="exact"/>
        <w:rPr>
          <w:sz w:val="20"/>
          <w:szCs w:val="20"/>
          <w:color w:val="auto"/>
        </w:rPr>
      </w:pPr>
    </w:p>
    <w:p>
      <w:pPr>
        <w:ind w:left="300" w:right="879" w:hanging="8"/>
        <w:spacing w:after="0" w:line="256" w:lineRule="auto"/>
        <w:tabs>
          <w:tab w:leader="none" w:pos="570" w:val="left"/>
        </w:tabs>
        <w:numPr>
          <w:ilvl w:val="0"/>
          <w:numId w:val="34"/>
        </w:numPr>
        <w:rPr>
          <w:rFonts w:ascii="Arial" w:cs="Arial" w:eastAsia="Arial" w:hAnsi="Arial"/>
          <w:sz w:val="16"/>
          <w:szCs w:val="16"/>
          <w:color w:val="auto"/>
        </w:rPr>
      </w:pPr>
      <w:r>
        <w:rPr>
          <w:rFonts w:ascii="Arial" w:cs="Arial" w:eastAsia="Arial" w:hAnsi="Arial"/>
          <w:sz w:val="16"/>
          <w:szCs w:val="16"/>
          <w:color w:val="auto"/>
        </w:rPr>
        <w:t>12 months of outplacement services and (v) accelerated vesting of all outstanding equity awards (with performance awards vesting at target unless a higher level would be deemed achieved under the terms of the applicable award agreement).</w:t>
      </w:r>
    </w:p>
    <w:p>
      <w:pPr>
        <w:spacing w:after="0" w:line="124" w:lineRule="exact"/>
        <w:rPr>
          <w:sz w:val="20"/>
          <w:szCs w:val="20"/>
          <w:color w:val="auto"/>
        </w:rPr>
      </w:pPr>
    </w:p>
    <w:p>
      <w:pPr>
        <w:ind w:left="300" w:right="1019"/>
        <w:spacing w:after="0" w:line="286" w:lineRule="auto"/>
        <w:rPr>
          <w:sz w:val="20"/>
          <w:szCs w:val="20"/>
          <w:color w:val="auto"/>
        </w:rPr>
      </w:pPr>
      <w:r>
        <w:rPr>
          <w:rFonts w:ascii="Arial" w:cs="Arial" w:eastAsia="Arial" w:hAnsi="Arial"/>
          <w:sz w:val="16"/>
          <w:szCs w:val="16"/>
          <w:color w:val="auto"/>
        </w:rPr>
        <w:t>Ms. Casner and Messrs. Elguicze, Curtis and Mann are designated as tier II executives under the Executive Severance Plan.</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123825</wp:posOffset>
            </wp:positionV>
            <wp:extent cx="699516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9" w:name="page60"/>
    <w:bookmarkEnd w:id="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5880"/>
        <w:spacing w:after="0"/>
        <w:rPr>
          <w:sz w:val="20"/>
          <w:szCs w:val="20"/>
          <w:color w:val="auto"/>
        </w:rPr>
      </w:pPr>
      <w:r>
        <w:rPr>
          <w:rFonts w:ascii="Arial" w:cs="Arial" w:eastAsia="Arial" w:hAnsi="Arial"/>
          <w:sz w:val="16"/>
          <w:szCs w:val="16"/>
          <w:color w:val="342C82"/>
        </w:rPr>
        <w:t>Compensation Discussion and Analysis</w:t>
      </w:r>
    </w:p>
    <w:p>
      <w:pPr>
        <w:spacing w:after="0" w:line="113" w:lineRule="exact"/>
        <w:rPr>
          <w:sz w:val="20"/>
          <w:szCs w:val="20"/>
          <w:color w:val="auto"/>
        </w:rPr>
      </w:pPr>
    </w:p>
    <w:p>
      <w:pPr>
        <w:ind w:left="300" w:right="319"/>
        <w:spacing w:after="0" w:line="253" w:lineRule="auto"/>
        <w:rPr>
          <w:sz w:val="20"/>
          <w:szCs w:val="20"/>
          <w:color w:val="auto"/>
        </w:rPr>
      </w:pPr>
      <w:r>
        <w:rPr>
          <w:rFonts w:ascii="Arial" w:cs="Arial" w:eastAsia="Arial" w:hAnsi="Arial"/>
          <w:sz w:val="16"/>
          <w:szCs w:val="16"/>
          <w:color w:val="auto"/>
        </w:rPr>
        <w:t>The Executive Severance Plan does not provide for a gross-up payment to any of the NEOs to offset taxes, including any excise taxes that may be imposed on excess parachute payments under Section 4999 of the Internal Revenue Code (the “Code”). Instead, the Executive Severance Plan provides that in the event that the payments described above would, if paid, be subject to such excise taxes, then such NEO will receive either (A) the full amount of the payments and assume full responsibility for the tax impacts or (B) the maximum amount that may be provided to such NEO without resulting in any portion of the payments being subject to such excise taxes, based upon which alternative yields the higher after-tax amount.</w:t>
      </w:r>
    </w:p>
    <w:p>
      <w:pPr>
        <w:spacing w:after="0" w:line="127" w:lineRule="exact"/>
        <w:rPr>
          <w:sz w:val="20"/>
          <w:szCs w:val="20"/>
          <w:color w:val="auto"/>
        </w:rPr>
      </w:pPr>
    </w:p>
    <w:p>
      <w:pPr>
        <w:ind w:left="300" w:right="359"/>
        <w:spacing w:after="0" w:line="266" w:lineRule="auto"/>
        <w:rPr>
          <w:sz w:val="20"/>
          <w:szCs w:val="20"/>
          <w:color w:val="auto"/>
        </w:rPr>
      </w:pPr>
      <w:r>
        <w:rPr>
          <w:rFonts w:ascii="Arial" w:cs="Arial" w:eastAsia="Arial" w:hAnsi="Arial"/>
          <w:sz w:val="16"/>
          <w:szCs w:val="16"/>
          <w:color w:val="auto"/>
        </w:rPr>
        <w:t>The receipt of the foregoing benefits under the Executive Severance Plan is conditioned on the NEO signing, and not revoking, a separation and release agreement, which will include a general release of claims by the NEO against Embecta and which may include certain post-employment restrictive covenants.</w:t>
      </w:r>
    </w:p>
    <w:p>
      <w:pPr>
        <w:spacing w:after="0" w:line="234" w:lineRule="exact"/>
        <w:rPr>
          <w:sz w:val="20"/>
          <w:szCs w:val="20"/>
          <w:color w:val="auto"/>
        </w:rPr>
      </w:pPr>
    </w:p>
    <w:p>
      <w:pPr>
        <w:ind w:left="300" w:right="959"/>
        <w:spacing w:after="0" w:line="276" w:lineRule="auto"/>
        <w:rPr>
          <w:sz w:val="20"/>
          <w:szCs w:val="20"/>
          <w:color w:val="auto"/>
        </w:rPr>
      </w:pPr>
      <w:r>
        <w:rPr>
          <w:rFonts w:ascii="Arial" w:cs="Arial" w:eastAsia="Arial" w:hAnsi="Arial"/>
          <w:sz w:val="29"/>
          <w:szCs w:val="29"/>
          <w:color w:val="342C82"/>
        </w:rPr>
        <w:t>Significant policies and other information regarding executive compensation</w:t>
      </w:r>
    </w:p>
    <w:p>
      <w:pPr>
        <w:spacing w:after="0" w:line="228" w:lineRule="exact"/>
        <w:rPr>
          <w:sz w:val="20"/>
          <w:szCs w:val="20"/>
          <w:color w:val="auto"/>
        </w:rPr>
      </w:pPr>
    </w:p>
    <w:p>
      <w:pPr>
        <w:ind w:left="300"/>
        <w:spacing w:after="0"/>
        <w:rPr>
          <w:sz w:val="20"/>
          <w:szCs w:val="20"/>
          <w:color w:val="auto"/>
        </w:rPr>
      </w:pPr>
      <w:r>
        <w:rPr>
          <w:rFonts w:ascii="Arial" w:cs="Arial" w:eastAsia="Arial" w:hAnsi="Arial"/>
          <w:sz w:val="25"/>
          <w:szCs w:val="25"/>
          <w:color w:val="342C82"/>
        </w:rPr>
        <w:t>Clawback policies</w:t>
      </w:r>
    </w:p>
    <w:p>
      <w:pPr>
        <w:spacing w:after="0" w:line="126" w:lineRule="exact"/>
        <w:rPr>
          <w:sz w:val="20"/>
          <w:szCs w:val="20"/>
          <w:color w:val="auto"/>
        </w:rPr>
      </w:pPr>
    </w:p>
    <w:p>
      <w:pPr>
        <w:ind w:left="300" w:right="319"/>
        <w:spacing w:after="0" w:line="251" w:lineRule="auto"/>
        <w:rPr>
          <w:sz w:val="20"/>
          <w:szCs w:val="20"/>
          <w:color w:val="auto"/>
        </w:rPr>
      </w:pPr>
      <w:r>
        <w:rPr>
          <w:rFonts w:ascii="Arial" w:cs="Arial" w:eastAsia="Arial" w:hAnsi="Arial"/>
          <w:sz w:val="16"/>
          <w:szCs w:val="16"/>
          <w:color w:val="auto"/>
        </w:rPr>
        <w:t>Embecta maintains a policy that provides the Compensation Committee the discretion to require executive officers or other CEO direct reports at Embecta (including our NEOs), to reimburse Embecta for any Bonus Plan award that was based on financial results that were subsequently restated as a result of that person’s misconduct. The Compensation Committee also has the discretion to cancel any equity compensation awards (or recover payouts under such awards) that were granted to such person with respect to the restated period, and to require the person to reimburse Embecta for any profits realized on any sale of Embecta stock occurring after the public issuance of the financial statements that were subsequently restated. The policy also gives the Compensation Committee the authority to require executive officers and other senior leaders who were not involved in the misconduct to reimburse Embecta for the amount by which their Bonus Plan award exceeded the amount they would have received based on the restated results.</w:t>
      </w:r>
    </w:p>
    <w:p>
      <w:pPr>
        <w:spacing w:after="0" w:line="320" w:lineRule="exact"/>
        <w:rPr>
          <w:sz w:val="20"/>
          <w:szCs w:val="20"/>
          <w:color w:val="auto"/>
        </w:rPr>
      </w:pPr>
    </w:p>
    <w:p>
      <w:pPr>
        <w:ind w:left="300" w:right="579"/>
        <w:spacing w:after="0" w:line="266" w:lineRule="auto"/>
        <w:rPr>
          <w:sz w:val="20"/>
          <w:szCs w:val="20"/>
          <w:color w:val="auto"/>
        </w:rPr>
      </w:pPr>
      <w:r>
        <w:rPr>
          <w:rFonts w:ascii="Arial" w:cs="Arial" w:eastAsia="Arial" w:hAnsi="Arial"/>
          <w:sz w:val="16"/>
          <w:szCs w:val="16"/>
          <w:color w:val="auto"/>
        </w:rPr>
        <w:t>Under the policy, Embecta may also cancel outstanding equity awards and recover any shares received upon the exercise or vesting of such awards (or any gain realized on the sale of such shares) to the extent the individual breaches any restrictive covenant agreement with Embecta, such as non-compete and non-solicitation covenants.</w:t>
      </w:r>
    </w:p>
    <w:p>
      <w:pPr>
        <w:spacing w:after="0" w:line="117" w:lineRule="exact"/>
        <w:rPr>
          <w:sz w:val="20"/>
          <w:szCs w:val="20"/>
          <w:color w:val="auto"/>
        </w:rPr>
      </w:pPr>
    </w:p>
    <w:p>
      <w:pPr>
        <w:ind w:left="300" w:right="339"/>
        <w:spacing w:after="0" w:line="254" w:lineRule="auto"/>
        <w:rPr>
          <w:sz w:val="20"/>
          <w:szCs w:val="20"/>
          <w:color w:val="auto"/>
        </w:rPr>
      </w:pPr>
      <w:r>
        <w:rPr>
          <w:rFonts w:ascii="Arial" w:cs="Arial" w:eastAsia="Arial" w:hAnsi="Arial"/>
          <w:sz w:val="16"/>
          <w:szCs w:val="16"/>
          <w:color w:val="auto"/>
        </w:rPr>
        <w:t>In addition to the policy described above, Embecta also maintains a clawback policy that is compliant with Nasdaq requirements under Section 954 of the Dodd-Frank Act, which applies to our current and former executive officers. Under this clawback policy, the Compensation Committee will, in all appropriate circumstances, require reimbursement of any compensation that, during or after the three most recently completed fiscal years, was granted, earned, or vested (1) based upon the attainment of a financial reporting measure in whole or in part or (2) in connection with a time-based equity award, in each case to the extent that:</w:t>
      </w:r>
    </w:p>
    <w:p>
      <w:pPr>
        <w:spacing w:after="0" w:line="128" w:lineRule="exact"/>
        <w:rPr>
          <w:sz w:val="20"/>
          <w:szCs w:val="20"/>
          <w:color w:val="auto"/>
        </w:rPr>
      </w:pPr>
    </w:p>
    <w:p>
      <w:pPr>
        <w:ind w:left="500" w:right="479" w:hanging="208"/>
        <w:spacing w:after="0" w:line="281" w:lineRule="auto"/>
        <w:tabs>
          <w:tab w:leader="none" w:pos="500" w:val="left"/>
        </w:tabs>
        <w:numPr>
          <w:ilvl w:val="0"/>
          <w:numId w:val="35"/>
        </w:numPr>
        <w:rPr>
          <w:rFonts w:ascii="Arial" w:cs="Arial" w:eastAsia="Arial" w:hAnsi="Arial"/>
          <w:sz w:val="16"/>
          <w:szCs w:val="16"/>
          <w:color w:val="342C82"/>
        </w:rPr>
      </w:pPr>
      <w:r>
        <w:rPr>
          <w:rFonts w:ascii="Arial" w:cs="Arial" w:eastAsia="Arial" w:hAnsi="Arial"/>
          <w:sz w:val="16"/>
          <w:szCs w:val="16"/>
          <w:color w:val="auto"/>
        </w:rPr>
        <w:t>the Company is required to prepare an accounting restatement due to material noncompliance with any financial reporting requirement under applicable securities laws; and</w:t>
      </w:r>
    </w:p>
    <w:p>
      <w:pPr>
        <w:spacing w:after="0" w:line="1" w:lineRule="exact"/>
        <w:rPr>
          <w:rFonts w:ascii="Arial" w:cs="Arial" w:eastAsia="Arial" w:hAnsi="Arial"/>
          <w:sz w:val="16"/>
          <w:szCs w:val="16"/>
          <w:color w:val="342C82"/>
        </w:rPr>
      </w:pPr>
    </w:p>
    <w:p>
      <w:pPr>
        <w:ind w:left="500" w:right="839" w:hanging="208"/>
        <w:spacing w:after="0" w:line="286" w:lineRule="auto"/>
        <w:tabs>
          <w:tab w:leader="none" w:pos="500" w:val="left"/>
        </w:tabs>
        <w:numPr>
          <w:ilvl w:val="0"/>
          <w:numId w:val="35"/>
        </w:numPr>
        <w:rPr>
          <w:rFonts w:ascii="Arial" w:cs="Arial" w:eastAsia="Arial" w:hAnsi="Arial"/>
          <w:sz w:val="16"/>
          <w:szCs w:val="16"/>
          <w:color w:val="342C82"/>
        </w:rPr>
      </w:pPr>
      <w:r>
        <w:rPr>
          <w:rFonts w:ascii="Arial" w:cs="Arial" w:eastAsia="Arial" w:hAnsi="Arial"/>
          <w:sz w:val="16"/>
          <w:szCs w:val="16"/>
          <w:color w:val="auto"/>
        </w:rPr>
        <w:t>a smaller payment would have been made to or realized by the executive based upon the restated financial results.</w:t>
      </w:r>
    </w:p>
    <w:p>
      <w:pPr>
        <w:spacing w:after="0" w:line="309" w:lineRule="exact"/>
        <w:rPr>
          <w:sz w:val="20"/>
          <w:szCs w:val="20"/>
          <w:color w:val="auto"/>
        </w:rPr>
      </w:pPr>
    </w:p>
    <w:p>
      <w:pPr>
        <w:ind w:left="300"/>
        <w:spacing w:after="0"/>
        <w:rPr>
          <w:sz w:val="20"/>
          <w:szCs w:val="20"/>
          <w:color w:val="auto"/>
        </w:rPr>
      </w:pPr>
      <w:r>
        <w:rPr>
          <w:rFonts w:ascii="Arial" w:cs="Arial" w:eastAsia="Arial" w:hAnsi="Arial"/>
          <w:sz w:val="25"/>
          <w:szCs w:val="25"/>
          <w:color w:val="342C82"/>
        </w:rPr>
        <w:t>Share retention and ownership guidelines</w:t>
      </w:r>
    </w:p>
    <w:p>
      <w:pPr>
        <w:spacing w:after="0" w:line="139" w:lineRule="exact"/>
        <w:rPr>
          <w:sz w:val="20"/>
          <w:szCs w:val="20"/>
          <w:color w:val="auto"/>
        </w:rPr>
      </w:pPr>
    </w:p>
    <w:p>
      <w:pPr>
        <w:ind w:left="300" w:right="339"/>
        <w:spacing w:after="0" w:line="256" w:lineRule="auto"/>
        <w:rPr>
          <w:sz w:val="20"/>
          <w:szCs w:val="20"/>
          <w:color w:val="auto"/>
        </w:rPr>
      </w:pPr>
      <w:r>
        <w:rPr>
          <w:rFonts w:ascii="Arial" w:cs="Arial" w:eastAsia="Arial" w:hAnsi="Arial"/>
          <w:sz w:val="16"/>
          <w:szCs w:val="16"/>
          <w:color w:val="auto"/>
        </w:rPr>
        <w:t>To increase executive share ownership and promote a long-term perspective when managing our business, our NEOs and certain other senior executives are required to retain 50% of the net after-tax shares received from any equity compensation awards granted to them after they become subject to the guidelines. They are subject to this requirement until they achieve and maintain the required ownership level set forth below. All of the NEOs are on track to meet their ownership target and are in compliance with the 50% retention requirement.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132080</wp:posOffset>
            </wp:positionV>
            <wp:extent cx="699516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0" w:name="page61"/>
    <w:bookmarkEnd w:id="60"/>
    <w:tbl>
      <w:tblPr>
        <w:tblLayout w:type="fixed"/>
        <w:tblInd w:w="30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3220" w:type="dxa"/>
            <w:vAlign w:val="bottom"/>
          </w:tcPr>
          <w:p>
            <w:pPr>
              <w:spacing w:after="0"/>
              <w:rPr>
                <w:sz w:val="14"/>
                <w:szCs w:val="14"/>
                <w:color w:val="auto"/>
              </w:rPr>
            </w:pPr>
          </w:p>
        </w:tc>
        <w:tc>
          <w:tcPr>
            <w:tcW w:w="3660" w:type="dxa"/>
            <w:vAlign w:val="bottom"/>
          </w:tcPr>
          <w:p>
            <w:pPr>
              <w:spacing w:after="0"/>
              <w:rPr>
                <w:sz w:val="14"/>
                <w:szCs w:val="14"/>
                <w:color w:val="auto"/>
              </w:rPr>
            </w:pPr>
          </w:p>
        </w:tc>
      </w:tr>
      <w:tr>
        <w:trPr>
          <w:trHeight w:val="342"/>
        </w:trPr>
        <w:tc>
          <w:tcPr>
            <w:tcW w:w="4760" w:type="dxa"/>
            <w:vAlign w:val="bottom"/>
            <w:gridSpan w:val="2"/>
          </w:tcPr>
          <w:p>
            <w:pPr>
              <w:spacing w:after="0"/>
              <w:rPr>
                <w:sz w:val="20"/>
                <w:szCs w:val="20"/>
                <w:color w:val="auto"/>
              </w:rPr>
            </w:pPr>
            <w:r>
              <w:rPr>
                <w:rFonts w:ascii="Arial" w:cs="Arial" w:eastAsia="Arial" w:hAnsi="Arial"/>
                <w:sz w:val="16"/>
                <w:szCs w:val="16"/>
                <w:color w:val="342C82"/>
              </w:rPr>
              <w:t>Compensation Discussion and Analysis</w:t>
            </w:r>
          </w:p>
        </w:tc>
        <w:tc>
          <w:tcPr>
            <w:tcW w:w="3660" w:type="dxa"/>
            <w:vAlign w:val="bottom"/>
          </w:tcPr>
          <w:p>
            <w:pPr>
              <w:spacing w:after="0"/>
              <w:rPr>
                <w:sz w:val="24"/>
                <w:szCs w:val="24"/>
                <w:color w:val="auto"/>
              </w:rPr>
            </w:pPr>
          </w:p>
        </w:tc>
      </w:tr>
      <w:tr>
        <w:trPr>
          <w:trHeight w:val="373"/>
        </w:trPr>
        <w:tc>
          <w:tcPr>
            <w:tcW w:w="4760" w:type="dxa"/>
            <w:vAlign w:val="bottom"/>
            <w:gridSpan w:val="2"/>
          </w:tcPr>
          <w:p>
            <w:pPr>
              <w:ind w:left="160"/>
              <w:spacing w:after="0"/>
              <w:rPr>
                <w:sz w:val="20"/>
                <w:szCs w:val="20"/>
                <w:color w:val="auto"/>
              </w:rPr>
            </w:pPr>
            <w:r>
              <w:rPr>
                <w:rFonts w:ascii="Arial" w:cs="Arial" w:eastAsia="Arial" w:hAnsi="Arial"/>
                <w:sz w:val="16"/>
                <w:szCs w:val="16"/>
                <w:b w:val="1"/>
                <w:bCs w:val="1"/>
                <w:color w:val="auto"/>
              </w:rPr>
              <w:t>Position</w:t>
            </w:r>
          </w:p>
        </w:tc>
        <w:tc>
          <w:tcPr>
            <w:tcW w:w="3660" w:type="dxa"/>
            <w:vAlign w:val="bottom"/>
          </w:tcPr>
          <w:p>
            <w:pPr>
              <w:ind w:left="1920"/>
              <w:spacing w:after="0"/>
              <w:rPr>
                <w:sz w:val="20"/>
                <w:szCs w:val="20"/>
                <w:color w:val="auto"/>
              </w:rPr>
            </w:pPr>
            <w:r>
              <w:rPr>
                <w:rFonts w:ascii="Arial" w:cs="Arial" w:eastAsia="Arial" w:hAnsi="Arial"/>
                <w:sz w:val="16"/>
                <w:szCs w:val="16"/>
                <w:b w:val="1"/>
                <w:bCs w:val="1"/>
                <w:color w:val="auto"/>
              </w:rPr>
              <w:t>Multiple</w:t>
            </w:r>
          </w:p>
        </w:tc>
      </w:tr>
      <w:tr>
        <w:trPr>
          <w:trHeight w:val="34"/>
        </w:trPr>
        <w:tc>
          <w:tcPr>
            <w:tcW w:w="1540" w:type="dxa"/>
            <w:vAlign w:val="bottom"/>
            <w:tcBorders>
              <w:bottom w:val="single" w:sz="8" w:color="342C82"/>
            </w:tcBorders>
          </w:tcPr>
          <w:p>
            <w:pPr>
              <w:spacing w:after="0"/>
              <w:rPr>
                <w:sz w:val="3"/>
                <w:szCs w:val="3"/>
                <w:color w:val="auto"/>
              </w:rPr>
            </w:pPr>
          </w:p>
        </w:tc>
        <w:tc>
          <w:tcPr>
            <w:tcW w:w="3220" w:type="dxa"/>
            <w:vAlign w:val="bottom"/>
            <w:tcBorders>
              <w:bottom w:val="single" w:sz="8" w:color="342C82"/>
            </w:tcBorders>
          </w:tcPr>
          <w:p>
            <w:pPr>
              <w:spacing w:after="0"/>
              <w:rPr>
                <w:sz w:val="3"/>
                <w:szCs w:val="3"/>
                <w:color w:val="auto"/>
              </w:rPr>
            </w:pPr>
          </w:p>
        </w:tc>
        <w:tc>
          <w:tcPr>
            <w:tcW w:w="3660" w:type="dxa"/>
            <w:vAlign w:val="bottom"/>
            <w:tcBorders>
              <w:bottom w:val="single" w:sz="8" w:color="342C82"/>
            </w:tcBorders>
          </w:tcPr>
          <w:p>
            <w:pPr>
              <w:spacing w:after="0"/>
              <w:rPr>
                <w:sz w:val="3"/>
                <w:szCs w:val="3"/>
                <w:color w:val="auto"/>
              </w:rPr>
            </w:pPr>
          </w:p>
        </w:tc>
      </w:tr>
      <w:tr>
        <w:trPr>
          <w:trHeight w:val="234"/>
        </w:trPr>
        <w:tc>
          <w:tcPr>
            <w:tcW w:w="4760" w:type="dxa"/>
            <w:vAlign w:val="bottom"/>
            <w:gridSpan w:val="2"/>
          </w:tcPr>
          <w:p>
            <w:pPr>
              <w:ind w:left="160"/>
              <w:spacing w:after="0"/>
              <w:rPr>
                <w:sz w:val="20"/>
                <w:szCs w:val="20"/>
                <w:color w:val="auto"/>
              </w:rPr>
            </w:pPr>
            <w:r>
              <w:rPr>
                <w:rFonts w:ascii="Arial" w:cs="Arial" w:eastAsia="Arial" w:hAnsi="Arial"/>
                <w:sz w:val="16"/>
                <w:szCs w:val="16"/>
                <w:color w:val="auto"/>
              </w:rPr>
              <w:t>CEO</w:t>
            </w:r>
          </w:p>
        </w:tc>
        <w:tc>
          <w:tcPr>
            <w:tcW w:w="3660" w:type="dxa"/>
            <w:vAlign w:val="bottom"/>
          </w:tcPr>
          <w:p>
            <w:pPr>
              <w:ind w:left="1920"/>
              <w:spacing w:after="0"/>
              <w:rPr>
                <w:sz w:val="20"/>
                <w:szCs w:val="20"/>
                <w:color w:val="auto"/>
              </w:rPr>
            </w:pPr>
            <w:r>
              <w:rPr>
                <w:rFonts w:ascii="Arial" w:cs="Arial" w:eastAsia="Arial" w:hAnsi="Arial"/>
                <w:sz w:val="16"/>
                <w:szCs w:val="16"/>
                <w:color w:val="auto"/>
              </w:rPr>
              <w:t>5 times salary</w:t>
            </w:r>
          </w:p>
        </w:tc>
      </w:tr>
      <w:tr>
        <w:trPr>
          <w:trHeight w:val="43"/>
        </w:trPr>
        <w:tc>
          <w:tcPr>
            <w:tcW w:w="1540" w:type="dxa"/>
            <w:vAlign w:val="bottom"/>
            <w:tcBorders>
              <w:bottom w:val="single" w:sz="8" w:color="808080"/>
            </w:tcBorders>
          </w:tcPr>
          <w:p>
            <w:pPr>
              <w:spacing w:after="0"/>
              <w:rPr>
                <w:sz w:val="3"/>
                <w:szCs w:val="3"/>
                <w:color w:val="auto"/>
              </w:rPr>
            </w:pPr>
          </w:p>
        </w:tc>
        <w:tc>
          <w:tcPr>
            <w:tcW w:w="3220" w:type="dxa"/>
            <w:vAlign w:val="bottom"/>
            <w:tcBorders>
              <w:bottom w:val="single" w:sz="8" w:color="808080"/>
            </w:tcBorders>
          </w:tcPr>
          <w:p>
            <w:pPr>
              <w:spacing w:after="0"/>
              <w:rPr>
                <w:sz w:val="3"/>
                <w:szCs w:val="3"/>
                <w:color w:val="auto"/>
              </w:rPr>
            </w:pPr>
          </w:p>
        </w:tc>
        <w:tc>
          <w:tcPr>
            <w:tcW w:w="3660" w:type="dxa"/>
            <w:vAlign w:val="bottom"/>
            <w:tcBorders>
              <w:bottom w:val="single" w:sz="8" w:color="808080"/>
            </w:tcBorders>
          </w:tcPr>
          <w:p>
            <w:pPr>
              <w:spacing w:after="0"/>
              <w:rPr>
                <w:sz w:val="3"/>
                <w:szCs w:val="3"/>
                <w:color w:val="auto"/>
              </w:rPr>
            </w:pPr>
          </w:p>
        </w:tc>
      </w:tr>
      <w:tr>
        <w:trPr>
          <w:trHeight w:val="234"/>
        </w:trPr>
        <w:tc>
          <w:tcPr>
            <w:tcW w:w="4760" w:type="dxa"/>
            <w:vAlign w:val="bottom"/>
            <w:gridSpan w:val="2"/>
          </w:tcPr>
          <w:p>
            <w:pPr>
              <w:ind w:left="160"/>
              <w:spacing w:after="0"/>
              <w:rPr>
                <w:sz w:val="20"/>
                <w:szCs w:val="20"/>
                <w:color w:val="auto"/>
              </w:rPr>
            </w:pPr>
            <w:r>
              <w:rPr>
                <w:rFonts w:ascii="Arial" w:cs="Arial" w:eastAsia="Arial" w:hAnsi="Arial"/>
                <w:sz w:val="16"/>
                <w:szCs w:val="16"/>
                <w:color w:val="auto"/>
              </w:rPr>
              <w:t>Other NEOs</w:t>
            </w:r>
          </w:p>
        </w:tc>
        <w:tc>
          <w:tcPr>
            <w:tcW w:w="3660" w:type="dxa"/>
            <w:vAlign w:val="bottom"/>
          </w:tcPr>
          <w:p>
            <w:pPr>
              <w:ind w:left="1920"/>
              <w:spacing w:after="0"/>
              <w:rPr>
                <w:sz w:val="20"/>
                <w:szCs w:val="20"/>
                <w:color w:val="auto"/>
              </w:rPr>
            </w:pPr>
            <w:r>
              <w:rPr>
                <w:rFonts w:ascii="Arial" w:cs="Arial" w:eastAsia="Arial" w:hAnsi="Arial"/>
                <w:sz w:val="16"/>
                <w:szCs w:val="16"/>
                <w:color w:val="auto"/>
              </w:rPr>
              <w:t>3 times salary</w:t>
            </w:r>
          </w:p>
        </w:tc>
      </w:tr>
      <w:tr>
        <w:trPr>
          <w:trHeight w:val="29"/>
        </w:trPr>
        <w:tc>
          <w:tcPr>
            <w:tcW w:w="1540" w:type="dxa"/>
            <w:vAlign w:val="bottom"/>
            <w:tcBorders>
              <w:bottom w:val="single" w:sz="8" w:color="342C82"/>
            </w:tcBorders>
          </w:tcPr>
          <w:p>
            <w:pPr>
              <w:spacing w:after="0"/>
              <w:rPr>
                <w:sz w:val="2"/>
                <w:szCs w:val="2"/>
                <w:color w:val="auto"/>
              </w:rPr>
            </w:pPr>
          </w:p>
        </w:tc>
        <w:tc>
          <w:tcPr>
            <w:tcW w:w="3220" w:type="dxa"/>
            <w:vAlign w:val="bottom"/>
            <w:tcBorders>
              <w:bottom w:val="single" w:sz="8" w:color="342C82"/>
            </w:tcBorders>
          </w:tcPr>
          <w:p>
            <w:pPr>
              <w:spacing w:after="0"/>
              <w:rPr>
                <w:sz w:val="2"/>
                <w:szCs w:val="2"/>
                <w:color w:val="auto"/>
              </w:rPr>
            </w:pPr>
          </w:p>
        </w:tc>
        <w:tc>
          <w:tcPr>
            <w:tcW w:w="3660" w:type="dxa"/>
            <w:vAlign w:val="bottom"/>
            <w:tcBorders>
              <w:bottom w:val="single" w:sz="8" w:color="342C82"/>
            </w:tcBorders>
          </w:tcPr>
          <w:p>
            <w:pPr>
              <w:spacing w:after="0"/>
              <w:rPr>
                <w:sz w:val="2"/>
                <w:szCs w:val="2"/>
                <w:color w:val="auto"/>
              </w:rPr>
            </w:pPr>
          </w:p>
        </w:tc>
      </w:tr>
    </w:tbl>
    <w:p>
      <w:pPr>
        <w:spacing w:after="0" w:line="369" w:lineRule="exact"/>
        <w:rPr>
          <w:sz w:val="20"/>
          <w:szCs w:val="20"/>
          <w:color w:val="auto"/>
        </w:rPr>
      </w:pPr>
    </w:p>
    <w:p>
      <w:pPr>
        <w:ind w:left="300"/>
        <w:spacing w:after="0"/>
        <w:rPr>
          <w:sz w:val="20"/>
          <w:szCs w:val="20"/>
          <w:color w:val="auto"/>
        </w:rPr>
      </w:pPr>
      <w:r>
        <w:rPr>
          <w:rFonts w:ascii="Arial" w:cs="Arial" w:eastAsia="Arial" w:hAnsi="Arial"/>
          <w:sz w:val="25"/>
          <w:szCs w:val="25"/>
          <w:color w:val="342C82"/>
        </w:rPr>
        <w:t>Pledging and hedging policy</w:t>
      </w:r>
    </w:p>
    <w:p>
      <w:pPr>
        <w:spacing w:after="0" w:line="139" w:lineRule="exact"/>
        <w:rPr>
          <w:sz w:val="20"/>
          <w:szCs w:val="20"/>
          <w:color w:val="auto"/>
        </w:rPr>
      </w:pPr>
    </w:p>
    <w:p>
      <w:pPr>
        <w:ind w:left="300" w:right="339"/>
        <w:spacing w:after="0" w:line="253" w:lineRule="auto"/>
        <w:rPr>
          <w:sz w:val="20"/>
          <w:szCs w:val="20"/>
          <w:color w:val="auto"/>
        </w:rPr>
      </w:pPr>
      <w:r>
        <w:rPr>
          <w:rFonts w:ascii="Arial" w:cs="Arial" w:eastAsia="Arial" w:hAnsi="Arial"/>
          <w:sz w:val="16"/>
          <w:szCs w:val="16"/>
          <w:color w:val="auto"/>
        </w:rPr>
        <w:t>Embecta maintains a policy that prohibits all our employees (including our NEOs) and members of our Board from pledging or short selling any Embecta shares or other Embecta securities, trading in options (including exchange-traded options) or engaging in puts, calls, forward contracts or any other derivative transactions that are intended to hedge against the risk of any decrease in the market value of Embecta shares or other Embecta securities granted to them as part of their compensation from Embecta or that are held directly or indirectly by them. The policy also strongly discourages employees and members of our Board from repeatedly trading into and out of holdings of Embecta securities.</w:t>
      </w:r>
    </w:p>
    <w:p>
      <w:pPr>
        <w:spacing w:after="0" w:line="335" w:lineRule="exact"/>
        <w:rPr>
          <w:sz w:val="20"/>
          <w:szCs w:val="20"/>
          <w:color w:val="auto"/>
        </w:rPr>
      </w:pPr>
    </w:p>
    <w:p>
      <w:pPr>
        <w:ind w:left="300"/>
        <w:spacing w:after="0"/>
        <w:rPr>
          <w:sz w:val="20"/>
          <w:szCs w:val="20"/>
          <w:color w:val="auto"/>
        </w:rPr>
      </w:pPr>
      <w:r>
        <w:rPr>
          <w:rFonts w:ascii="Arial" w:cs="Arial" w:eastAsia="Arial" w:hAnsi="Arial"/>
          <w:sz w:val="25"/>
          <w:szCs w:val="25"/>
          <w:color w:val="342C82"/>
        </w:rPr>
        <w:t>Equity award policy</w:t>
      </w:r>
    </w:p>
    <w:p>
      <w:pPr>
        <w:spacing w:after="0" w:line="153" w:lineRule="exact"/>
        <w:rPr>
          <w:sz w:val="20"/>
          <w:szCs w:val="20"/>
          <w:color w:val="auto"/>
        </w:rPr>
      </w:pPr>
    </w:p>
    <w:p>
      <w:pPr>
        <w:ind w:left="300" w:right="419"/>
        <w:spacing w:after="0" w:line="259" w:lineRule="auto"/>
        <w:rPr>
          <w:sz w:val="20"/>
          <w:szCs w:val="20"/>
          <w:color w:val="auto"/>
        </w:rPr>
      </w:pPr>
      <w:r>
        <w:rPr>
          <w:rFonts w:ascii="Arial" w:cs="Arial" w:eastAsia="Arial" w:hAnsi="Arial"/>
          <w:sz w:val="16"/>
          <w:szCs w:val="16"/>
          <w:color w:val="auto"/>
        </w:rPr>
        <w:t>The Compensation Committee has adopted a policy that prohibits the backdating of any equity compensation award and requires annual equity compensation awards and any “off-cycle” awards approved by our CEO to be made on pre-determined fixed dates. The policy also prohibits manipulating the timing of either the public release of information or the grant of an award to increase the value of an award.</w:t>
      </w:r>
    </w:p>
    <w:p>
      <w:pPr>
        <w:spacing w:after="0" w:line="331" w:lineRule="exact"/>
        <w:rPr>
          <w:sz w:val="20"/>
          <w:szCs w:val="20"/>
          <w:color w:val="auto"/>
        </w:rPr>
      </w:pPr>
    </w:p>
    <w:p>
      <w:pPr>
        <w:ind w:left="300"/>
        <w:spacing w:after="0"/>
        <w:rPr>
          <w:sz w:val="20"/>
          <w:szCs w:val="20"/>
          <w:color w:val="auto"/>
        </w:rPr>
      </w:pPr>
      <w:r>
        <w:rPr>
          <w:rFonts w:ascii="Arial" w:cs="Arial" w:eastAsia="Arial" w:hAnsi="Arial"/>
          <w:sz w:val="25"/>
          <w:szCs w:val="25"/>
          <w:color w:val="342C82"/>
        </w:rPr>
        <w:t>Tax considerations</w:t>
      </w:r>
    </w:p>
    <w:p>
      <w:pPr>
        <w:spacing w:after="0" w:line="139" w:lineRule="exact"/>
        <w:rPr>
          <w:sz w:val="20"/>
          <w:szCs w:val="20"/>
          <w:color w:val="auto"/>
        </w:rPr>
      </w:pPr>
    </w:p>
    <w:p>
      <w:pPr>
        <w:ind w:left="300" w:right="539"/>
        <w:spacing w:after="0" w:line="256" w:lineRule="auto"/>
        <w:rPr>
          <w:sz w:val="20"/>
          <w:szCs w:val="20"/>
          <w:color w:val="auto"/>
        </w:rPr>
      </w:pPr>
      <w:r>
        <w:rPr>
          <w:rFonts w:ascii="Arial" w:cs="Arial" w:eastAsia="Arial" w:hAnsi="Arial"/>
          <w:sz w:val="16"/>
          <w:szCs w:val="16"/>
          <w:color w:val="auto"/>
        </w:rPr>
        <w:t>While the Compensation Committee generally has attempted to maximize the tax deductibility of executive compensation, the Compensation Committee believes that the primary purpose of our compensation program is to support Embecta’s business strategy and the long-term interests of Embecta’s stockholders. Therefore, the Compensation Committee has maintained the flexibility to award compensation that may not be tax-deductible if doing so furthers the objectives of our executive compensation program.</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25"/>
          <w:szCs w:val="25"/>
          <w:color w:val="342C82"/>
        </w:rPr>
        <w:t>Accounting considerations</w:t>
      </w:r>
    </w:p>
    <w:p>
      <w:pPr>
        <w:spacing w:after="0" w:line="139" w:lineRule="exact"/>
        <w:rPr>
          <w:sz w:val="20"/>
          <w:szCs w:val="20"/>
          <w:color w:val="auto"/>
        </w:rPr>
      </w:pPr>
    </w:p>
    <w:p>
      <w:pPr>
        <w:ind w:left="300" w:right="299"/>
        <w:spacing w:after="0" w:line="249" w:lineRule="auto"/>
        <w:rPr>
          <w:sz w:val="20"/>
          <w:szCs w:val="20"/>
          <w:color w:val="auto"/>
        </w:rPr>
      </w:pPr>
      <w:r>
        <w:rPr>
          <w:rFonts w:ascii="Arial" w:cs="Arial" w:eastAsia="Arial" w:hAnsi="Arial"/>
          <w:sz w:val="16"/>
          <w:szCs w:val="16"/>
          <w:color w:val="auto"/>
        </w:rPr>
        <w:t>We follow FASB ASC Topic 718 for our stock-based compensation awards. FASB ASC Topic 718 requires companies to measure the compensation expense for all share-based payment awards made to employees and directors, including restricted stock awards and performance-based awards, based on the grant date fair value of these awards. Depending upon the type of performance conditions applicable to performance-based awards, FASB ASC Topic 718 may require the recording of compensation expense over the service period for the award (usually, the vesting period of the award) based on the grant date value or compensation expense may be recorded based on the expected probability of vesting over the vesting period and subject to adjustment as such probability may vary from period to period. In the case of our PSUs that contain financial performance measures, since the service inception date precedes the grant date of the award (as (a) the awards were authorized prior to establishing an accounting grant date, (b) the recipients began providing services prior to the grant date, and (c) there are performance conditions that, if not met by the accounting grant date, will result in the forfeiture of the awards) and the grant date fair value is not determinable at this time, the amount reported in the Summary Compensation Table and Grants of Plan-Based Awards Table is the fair value of the awards at the service inception date (November 26, 2023), based upon the then-probable outcome of the performance conditions.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132080</wp:posOffset>
            </wp:positionV>
            <wp:extent cx="699516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1" w:name="page62"/>
    <w:bookmarkEnd w:id="6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6" w:lineRule="exact"/>
        <w:rPr>
          <w:sz w:val="20"/>
          <w:szCs w:val="20"/>
          <w:color w:val="auto"/>
        </w:rPr>
      </w:pPr>
    </w:p>
    <w:p>
      <w:pPr>
        <w:ind w:left="300" w:right="1339"/>
        <w:spacing w:after="0" w:line="279" w:lineRule="auto"/>
        <w:rPr>
          <w:sz w:val="20"/>
          <w:szCs w:val="20"/>
          <w:color w:val="auto"/>
        </w:rPr>
      </w:pPr>
      <w:r>
        <w:rPr>
          <w:rFonts w:ascii="Arial" w:cs="Arial" w:eastAsia="Arial" w:hAnsi="Arial"/>
          <w:sz w:val="43"/>
          <w:szCs w:val="43"/>
          <w:color w:val="342C82"/>
        </w:rPr>
        <w:t>Report of the Compensation and Management Development Committee</w:t>
      </w:r>
    </w:p>
    <w:p>
      <w:pPr>
        <w:spacing w:after="0" w:line="12" w:lineRule="exact"/>
        <w:rPr>
          <w:sz w:val="20"/>
          <w:szCs w:val="20"/>
          <w:color w:val="auto"/>
        </w:rPr>
      </w:pPr>
    </w:p>
    <w:p>
      <w:pPr>
        <w:ind w:left="300" w:right="579"/>
        <w:spacing w:after="0" w:line="259" w:lineRule="auto"/>
        <w:rPr>
          <w:sz w:val="20"/>
          <w:szCs w:val="20"/>
          <w:color w:val="auto"/>
        </w:rPr>
      </w:pPr>
      <w:r>
        <w:rPr>
          <w:rFonts w:ascii="Arial" w:cs="Arial" w:eastAsia="Arial" w:hAnsi="Arial"/>
          <w:sz w:val="16"/>
          <w:szCs w:val="16"/>
          <w:color w:val="auto"/>
        </w:rPr>
        <w:t>The Compensation Committee has reviewed and discussed the Compensation Discussion and Analysis with management and, based on such review and discussions, has recommended to the Board that the Compensation Discussion and Analysis be included in Embecta’s Annual Report on Form 10-K for the fiscal year ended September 30, 2024 and in this proxy statement.</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342C82"/>
        </w:rPr>
        <w:t>COMPENSATION AND MANAGEMENT DEVELOPMENT COMMITTEE</w:t>
      </w:r>
    </w:p>
    <w:p>
      <w:pPr>
        <w:spacing w:after="0" w:line="194" w:lineRule="exact"/>
        <w:rPr>
          <w:sz w:val="20"/>
          <w:szCs w:val="20"/>
          <w:color w:val="auto"/>
        </w:rPr>
      </w:pPr>
    </w:p>
    <w:p>
      <w:pPr>
        <w:ind w:left="460"/>
        <w:spacing w:after="0"/>
        <w:tabs>
          <w:tab w:leader="none" w:pos="3560" w:val="left"/>
          <w:tab w:leader="none" w:pos="6060" w:val="left"/>
        </w:tabs>
        <w:rPr>
          <w:sz w:val="20"/>
          <w:szCs w:val="20"/>
          <w:color w:val="auto"/>
        </w:rPr>
      </w:pPr>
      <w:r>
        <w:rPr>
          <w:rFonts w:ascii="Arial" w:cs="Arial" w:eastAsia="Arial" w:hAnsi="Arial"/>
          <w:sz w:val="16"/>
          <w:szCs w:val="16"/>
          <w:color w:val="auto"/>
        </w:rPr>
        <w:t>Karen N. Prange (Chair)</w:t>
      </w:r>
      <w:r>
        <w:rPr>
          <w:sz w:val="20"/>
          <w:szCs w:val="20"/>
          <w:color w:val="auto"/>
        </w:rPr>
        <w:tab/>
      </w:r>
      <w:r>
        <w:rPr>
          <w:rFonts w:ascii="Arial" w:cs="Arial" w:eastAsia="Arial" w:hAnsi="Arial"/>
          <w:sz w:val="16"/>
          <w:szCs w:val="16"/>
          <w:color w:val="auto"/>
        </w:rPr>
        <w:t>Bob J. Hombach</w:t>
      </w:r>
      <w:r>
        <w:rPr>
          <w:sz w:val="20"/>
          <w:szCs w:val="20"/>
          <w:color w:val="auto"/>
        </w:rPr>
        <w:tab/>
      </w:r>
      <w:r>
        <w:rPr>
          <w:rFonts w:ascii="Arial" w:cs="Arial" w:eastAsia="Arial" w:hAnsi="Arial"/>
          <w:sz w:val="16"/>
          <w:szCs w:val="16"/>
          <w:color w:val="auto"/>
        </w:rPr>
        <w:t>Dr. Milton M. Morris</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123825</wp:posOffset>
            </wp:positionV>
            <wp:extent cx="699516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6" w:lineRule="exact"/>
        <w:rPr>
          <w:sz w:val="20"/>
          <w:szCs w:val="20"/>
          <w:color w:val="auto"/>
        </w:rPr>
      </w:pPr>
    </w:p>
    <w:p>
      <w:pPr>
        <w:ind w:left="340" w:right="1980"/>
        <w:spacing w:after="0" w:line="279" w:lineRule="auto"/>
        <w:rPr>
          <w:sz w:val="20"/>
          <w:szCs w:val="20"/>
          <w:color w:val="auto"/>
        </w:rPr>
      </w:pPr>
      <w:r>
        <w:rPr>
          <w:rFonts w:ascii="Arial" w:cs="Arial" w:eastAsia="Arial" w:hAnsi="Arial"/>
          <w:sz w:val="43"/>
          <w:szCs w:val="43"/>
          <w:color w:val="342C82"/>
        </w:rPr>
        <w:t>Compensation of Named Executive Officers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29"/>
          <w:szCs w:val="29"/>
          <w:color w:val="342C82"/>
        </w:rPr>
        <w:t>Summary Compensation Table</w:t>
      </w:r>
    </w:p>
    <w:p>
      <w:pPr>
        <w:spacing w:after="0" w:line="130" w:lineRule="exact"/>
        <w:rPr>
          <w:sz w:val="20"/>
          <w:szCs w:val="20"/>
          <w:color w:val="auto"/>
        </w:rPr>
      </w:pPr>
    </w:p>
    <w:p>
      <w:pPr>
        <w:ind w:left="340" w:right="760"/>
        <w:spacing w:after="0" w:line="286" w:lineRule="auto"/>
        <w:rPr>
          <w:sz w:val="20"/>
          <w:szCs w:val="20"/>
          <w:color w:val="auto"/>
        </w:rPr>
      </w:pPr>
      <w:r>
        <w:rPr>
          <w:rFonts w:ascii="Arial" w:cs="Arial" w:eastAsia="Arial" w:hAnsi="Arial"/>
          <w:sz w:val="16"/>
          <w:szCs w:val="16"/>
          <w:color w:val="auto"/>
        </w:rPr>
        <w:t>The following table shows the compensation provided by Embecta to each of the NEOs in the fiscal year ending September 30, 2024.</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jc w:val="right"/>
              <w:ind w:right="110"/>
              <w:spacing w:after="0"/>
              <w:rPr>
                <w:sz w:val="20"/>
                <w:szCs w:val="20"/>
                <w:color w:val="auto"/>
              </w:rPr>
            </w:pPr>
            <w:r>
              <w:rPr>
                <w:rFonts w:ascii="Arial" w:cs="Arial" w:eastAsia="Arial" w:hAnsi="Arial"/>
                <w:sz w:val="13"/>
                <w:szCs w:val="13"/>
                <w:b w:val="1"/>
                <w:bCs w:val="1"/>
                <w:color w:val="auto"/>
              </w:rPr>
              <w:t>Nonequity</w:t>
            </w:r>
          </w:p>
        </w:tc>
        <w:tc>
          <w:tcPr>
            <w:tcW w:w="1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460" w:type="dxa"/>
            <w:vAlign w:val="bottom"/>
          </w:tcPr>
          <w:p>
            <w:pPr>
              <w:ind w:left="80"/>
              <w:spacing w:after="0"/>
              <w:rPr>
                <w:sz w:val="20"/>
                <w:szCs w:val="20"/>
                <w:color w:val="auto"/>
              </w:rPr>
            </w:pPr>
            <w:r>
              <w:rPr>
                <w:rFonts w:ascii="Arial" w:cs="Arial" w:eastAsia="Arial" w:hAnsi="Arial"/>
                <w:sz w:val="13"/>
                <w:szCs w:val="13"/>
                <w:b w:val="1"/>
                <w:bCs w:val="1"/>
                <w:color w:val="auto"/>
              </w:rPr>
              <w:t>Name and</w:t>
            </w:r>
          </w:p>
        </w:tc>
        <w:tc>
          <w:tcPr>
            <w:tcW w:w="580" w:type="dxa"/>
            <w:vAlign w:val="bottom"/>
          </w:tcPr>
          <w:p>
            <w:pPr>
              <w:spacing w:after="0"/>
              <w:rPr>
                <w:sz w:val="14"/>
                <w:szCs w:val="14"/>
                <w:color w:val="auto"/>
              </w:rPr>
            </w:pPr>
          </w:p>
        </w:tc>
        <w:tc>
          <w:tcPr>
            <w:tcW w:w="820" w:type="dxa"/>
            <w:vAlign w:val="bottom"/>
            <w:vMerge w:val="restart"/>
          </w:tcPr>
          <w:p>
            <w:pPr>
              <w:jc w:val="right"/>
              <w:ind w:right="69"/>
              <w:spacing w:after="0"/>
              <w:rPr>
                <w:sz w:val="20"/>
                <w:szCs w:val="20"/>
                <w:color w:val="auto"/>
              </w:rPr>
            </w:pPr>
            <w:r>
              <w:rPr>
                <w:rFonts w:ascii="Arial" w:cs="Arial" w:eastAsia="Arial" w:hAnsi="Arial"/>
                <w:sz w:val="13"/>
                <w:szCs w:val="13"/>
                <w:b w:val="1"/>
                <w:bCs w:val="1"/>
                <w:color w:val="auto"/>
              </w:rPr>
              <w:t>Salary</w:t>
            </w:r>
          </w:p>
        </w:tc>
        <w:tc>
          <w:tcPr>
            <w:tcW w:w="800" w:type="dxa"/>
            <w:vAlign w:val="bottom"/>
            <w:vMerge w:val="restart"/>
          </w:tcPr>
          <w:p>
            <w:pPr>
              <w:jc w:val="right"/>
              <w:ind w:right="69"/>
              <w:spacing w:after="0"/>
              <w:rPr>
                <w:sz w:val="20"/>
                <w:szCs w:val="20"/>
                <w:color w:val="auto"/>
              </w:rPr>
            </w:pPr>
            <w:r>
              <w:rPr>
                <w:rFonts w:ascii="Arial" w:cs="Arial" w:eastAsia="Arial" w:hAnsi="Arial"/>
                <w:sz w:val="13"/>
                <w:szCs w:val="13"/>
                <w:b w:val="1"/>
                <w:bCs w:val="1"/>
                <w:color w:val="auto"/>
              </w:rPr>
              <w:t>Bonus</w:t>
            </w:r>
          </w:p>
        </w:tc>
        <w:tc>
          <w:tcPr>
            <w:tcW w:w="960" w:type="dxa"/>
            <w:vAlign w:val="bottom"/>
          </w:tcPr>
          <w:p>
            <w:pPr>
              <w:jc w:val="right"/>
              <w:ind w:right="70"/>
              <w:spacing w:after="0"/>
              <w:rPr>
                <w:sz w:val="20"/>
                <w:szCs w:val="20"/>
                <w:color w:val="auto"/>
              </w:rPr>
            </w:pPr>
            <w:r>
              <w:rPr>
                <w:rFonts w:ascii="Arial" w:cs="Arial" w:eastAsia="Arial" w:hAnsi="Arial"/>
                <w:sz w:val="13"/>
                <w:szCs w:val="13"/>
                <w:b w:val="1"/>
                <w:bCs w:val="1"/>
                <w:color w:val="auto"/>
              </w:rPr>
              <w:t>Stock</w:t>
            </w:r>
          </w:p>
        </w:tc>
        <w:tc>
          <w:tcPr>
            <w:tcW w:w="1020" w:type="dxa"/>
            <w:vAlign w:val="bottom"/>
          </w:tcPr>
          <w:p>
            <w:pPr>
              <w:jc w:val="right"/>
              <w:ind w:right="130"/>
              <w:spacing w:after="0"/>
              <w:rPr>
                <w:sz w:val="20"/>
                <w:szCs w:val="20"/>
                <w:color w:val="auto"/>
              </w:rPr>
            </w:pPr>
            <w:r>
              <w:rPr>
                <w:rFonts w:ascii="Arial" w:cs="Arial" w:eastAsia="Arial" w:hAnsi="Arial"/>
                <w:sz w:val="13"/>
                <w:szCs w:val="13"/>
                <w:b w:val="1"/>
                <w:bCs w:val="1"/>
                <w:color w:val="auto"/>
              </w:rPr>
              <w:t>Option</w:t>
            </w:r>
          </w:p>
        </w:tc>
        <w:tc>
          <w:tcPr>
            <w:tcW w:w="1180" w:type="dxa"/>
            <w:vAlign w:val="bottom"/>
          </w:tcPr>
          <w:p>
            <w:pPr>
              <w:jc w:val="right"/>
              <w:ind w:right="110"/>
              <w:spacing w:after="0"/>
              <w:rPr>
                <w:sz w:val="20"/>
                <w:szCs w:val="20"/>
                <w:color w:val="auto"/>
              </w:rPr>
            </w:pPr>
            <w:r>
              <w:rPr>
                <w:rFonts w:ascii="Arial" w:cs="Arial" w:eastAsia="Arial" w:hAnsi="Arial"/>
                <w:sz w:val="13"/>
                <w:szCs w:val="13"/>
                <w:b w:val="1"/>
                <w:bCs w:val="1"/>
                <w:color w:val="auto"/>
              </w:rPr>
              <w:t>incentive plan</w:t>
            </w:r>
          </w:p>
        </w:tc>
        <w:tc>
          <w:tcPr>
            <w:tcW w:w="1220" w:type="dxa"/>
            <w:vAlign w:val="bottom"/>
          </w:tcPr>
          <w:p>
            <w:pPr>
              <w:jc w:val="right"/>
              <w:ind w:right="110"/>
              <w:spacing w:after="0"/>
              <w:rPr>
                <w:sz w:val="20"/>
                <w:szCs w:val="20"/>
                <w:color w:val="auto"/>
              </w:rPr>
            </w:pPr>
            <w:r>
              <w:rPr>
                <w:rFonts w:ascii="Arial" w:cs="Arial" w:eastAsia="Arial" w:hAnsi="Arial"/>
                <w:sz w:val="13"/>
                <w:szCs w:val="13"/>
                <w:b w:val="1"/>
                <w:bCs w:val="1"/>
                <w:color w:val="auto"/>
              </w:rPr>
              <w:t>All Other</w:t>
            </w:r>
          </w:p>
        </w:tc>
        <w:tc>
          <w:tcPr>
            <w:tcW w:w="1040" w:type="dxa"/>
            <w:vAlign w:val="bottom"/>
            <w:vMerge w:val="restart"/>
          </w:tcPr>
          <w:p>
            <w:pPr>
              <w:jc w:val="right"/>
              <w:ind w:right="2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5"/>
        </w:trPr>
        <w:tc>
          <w:tcPr>
            <w:tcW w:w="146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principal</w:t>
            </w:r>
          </w:p>
        </w:tc>
        <w:tc>
          <w:tcPr>
            <w:tcW w:w="580" w:type="dxa"/>
            <w:vAlign w:val="bottom"/>
            <w:vMerge w:val="restart"/>
          </w:tcPr>
          <w:p>
            <w:pPr>
              <w:jc w:val="right"/>
              <w:ind w:right="29"/>
              <w:spacing w:after="0"/>
              <w:rPr>
                <w:sz w:val="20"/>
                <w:szCs w:val="20"/>
                <w:color w:val="auto"/>
              </w:rPr>
            </w:pPr>
            <w:r>
              <w:rPr>
                <w:rFonts w:ascii="Arial" w:cs="Arial" w:eastAsia="Arial" w:hAnsi="Arial"/>
                <w:sz w:val="13"/>
                <w:szCs w:val="13"/>
                <w:b w:val="1"/>
                <w:bCs w:val="1"/>
                <w:color w:val="auto"/>
              </w:rPr>
              <w:t>Year</w:t>
            </w:r>
          </w:p>
        </w:tc>
        <w:tc>
          <w:tcPr>
            <w:tcW w:w="82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960" w:type="dxa"/>
            <w:vAlign w:val="bottom"/>
          </w:tcPr>
          <w:p>
            <w:pPr>
              <w:jc w:val="right"/>
              <w:ind w:right="70"/>
              <w:spacing w:after="0" w:line="135" w:lineRule="exact"/>
              <w:rPr>
                <w:sz w:val="20"/>
                <w:szCs w:val="20"/>
                <w:color w:val="auto"/>
              </w:rPr>
            </w:pPr>
            <w:r>
              <w:rPr>
                <w:rFonts w:ascii="Arial" w:cs="Arial" w:eastAsia="Arial" w:hAnsi="Arial"/>
                <w:sz w:val="13"/>
                <w:szCs w:val="13"/>
                <w:b w:val="1"/>
                <w:bCs w:val="1"/>
                <w:color w:val="auto"/>
              </w:rPr>
              <w:t>awards</w:t>
            </w:r>
          </w:p>
        </w:tc>
        <w:tc>
          <w:tcPr>
            <w:tcW w:w="1020" w:type="dxa"/>
            <w:vAlign w:val="bottom"/>
          </w:tcPr>
          <w:p>
            <w:pPr>
              <w:jc w:val="right"/>
              <w:ind w:right="130"/>
              <w:spacing w:after="0" w:line="135" w:lineRule="exact"/>
              <w:rPr>
                <w:sz w:val="20"/>
                <w:szCs w:val="20"/>
                <w:color w:val="auto"/>
              </w:rPr>
            </w:pPr>
            <w:r>
              <w:rPr>
                <w:rFonts w:ascii="Arial" w:cs="Arial" w:eastAsia="Arial" w:hAnsi="Arial"/>
                <w:sz w:val="13"/>
                <w:szCs w:val="13"/>
                <w:b w:val="1"/>
                <w:bCs w:val="1"/>
                <w:color w:val="auto"/>
              </w:rPr>
              <w:t>awards</w:t>
            </w:r>
          </w:p>
        </w:tc>
        <w:tc>
          <w:tcPr>
            <w:tcW w:w="1180" w:type="dxa"/>
            <w:vAlign w:val="bottom"/>
          </w:tcPr>
          <w:p>
            <w:pPr>
              <w:jc w:val="right"/>
              <w:ind w:right="110"/>
              <w:spacing w:after="0" w:line="135" w:lineRule="exact"/>
              <w:rPr>
                <w:sz w:val="20"/>
                <w:szCs w:val="20"/>
                <w:color w:val="auto"/>
              </w:rPr>
            </w:pPr>
            <w:r>
              <w:rPr>
                <w:rFonts w:ascii="Arial" w:cs="Arial" w:eastAsia="Arial" w:hAnsi="Arial"/>
                <w:sz w:val="13"/>
                <w:szCs w:val="13"/>
                <w:b w:val="1"/>
                <w:bCs w:val="1"/>
                <w:color w:val="auto"/>
              </w:rPr>
              <w:t>compensation</w:t>
            </w:r>
          </w:p>
        </w:tc>
        <w:tc>
          <w:tcPr>
            <w:tcW w:w="1220" w:type="dxa"/>
            <w:vAlign w:val="bottom"/>
          </w:tcPr>
          <w:p>
            <w:pPr>
              <w:jc w:val="right"/>
              <w:ind w:right="110"/>
              <w:spacing w:after="0" w:line="135" w:lineRule="exact"/>
              <w:rPr>
                <w:sz w:val="20"/>
                <w:szCs w:val="20"/>
                <w:color w:val="auto"/>
              </w:rPr>
            </w:pPr>
            <w:r>
              <w:rPr>
                <w:rFonts w:ascii="Arial" w:cs="Arial" w:eastAsia="Arial" w:hAnsi="Arial"/>
                <w:sz w:val="13"/>
                <w:szCs w:val="13"/>
                <w:b w:val="1"/>
                <w:bCs w:val="1"/>
                <w:color w:val="auto"/>
              </w:rPr>
              <w:t>Compensation</w:t>
            </w: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460" w:type="dxa"/>
            <w:vAlign w:val="bottom"/>
            <w:tcBorders>
              <w:bottom w:val="single" w:sz="8" w:color="342C82"/>
            </w:tcBorders>
          </w:tcPr>
          <w:p>
            <w:pPr>
              <w:ind w:left="80"/>
              <w:spacing w:after="0"/>
              <w:rPr>
                <w:sz w:val="20"/>
                <w:szCs w:val="20"/>
                <w:color w:val="auto"/>
              </w:rPr>
            </w:pPr>
            <w:r>
              <w:rPr>
                <w:rFonts w:ascii="Arial" w:cs="Arial" w:eastAsia="Arial" w:hAnsi="Arial"/>
                <w:sz w:val="13"/>
                <w:szCs w:val="13"/>
                <w:b w:val="1"/>
                <w:bCs w:val="1"/>
                <w:color w:val="auto"/>
              </w:rPr>
              <w:t>position</w:t>
            </w:r>
          </w:p>
        </w:tc>
        <w:tc>
          <w:tcPr>
            <w:tcW w:w="580" w:type="dxa"/>
            <w:vAlign w:val="bottom"/>
            <w:tcBorders>
              <w:bottom w:val="single" w:sz="8" w:color="342C82"/>
            </w:tcBorders>
            <w:vMerge w:val="continue"/>
          </w:tcPr>
          <w:p>
            <w:pPr>
              <w:spacing w:after="0"/>
              <w:rPr>
                <w:sz w:val="17"/>
                <w:szCs w:val="17"/>
                <w:color w:val="auto"/>
              </w:rPr>
            </w:pPr>
          </w:p>
        </w:tc>
        <w:tc>
          <w:tcPr>
            <w:tcW w:w="820" w:type="dxa"/>
            <w:vAlign w:val="bottom"/>
            <w:tcBorders>
              <w:bottom w:val="single" w:sz="8" w:color="342C82"/>
            </w:tcBorders>
          </w:tcPr>
          <w:p>
            <w:pPr>
              <w:jc w:val="right"/>
              <w:ind w:right="49"/>
              <w:spacing w:after="0" w:line="203"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(1)</w:t>
            </w:r>
          </w:p>
        </w:tc>
        <w:tc>
          <w:tcPr>
            <w:tcW w:w="800" w:type="dxa"/>
            <w:vAlign w:val="bottom"/>
            <w:tcBorders>
              <w:bottom w:val="single" w:sz="8" w:color="342C82"/>
            </w:tcBorders>
          </w:tcPr>
          <w:p>
            <w:pPr>
              <w:jc w:val="right"/>
              <w:ind w:right="29"/>
              <w:spacing w:after="0"/>
              <w:rPr>
                <w:sz w:val="20"/>
                <w:szCs w:val="20"/>
                <w:color w:val="auto"/>
              </w:rPr>
            </w:pPr>
            <w:r>
              <w:rPr>
                <w:rFonts w:ascii="Arial" w:cs="Arial" w:eastAsia="Arial" w:hAnsi="Arial"/>
                <w:sz w:val="13"/>
                <w:szCs w:val="13"/>
                <w:b w:val="1"/>
                <w:bCs w:val="1"/>
                <w:color w:val="auto"/>
              </w:rPr>
              <w:t>($)</w:t>
            </w:r>
          </w:p>
        </w:tc>
        <w:tc>
          <w:tcPr>
            <w:tcW w:w="960" w:type="dxa"/>
            <w:vAlign w:val="bottom"/>
            <w:tcBorders>
              <w:bottom w:val="single" w:sz="8" w:color="342C82"/>
            </w:tcBorders>
          </w:tcPr>
          <w:p>
            <w:pPr>
              <w:jc w:val="right"/>
              <w:ind w:right="30"/>
              <w:spacing w:after="0" w:line="203"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(2)</w:t>
            </w:r>
          </w:p>
        </w:tc>
        <w:tc>
          <w:tcPr>
            <w:tcW w:w="1020" w:type="dxa"/>
            <w:vAlign w:val="bottom"/>
            <w:tcBorders>
              <w:bottom w:val="single" w:sz="8" w:color="342C82"/>
            </w:tcBorders>
          </w:tcPr>
          <w:p>
            <w:pPr>
              <w:jc w:val="right"/>
              <w:ind w:right="90"/>
              <w:spacing w:after="0"/>
              <w:rPr>
                <w:sz w:val="20"/>
                <w:szCs w:val="20"/>
                <w:color w:val="auto"/>
              </w:rPr>
            </w:pPr>
            <w:r>
              <w:rPr>
                <w:rFonts w:ascii="Arial" w:cs="Arial" w:eastAsia="Arial" w:hAnsi="Arial"/>
                <w:sz w:val="13"/>
                <w:szCs w:val="13"/>
                <w:b w:val="1"/>
                <w:bCs w:val="1"/>
                <w:color w:val="auto"/>
              </w:rPr>
              <w:t>($)</w:t>
            </w:r>
          </w:p>
        </w:tc>
        <w:tc>
          <w:tcPr>
            <w:tcW w:w="1180" w:type="dxa"/>
            <w:vAlign w:val="bottom"/>
            <w:tcBorders>
              <w:bottom w:val="single" w:sz="8" w:color="342C82"/>
            </w:tcBorders>
          </w:tcPr>
          <w:p>
            <w:pPr>
              <w:jc w:val="right"/>
              <w:ind w:right="70"/>
              <w:spacing w:after="0" w:line="203"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(3)</w:t>
            </w:r>
          </w:p>
        </w:tc>
        <w:tc>
          <w:tcPr>
            <w:tcW w:w="1220" w:type="dxa"/>
            <w:vAlign w:val="bottom"/>
            <w:tcBorders>
              <w:bottom w:val="single" w:sz="8" w:color="342C82"/>
            </w:tcBorders>
          </w:tcPr>
          <w:p>
            <w:pPr>
              <w:jc w:val="right"/>
              <w:ind w:right="70"/>
              <w:spacing w:after="0" w:line="203"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(4)</w:t>
            </w:r>
          </w:p>
        </w:tc>
        <w:tc>
          <w:tcPr>
            <w:tcW w:w="1040" w:type="dxa"/>
            <w:vAlign w:val="bottom"/>
            <w:tcBorders>
              <w:bottom w:val="single" w:sz="8" w:color="342C82"/>
            </w:tcBorders>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87"/>
        </w:trPr>
        <w:tc>
          <w:tcPr>
            <w:tcW w:w="1460" w:type="dxa"/>
            <w:vAlign w:val="bottom"/>
          </w:tcPr>
          <w:p>
            <w:pPr>
              <w:ind w:left="80"/>
              <w:spacing w:after="0"/>
              <w:rPr>
                <w:sz w:val="20"/>
                <w:szCs w:val="20"/>
                <w:color w:val="auto"/>
              </w:rPr>
            </w:pPr>
            <w:r>
              <w:rPr>
                <w:rFonts w:ascii="Arial" w:cs="Arial" w:eastAsia="Arial" w:hAnsi="Arial"/>
                <w:sz w:val="14"/>
                <w:szCs w:val="14"/>
                <w:b w:val="1"/>
                <w:bCs w:val="1"/>
                <w:color w:val="342C82"/>
              </w:rPr>
              <w:t>Dev Kurdikar</w:t>
            </w:r>
          </w:p>
        </w:tc>
        <w:tc>
          <w:tcPr>
            <w:tcW w:w="580" w:type="dxa"/>
            <w:vAlign w:val="bottom"/>
          </w:tcPr>
          <w:p>
            <w:pPr>
              <w:jc w:val="right"/>
              <w:ind w:right="69"/>
              <w:spacing w:after="0"/>
              <w:rPr>
                <w:sz w:val="20"/>
                <w:szCs w:val="20"/>
                <w:color w:val="auto"/>
              </w:rPr>
            </w:pPr>
            <w:r>
              <w:rPr>
                <w:rFonts w:ascii="Arial" w:cs="Arial" w:eastAsia="Arial" w:hAnsi="Arial"/>
                <w:sz w:val="14"/>
                <w:szCs w:val="14"/>
                <w:color w:val="auto"/>
              </w:rPr>
              <w:t>2024</w:t>
            </w:r>
          </w:p>
        </w:tc>
        <w:tc>
          <w:tcPr>
            <w:tcW w:w="820" w:type="dxa"/>
            <w:vAlign w:val="bottom"/>
          </w:tcPr>
          <w:p>
            <w:pPr>
              <w:jc w:val="right"/>
              <w:ind w:right="109"/>
              <w:spacing w:after="0"/>
              <w:rPr>
                <w:sz w:val="20"/>
                <w:szCs w:val="20"/>
                <w:color w:val="auto"/>
              </w:rPr>
            </w:pPr>
            <w:r>
              <w:rPr>
                <w:rFonts w:ascii="Arial" w:cs="Arial" w:eastAsia="Arial" w:hAnsi="Arial"/>
                <w:sz w:val="14"/>
                <w:szCs w:val="14"/>
                <w:color w:val="auto"/>
              </w:rPr>
              <w:t>894,231</w:t>
            </w:r>
          </w:p>
        </w:tc>
        <w:tc>
          <w:tcPr>
            <w:tcW w:w="80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30"/>
              <w:spacing w:after="0"/>
              <w:rPr>
                <w:sz w:val="20"/>
                <w:szCs w:val="20"/>
                <w:color w:val="auto"/>
              </w:rPr>
            </w:pPr>
            <w:r>
              <w:rPr>
                <w:rFonts w:ascii="Arial" w:cs="Arial" w:eastAsia="Arial" w:hAnsi="Arial"/>
                <w:sz w:val="14"/>
                <w:szCs w:val="14"/>
                <w:color w:val="auto"/>
              </w:rPr>
              <w:t>6,250,017</w:t>
            </w:r>
          </w:p>
        </w:tc>
        <w:tc>
          <w:tcPr>
            <w:tcW w:w="1020" w:type="dxa"/>
            <w:vAlign w:val="bottom"/>
          </w:tcPr>
          <w:p>
            <w:pPr>
              <w:jc w:val="right"/>
              <w:ind w:right="19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70"/>
              <w:spacing w:after="0"/>
              <w:rPr>
                <w:sz w:val="20"/>
                <w:szCs w:val="20"/>
                <w:color w:val="auto"/>
              </w:rPr>
            </w:pPr>
            <w:r>
              <w:rPr>
                <w:rFonts w:ascii="Arial" w:cs="Arial" w:eastAsia="Arial" w:hAnsi="Arial"/>
                <w:sz w:val="14"/>
                <w:szCs w:val="14"/>
                <w:color w:val="auto"/>
              </w:rPr>
              <w:t>1,369,314</w:t>
            </w:r>
          </w:p>
        </w:tc>
        <w:tc>
          <w:tcPr>
            <w:tcW w:w="1220" w:type="dxa"/>
            <w:vAlign w:val="bottom"/>
          </w:tcPr>
          <w:p>
            <w:pPr>
              <w:jc w:val="right"/>
              <w:ind w:right="170"/>
              <w:spacing w:after="0"/>
              <w:rPr>
                <w:sz w:val="20"/>
                <w:szCs w:val="20"/>
                <w:color w:val="auto"/>
              </w:rPr>
            </w:pPr>
            <w:r>
              <w:rPr>
                <w:rFonts w:ascii="Arial" w:cs="Arial" w:eastAsia="Arial" w:hAnsi="Arial"/>
                <w:sz w:val="14"/>
                <w:szCs w:val="14"/>
                <w:color w:val="auto"/>
              </w:rPr>
              <w:t>73,911</w:t>
            </w:r>
          </w:p>
        </w:tc>
        <w:tc>
          <w:tcPr>
            <w:tcW w:w="1040" w:type="dxa"/>
            <w:vAlign w:val="bottom"/>
          </w:tcPr>
          <w:p>
            <w:pPr>
              <w:jc w:val="right"/>
              <w:ind w:right="129"/>
              <w:spacing w:after="0"/>
              <w:rPr>
                <w:sz w:val="20"/>
                <w:szCs w:val="20"/>
                <w:color w:val="auto"/>
              </w:rPr>
            </w:pPr>
            <w:r>
              <w:rPr>
                <w:rFonts w:ascii="Arial" w:cs="Arial" w:eastAsia="Arial" w:hAnsi="Arial"/>
                <w:sz w:val="14"/>
                <w:szCs w:val="14"/>
                <w:color w:val="auto"/>
              </w:rPr>
              <w:t>8,587,473</w:t>
            </w:r>
          </w:p>
        </w:tc>
        <w:tc>
          <w:tcPr>
            <w:tcW w:w="0" w:type="dxa"/>
            <w:vAlign w:val="bottom"/>
          </w:tcPr>
          <w:p>
            <w:pPr>
              <w:spacing w:after="0"/>
              <w:rPr>
                <w:sz w:val="1"/>
                <w:szCs w:val="1"/>
                <w:color w:val="auto"/>
              </w:rPr>
            </w:pPr>
          </w:p>
        </w:tc>
      </w:tr>
      <w:tr>
        <w:trPr>
          <w:trHeight w:val="50"/>
        </w:trPr>
        <w:tc>
          <w:tcPr>
            <w:tcW w:w="1460" w:type="dxa"/>
            <w:vAlign w:val="bottom"/>
            <w:vMerge w:val="restart"/>
          </w:tcPr>
          <w:p>
            <w:pPr>
              <w:ind w:left="80"/>
              <w:spacing w:after="0"/>
              <w:rPr>
                <w:sz w:val="20"/>
                <w:szCs w:val="20"/>
                <w:color w:val="auto"/>
              </w:rPr>
            </w:pPr>
            <w:r>
              <w:rPr>
                <w:rFonts w:ascii="Arial" w:cs="Arial" w:eastAsia="Arial" w:hAnsi="Arial"/>
                <w:sz w:val="14"/>
                <w:szCs w:val="14"/>
                <w:color w:val="auto"/>
              </w:rPr>
              <w:t>Director, Chief</w:t>
            </w:r>
          </w:p>
        </w:tc>
        <w:tc>
          <w:tcPr>
            <w:tcW w:w="580" w:type="dxa"/>
            <w:vAlign w:val="bottom"/>
            <w:tcBorders>
              <w:bottom w:val="single" w:sz="8" w:color="808080"/>
            </w:tcBorders>
          </w:tcPr>
          <w:p>
            <w:pPr>
              <w:spacing w:after="0"/>
              <w:rPr>
                <w:sz w:val="4"/>
                <w:szCs w:val="4"/>
                <w:color w:val="auto"/>
              </w:rPr>
            </w:pPr>
          </w:p>
        </w:tc>
        <w:tc>
          <w:tcPr>
            <w:tcW w:w="82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96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1220" w:type="dxa"/>
            <w:vAlign w:val="bottom"/>
            <w:tcBorders>
              <w:bottom w:val="single" w:sz="8" w:color="808080"/>
            </w:tcBorders>
          </w:tcPr>
          <w:p>
            <w:pPr>
              <w:spacing w:after="0"/>
              <w:rPr>
                <w:sz w:val="4"/>
                <w:szCs w:val="4"/>
                <w:color w:val="auto"/>
              </w:rPr>
            </w:pPr>
          </w:p>
        </w:tc>
        <w:tc>
          <w:tcPr>
            <w:tcW w:w="10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92"/>
        </w:trPr>
        <w:tc>
          <w:tcPr>
            <w:tcW w:w="1460" w:type="dxa"/>
            <w:vAlign w:val="bottom"/>
            <w:vMerge w:val="continue"/>
          </w:tcPr>
          <w:p>
            <w:pPr>
              <w:spacing w:after="0"/>
              <w:rPr>
                <w:sz w:val="8"/>
                <w:szCs w:val="8"/>
                <w:color w:val="auto"/>
              </w:rPr>
            </w:pPr>
          </w:p>
        </w:tc>
        <w:tc>
          <w:tcPr>
            <w:tcW w:w="580" w:type="dxa"/>
            <w:vAlign w:val="bottom"/>
            <w:vMerge w:val="restart"/>
          </w:tcPr>
          <w:p>
            <w:pPr>
              <w:jc w:val="right"/>
              <w:ind w:right="69"/>
              <w:spacing w:after="0"/>
              <w:rPr>
                <w:sz w:val="20"/>
                <w:szCs w:val="20"/>
                <w:color w:val="auto"/>
              </w:rPr>
            </w:pPr>
            <w:r>
              <w:rPr>
                <w:rFonts w:ascii="Arial" w:cs="Arial" w:eastAsia="Arial" w:hAnsi="Arial"/>
                <w:sz w:val="14"/>
                <w:szCs w:val="14"/>
                <w:color w:val="auto"/>
              </w:rPr>
              <w:t>2023</w:t>
            </w:r>
          </w:p>
        </w:tc>
        <w:tc>
          <w:tcPr>
            <w:tcW w:w="820" w:type="dxa"/>
            <w:vAlign w:val="bottom"/>
            <w:vMerge w:val="restart"/>
          </w:tcPr>
          <w:p>
            <w:pPr>
              <w:jc w:val="right"/>
              <w:ind w:right="109"/>
              <w:spacing w:after="0"/>
              <w:rPr>
                <w:sz w:val="20"/>
                <w:szCs w:val="20"/>
                <w:color w:val="auto"/>
              </w:rPr>
            </w:pPr>
            <w:r>
              <w:rPr>
                <w:rFonts w:ascii="Arial" w:cs="Arial" w:eastAsia="Arial" w:hAnsi="Arial"/>
                <w:sz w:val="14"/>
                <w:szCs w:val="14"/>
                <w:color w:val="auto"/>
              </w:rPr>
              <w:t>863,462</w:t>
            </w:r>
          </w:p>
        </w:tc>
        <w:tc>
          <w:tcPr>
            <w:tcW w:w="800" w:type="dxa"/>
            <w:vAlign w:val="bottom"/>
            <w:vMerge w:val="restart"/>
          </w:tcPr>
          <w:p>
            <w:pPr>
              <w:jc w:val="right"/>
              <w:ind w:right="189"/>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130"/>
              <w:spacing w:after="0"/>
              <w:rPr>
                <w:sz w:val="20"/>
                <w:szCs w:val="20"/>
                <w:color w:val="auto"/>
              </w:rPr>
            </w:pPr>
            <w:r>
              <w:rPr>
                <w:rFonts w:ascii="Arial" w:cs="Arial" w:eastAsia="Arial" w:hAnsi="Arial"/>
                <w:sz w:val="14"/>
                <w:szCs w:val="14"/>
                <w:color w:val="auto"/>
              </w:rPr>
              <w:t>5,268,441</w:t>
            </w:r>
          </w:p>
        </w:tc>
        <w:tc>
          <w:tcPr>
            <w:tcW w:w="1020" w:type="dxa"/>
            <w:vAlign w:val="bottom"/>
            <w:vMerge w:val="restart"/>
          </w:tcPr>
          <w:p>
            <w:pPr>
              <w:jc w:val="right"/>
              <w:ind w:right="190"/>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170"/>
              <w:spacing w:after="0"/>
              <w:rPr>
                <w:sz w:val="20"/>
                <w:szCs w:val="20"/>
                <w:color w:val="auto"/>
              </w:rPr>
            </w:pPr>
            <w:r>
              <w:rPr>
                <w:rFonts w:ascii="Arial" w:cs="Arial" w:eastAsia="Arial" w:hAnsi="Arial"/>
                <w:sz w:val="14"/>
                <w:szCs w:val="14"/>
                <w:color w:val="auto"/>
              </w:rPr>
              <w:t>1,262,844</w:t>
            </w:r>
          </w:p>
        </w:tc>
        <w:tc>
          <w:tcPr>
            <w:tcW w:w="1220" w:type="dxa"/>
            <w:vAlign w:val="bottom"/>
            <w:vMerge w:val="restart"/>
          </w:tcPr>
          <w:p>
            <w:pPr>
              <w:jc w:val="right"/>
              <w:ind w:right="150"/>
              <w:spacing w:after="0"/>
              <w:rPr>
                <w:sz w:val="20"/>
                <w:szCs w:val="20"/>
                <w:color w:val="auto"/>
              </w:rPr>
            </w:pPr>
            <w:r>
              <w:rPr>
                <w:rFonts w:ascii="Arial" w:cs="Arial" w:eastAsia="Arial" w:hAnsi="Arial"/>
                <w:sz w:val="14"/>
                <w:szCs w:val="14"/>
                <w:color w:val="auto"/>
              </w:rPr>
              <w:t>69,750</w:t>
            </w:r>
          </w:p>
        </w:tc>
        <w:tc>
          <w:tcPr>
            <w:tcW w:w="1040" w:type="dxa"/>
            <w:vAlign w:val="bottom"/>
            <w:vMerge w:val="restart"/>
          </w:tcPr>
          <w:p>
            <w:pPr>
              <w:jc w:val="right"/>
              <w:ind w:right="129"/>
              <w:spacing w:after="0"/>
              <w:rPr>
                <w:sz w:val="20"/>
                <w:szCs w:val="20"/>
                <w:color w:val="auto"/>
              </w:rPr>
            </w:pPr>
            <w:r>
              <w:rPr>
                <w:rFonts w:ascii="Arial" w:cs="Arial" w:eastAsia="Arial" w:hAnsi="Arial"/>
                <w:sz w:val="14"/>
                <w:szCs w:val="14"/>
                <w:color w:val="auto"/>
              </w:rPr>
              <w:t>7,464,497</w:t>
            </w:r>
          </w:p>
        </w:tc>
        <w:tc>
          <w:tcPr>
            <w:tcW w:w="0" w:type="dxa"/>
            <w:vAlign w:val="bottom"/>
          </w:tcPr>
          <w:p>
            <w:pPr>
              <w:spacing w:after="0"/>
              <w:rPr>
                <w:sz w:val="1"/>
                <w:szCs w:val="1"/>
                <w:color w:val="auto"/>
              </w:rPr>
            </w:pPr>
          </w:p>
        </w:tc>
      </w:tr>
      <w:tr>
        <w:trPr>
          <w:trHeight w:val="109"/>
        </w:trPr>
        <w:tc>
          <w:tcPr>
            <w:tcW w:w="1460" w:type="dxa"/>
            <w:vAlign w:val="bottom"/>
            <w:vMerge w:val="restart"/>
          </w:tcPr>
          <w:p>
            <w:pPr>
              <w:ind w:left="80"/>
              <w:spacing w:after="0" w:line="125" w:lineRule="exact"/>
              <w:rPr>
                <w:sz w:val="20"/>
                <w:szCs w:val="20"/>
                <w:color w:val="auto"/>
              </w:rPr>
            </w:pPr>
            <w:r>
              <w:rPr>
                <w:rFonts w:ascii="Arial" w:cs="Arial" w:eastAsia="Arial" w:hAnsi="Arial"/>
                <w:sz w:val="14"/>
                <w:szCs w:val="14"/>
                <w:color w:val="auto"/>
              </w:rPr>
              <w:t>Executive Officer</w:t>
            </w:r>
          </w:p>
        </w:tc>
        <w:tc>
          <w:tcPr>
            <w:tcW w:w="58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1460" w:type="dxa"/>
            <w:vAlign w:val="bottom"/>
            <w:vMerge w:val="continue"/>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820" w:type="dxa"/>
            <w:vAlign w:val="bottom"/>
            <w:tcBorders>
              <w:bottom w:val="single" w:sz="8" w:color="808080"/>
            </w:tcBorders>
          </w:tcPr>
          <w:p>
            <w:pPr>
              <w:spacing w:after="0" w:line="20" w:lineRule="exact"/>
              <w:rPr>
                <w:sz w:val="1"/>
                <w:szCs w:val="1"/>
                <w:color w:val="auto"/>
              </w:rPr>
            </w:pPr>
          </w:p>
        </w:tc>
        <w:tc>
          <w:tcPr>
            <w:tcW w:w="800" w:type="dxa"/>
            <w:vAlign w:val="bottom"/>
            <w:tcBorders>
              <w:bottom w:val="single" w:sz="8" w:color="808080"/>
            </w:tcBorders>
          </w:tcPr>
          <w:p>
            <w:pPr>
              <w:spacing w:after="0" w:line="20" w:lineRule="exact"/>
              <w:rPr>
                <w:sz w:val="1"/>
                <w:szCs w:val="1"/>
                <w:color w:val="auto"/>
              </w:rPr>
            </w:pPr>
          </w:p>
        </w:tc>
        <w:tc>
          <w:tcPr>
            <w:tcW w:w="960" w:type="dxa"/>
            <w:vAlign w:val="bottom"/>
            <w:tcBorders>
              <w:bottom w:val="single" w:sz="8" w:color="808080"/>
            </w:tcBorders>
          </w:tcPr>
          <w:p>
            <w:pPr>
              <w:spacing w:after="0" w:line="20" w:lineRule="exact"/>
              <w:rPr>
                <w:sz w:val="1"/>
                <w:szCs w:val="1"/>
                <w:color w:val="auto"/>
              </w:rPr>
            </w:pPr>
          </w:p>
        </w:tc>
        <w:tc>
          <w:tcPr>
            <w:tcW w:w="1020" w:type="dxa"/>
            <w:vAlign w:val="bottom"/>
            <w:tcBorders>
              <w:bottom w:val="single" w:sz="8" w:color="808080"/>
            </w:tcBorders>
          </w:tcPr>
          <w:p>
            <w:pPr>
              <w:spacing w:after="0" w:line="20" w:lineRule="exact"/>
              <w:rPr>
                <w:sz w:val="1"/>
                <w:szCs w:val="1"/>
                <w:color w:val="auto"/>
              </w:rPr>
            </w:pPr>
          </w:p>
        </w:tc>
        <w:tc>
          <w:tcPr>
            <w:tcW w:w="1180" w:type="dxa"/>
            <w:vAlign w:val="bottom"/>
            <w:tcBorders>
              <w:bottom w:val="single" w:sz="8" w:color="808080"/>
            </w:tcBorders>
          </w:tcPr>
          <w:p>
            <w:pPr>
              <w:spacing w:after="0" w:line="20" w:lineRule="exact"/>
              <w:rPr>
                <w:sz w:val="1"/>
                <w:szCs w:val="1"/>
                <w:color w:val="auto"/>
              </w:rPr>
            </w:pPr>
          </w:p>
        </w:tc>
        <w:tc>
          <w:tcPr>
            <w:tcW w:w="1220" w:type="dxa"/>
            <w:vAlign w:val="bottom"/>
            <w:tcBorders>
              <w:bottom w:val="single" w:sz="8" w:color="808080"/>
            </w:tcBorders>
          </w:tcPr>
          <w:p>
            <w:pPr>
              <w:spacing w:after="0" w:line="20" w:lineRule="exact"/>
              <w:rPr>
                <w:sz w:val="1"/>
                <w:szCs w:val="1"/>
                <w:color w:val="auto"/>
              </w:rPr>
            </w:pPr>
          </w:p>
        </w:tc>
        <w:tc>
          <w:tcPr>
            <w:tcW w:w="10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460" w:type="dxa"/>
            <w:vAlign w:val="bottom"/>
          </w:tcPr>
          <w:p>
            <w:pPr>
              <w:ind w:left="80"/>
              <w:spacing w:after="0"/>
              <w:rPr>
                <w:sz w:val="20"/>
                <w:szCs w:val="20"/>
                <w:color w:val="auto"/>
              </w:rPr>
            </w:pPr>
            <w:r>
              <w:rPr>
                <w:rFonts w:ascii="Arial" w:cs="Arial" w:eastAsia="Arial" w:hAnsi="Arial"/>
                <w:sz w:val="14"/>
                <w:szCs w:val="14"/>
                <w:color w:val="auto"/>
              </w:rPr>
              <w:t>and President</w:t>
            </w:r>
          </w:p>
        </w:tc>
        <w:tc>
          <w:tcPr>
            <w:tcW w:w="580" w:type="dxa"/>
            <w:vAlign w:val="bottom"/>
          </w:tcPr>
          <w:p>
            <w:pPr>
              <w:jc w:val="right"/>
              <w:ind w:right="69"/>
              <w:spacing w:after="0"/>
              <w:rPr>
                <w:sz w:val="20"/>
                <w:szCs w:val="20"/>
                <w:color w:val="auto"/>
              </w:rPr>
            </w:pPr>
            <w:r>
              <w:rPr>
                <w:rFonts w:ascii="Arial" w:cs="Arial" w:eastAsia="Arial" w:hAnsi="Arial"/>
                <w:sz w:val="14"/>
                <w:szCs w:val="14"/>
                <w:color w:val="auto"/>
              </w:rPr>
              <w:t>2022</w:t>
            </w:r>
          </w:p>
        </w:tc>
        <w:tc>
          <w:tcPr>
            <w:tcW w:w="820" w:type="dxa"/>
            <w:vAlign w:val="bottom"/>
          </w:tcPr>
          <w:p>
            <w:pPr>
              <w:jc w:val="right"/>
              <w:ind w:right="109"/>
              <w:spacing w:after="0"/>
              <w:rPr>
                <w:sz w:val="20"/>
                <w:szCs w:val="20"/>
                <w:color w:val="auto"/>
              </w:rPr>
            </w:pPr>
            <w:r>
              <w:rPr>
                <w:rFonts w:ascii="Arial" w:cs="Arial" w:eastAsia="Arial" w:hAnsi="Arial"/>
                <w:sz w:val="14"/>
                <w:szCs w:val="14"/>
                <w:color w:val="auto"/>
              </w:rPr>
              <w:t>791,325</w:t>
            </w:r>
          </w:p>
        </w:tc>
        <w:tc>
          <w:tcPr>
            <w:tcW w:w="80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30"/>
              <w:spacing w:after="0"/>
              <w:rPr>
                <w:sz w:val="20"/>
                <w:szCs w:val="20"/>
                <w:color w:val="auto"/>
              </w:rPr>
            </w:pPr>
            <w:r>
              <w:rPr>
                <w:rFonts w:ascii="Arial" w:cs="Arial" w:eastAsia="Arial" w:hAnsi="Arial"/>
                <w:sz w:val="14"/>
                <w:szCs w:val="14"/>
                <w:color w:val="auto"/>
              </w:rPr>
              <w:t>3,727,430</w:t>
            </w:r>
          </w:p>
        </w:tc>
        <w:tc>
          <w:tcPr>
            <w:tcW w:w="1020" w:type="dxa"/>
            <w:vAlign w:val="bottom"/>
          </w:tcPr>
          <w:p>
            <w:pPr>
              <w:jc w:val="right"/>
              <w:ind w:right="190"/>
              <w:spacing w:after="0"/>
              <w:rPr>
                <w:sz w:val="20"/>
                <w:szCs w:val="20"/>
                <w:color w:val="auto"/>
              </w:rPr>
            </w:pPr>
            <w:r>
              <w:rPr>
                <w:rFonts w:ascii="Arial" w:cs="Arial" w:eastAsia="Arial" w:hAnsi="Arial"/>
                <w:sz w:val="14"/>
                <w:szCs w:val="14"/>
                <w:color w:val="auto"/>
              </w:rPr>
              <w:t>5,614,124</w:t>
            </w:r>
          </w:p>
        </w:tc>
        <w:tc>
          <w:tcPr>
            <w:tcW w:w="1180" w:type="dxa"/>
            <w:vAlign w:val="bottom"/>
          </w:tcPr>
          <w:p>
            <w:pPr>
              <w:jc w:val="right"/>
              <w:ind w:right="170"/>
              <w:spacing w:after="0"/>
              <w:rPr>
                <w:sz w:val="20"/>
                <w:szCs w:val="20"/>
                <w:color w:val="auto"/>
              </w:rPr>
            </w:pPr>
            <w:r>
              <w:rPr>
                <w:rFonts w:ascii="Arial" w:cs="Arial" w:eastAsia="Arial" w:hAnsi="Arial"/>
                <w:sz w:val="14"/>
                <w:szCs w:val="14"/>
                <w:color w:val="auto"/>
              </w:rPr>
              <w:t>1,075,862</w:t>
            </w:r>
          </w:p>
        </w:tc>
        <w:tc>
          <w:tcPr>
            <w:tcW w:w="1220" w:type="dxa"/>
            <w:vAlign w:val="bottom"/>
          </w:tcPr>
          <w:p>
            <w:pPr>
              <w:jc w:val="right"/>
              <w:ind w:right="150"/>
              <w:spacing w:after="0"/>
              <w:rPr>
                <w:sz w:val="20"/>
                <w:szCs w:val="20"/>
                <w:color w:val="auto"/>
              </w:rPr>
            </w:pPr>
            <w:r>
              <w:rPr>
                <w:rFonts w:ascii="Arial" w:cs="Arial" w:eastAsia="Arial" w:hAnsi="Arial"/>
                <w:sz w:val="14"/>
                <w:szCs w:val="14"/>
                <w:color w:val="auto"/>
              </w:rPr>
              <w:t>45,225</w:t>
            </w:r>
          </w:p>
        </w:tc>
        <w:tc>
          <w:tcPr>
            <w:tcW w:w="1040" w:type="dxa"/>
            <w:vAlign w:val="bottom"/>
          </w:tcPr>
          <w:p>
            <w:pPr>
              <w:jc w:val="right"/>
              <w:ind w:right="129"/>
              <w:spacing w:after="0"/>
              <w:rPr>
                <w:sz w:val="20"/>
                <w:szCs w:val="20"/>
                <w:color w:val="auto"/>
              </w:rPr>
            </w:pPr>
            <w:r>
              <w:rPr>
                <w:rFonts w:ascii="Arial" w:cs="Arial" w:eastAsia="Arial" w:hAnsi="Arial"/>
                <w:sz w:val="14"/>
                <w:szCs w:val="14"/>
                <w:color w:val="auto"/>
              </w:rPr>
              <w:t>11,253,966</w:t>
            </w:r>
          </w:p>
        </w:tc>
        <w:tc>
          <w:tcPr>
            <w:tcW w:w="0" w:type="dxa"/>
            <w:vAlign w:val="bottom"/>
          </w:tcPr>
          <w:p>
            <w:pPr>
              <w:spacing w:after="0"/>
              <w:rPr>
                <w:sz w:val="1"/>
                <w:szCs w:val="1"/>
                <w:color w:val="auto"/>
              </w:rPr>
            </w:pPr>
          </w:p>
        </w:tc>
      </w:tr>
      <w:tr>
        <w:trPr>
          <w:trHeight w:val="22"/>
        </w:trPr>
        <w:tc>
          <w:tcPr>
            <w:tcW w:w="1460" w:type="dxa"/>
            <w:vAlign w:val="bottom"/>
            <w:tcBorders>
              <w:bottom w:val="single" w:sz="8" w:color="808080"/>
            </w:tcBorders>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820" w:type="dxa"/>
            <w:vAlign w:val="bottom"/>
            <w:tcBorders>
              <w:bottom w:val="single" w:sz="8" w:color="808080"/>
            </w:tcBorders>
          </w:tcPr>
          <w:p>
            <w:pPr>
              <w:spacing w:after="0" w:line="20" w:lineRule="exact"/>
              <w:rPr>
                <w:sz w:val="1"/>
                <w:szCs w:val="1"/>
                <w:color w:val="auto"/>
              </w:rPr>
            </w:pPr>
          </w:p>
        </w:tc>
        <w:tc>
          <w:tcPr>
            <w:tcW w:w="800" w:type="dxa"/>
            <w:vAlign w:val="bottom"/>
            <w:tcBorders>
              <w:bottom w:val="single" w:sz="8" w:color="808080"/>
            </w:tcBorders>
          </w:tcPr>
          <w:p>
            <w:pPr>
              <w:spacing w:after="0" w:line="20" w:lineRule="exact"/>
              <w:rPr>
                <w:sz w:val="1"/>
                <w:szCs w:val="1"/>
                <w:color w:val="auto"/>
              </w:rPr>
            </w:pPr>
          </w:p>
        </w:tc>
        <w:tc>
          <w:tcPr>
            <w:tcW w:w="960" w:type="dxa"/>
            <w:vAlign w:val="bottom"/>
            <w:tcBorders>
              <w:bottom w:val="single" w:sz="8" w:color="808080"/>
            </w:tcBorders>
          </w:tcPr>
          <w:p>
            <w:pPr>
              <w:spacing w:after="0" w:line="20" w:lineRule="exact"/>
              <w:rPr>
                <w:sz w:val="1"/>
                <w:szCs w:val="1"/>
                <w:color w:val="auto"/>
              </w:rPr>
            </w:pPr>
          </w:p>
        </w:tc>
        <w:tc>
          <w:tcPr>
            <w:tcW w:w="1020" w:type="dxa"/>
            <w:vAlign w:val="bottom"/>
            <w:tcBorders>
              <w:bottom w:val="single" w:sz="8" w:color="808080"/>
            </w:tcBorders>
          </w:tcPr>
          <w:p>
            <w:pPr>
              <w:spacing w:after="0" w:line="20" w:lineRule="exact"/>
              <w:rPr>
                <w:sz w:val="1"/>
                <w:szCs w:val="1"/>
                <w:color w:val="auto"/>
              </w:rPr>
            </w:pPr>
          </w:p>
        </w:tc>
        <w:tc>
          <w:tcPr>
            <w:tcW w:w="1180" w:type="dxa"/>
            <w:vAlign w:val="bottom"/>
            <w:tcBorders>
              <w:bottom w:val="single" w:sz="8" w:color="808080"/>
            </w:tcBorders>
          </w:tcPr>
          <w:p>
            <w:pPr>
              <w:spacing w:after="0" w:line="20" w:lineRule="exact"/>
              <w:rPr>
                <w:sz w:val="1"/>
                <w:szCs w:val="1"/>
                <w:color w:val="auto"/>
              </w:rPr>
            </w:pPr>
          </w:p>
        </w:tc>
        <w:tc>
          <w:tcPr>
            <w:tcW w:w="1220" w:type="dxa"/>
            <w:vAlign w:val="bottom"/>
            <w:tcBorders>
              <w:bottom w:val="single" w:sz="8" w:color="808080"/>
            </w:tcBorders>
          </w:tcPr>
          <w:p>
            <w:pPr>
              <w:spacing w:after="0" w:line="20" w:lineRule="exact"/>
              <w:rPr>
                <w:sz w:val="1"/>
                <w:szCs w:val="1"/>
                <w:color w:val="auto"/>
              </w:rPr>
            </w:pPr>
          </w:p>
        </w:tc>
        <w:tc>
          <w:tcPr>
            <w:tcW w:w="10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4"/>
        </w:trPr>
        <w:tc>
          <w:tcPr>
            <w:tcW w:w="1460" w:type="dxa"/>
            <w:vAlign w:val="bottom"/>
          </w:tcPr>
          <w:p>
            <w:pPr>
              <w:ind w:left="80"/>
              <w:spacing w:after="0"/>
              <w:rPr>
                <w:sz w:val="20"/>
                <w:szCs w:val="20"/>
                <w:color w:val="auto"/>
              </w:rPr>
            </w:pPr>
            <w:r>
              <w:rPr>
                <w:rFonts w:ascii="Arial" w:cs="Arial" w:eastAsia="Arial" w:hAnsi="Arial"/>
                <w:sz w:val="14"/>
                <w:szCs w:val="14"/>
                <w:b w:val="1"/>
                <w:bCs w:val="1"/>
                <w:color w:val="342C82"/>
              </w:rPr>
              <w:t>Jake Elguicze</w:t>
            </w:r>
          </w:p>
        </w:tc>
        <w:tc>
          <w:tcPr>
            <w:tcW w:w="580" w:type="dxa"/>
            <w:vAlign w:val="bottom"/>
            <w:vMerge w:val="restart"/>
          </w:tcPr>
          <w:p>
            <w:pPr>
              <w:jc w:val="right"/>
              <w:ind w:right="69"/>
              <w:spacing w:after="0"/>
              <w:rPr>
                <w:sz w:val="20"/>
                <w:szCs w:val="20"/>
                <w:color w:val="auto"/>
              </w:rPr>
            </w:pPr>
            <w:r>
              <w:rPr>
                <w:rFonts w:ascii="Arial" w:cs="Arial" w:eastAsia="Arial" w:hAnsi="Arial"/>
                <w:sz w:val="14"/>
                <w:szCs w:val="14"/>
                <w:color w:val="auto"/>
              </w:rPr>
              <w:t>2024</w:t>
            </w:r>
          </w:p>
        </w:tc>
        <w:tc>
          <w:tcPr>
            <w:tcW w:w="820" w:type="dxa"/>
            <w:vAlign w:val="bottom"/>
            <w:vMerge w:val="restart"/>
          </w:tcPr>
          <w:p>
            <w:pPr>
              <w:jc w:val="right"/>
              <w:ind w:right="109"/>
              <w:spacing w:after="0"/>
              <w:rPr>
                <w:sz w:val="20"/>
                <w:szCs w:val="20"/>
                <w:color w:val="auto"/>
              </w:rPr>
            </w:pPr>
            <w:r>
              <w:rPr>
                <w:rFonts w:ascii="Arial" w:cs="Arial" w:eastAsia="Arial" w:hAnsi="Arial"/>
                <w:sz w:val="14"/>
                <w:szCs w:val="14"/>
                <w:color w:val="auto"/>
              </w:rPr>
              <w:t>557,227</w:t>
            </w:r>
          </w:p>
        </w:tc>
        <w:tc>
          <w:tcPr>
            <w:tcW w:w="800" w:type="dxa"/>
            <w:vAlign w:val="bottom"/>
            <w:vMerge w:val="restart"/>
          </w:tcPr>
          <w:p>
            <w:pPr>
              <w:jc w:val="right"/>
              <w:ind w:right="189"/>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130"/>
              <w:spacing w:after="0"/>
              <w:rPr>
                <w:sz w:val="20"/>
                <w:szCs w:val="20"/>
                <w:color w:val="auto"/>
              </w:rPr>
            </w:pPr>
            <w:r>
              <w:rPr>
                <w:rFonts w:ascii="Arial" w:cs="Arial" w:eastAsia="Arial" w:hAnsi="Arial"/>
                <w:sz w:val="14"/>
                <w:szCs w:val="14"/>
                <w:color w:val="auto"/>
              </w:rPr>
              <w:t>2,000,016</w:t>
            </w:r>
          </w:p>
        </w:tc>
        <w:tc>
          <w:tcPr>
            <w:tcW w:w="1020" w:type="dxa"/>
            <w:vAlign w:val="bottom"/>
            <w:vMerge w:val="restart"/>
          </w:tcPr>
          <w:p>
            <w:pPr>
              <w:jc w:val="right"/>
              <w:ind w:right="190"/>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170"/>
              <w:spacing w:after="0"/>
              <w:rPr>
                <w:sz w:val="20"/>
                <w:szCs w:val="20"/>
                <w:color w:val="auto"/>
              </w:rPr>
            </w:pPr>
            <w:r>
              <w:rPr>
                <w:rFonts w:ascii="Arial" w:cs="Arial" w:eastAsia="Arial" w:hAnsi="Arial"/>
                <w:sz w:val="14"/>
                <w:szCs w:val="14"/>
                <w:color w:val="auto"/>
              </w:rPr>
              <w:t>486,388</w:t>
            </w:r>
          </w:p>
        </w:tc>
        <w:tc>
          <w:tcPr>
            <w:tcW w:w="1220" w:type="dxa"/>
            <w:vAlign w:val="bottom"/>
            <w:vMerge w:val="restart"/>
          </w:tcPr>
          <w:p>
            <w:pPr>
              <w:jc w:val="right"/>
              <w:ind w:right="150"/>
              <w:spacing w:after="0"/>
              <w:rPr>
                <w:sz w:val="20"/>
                <w:szCs w:val="20"/>
                <w:color w:val="auto"/>
              </w:rPr>
            </w:pPr>
            <w:r>
              <w:rPr>
                <w:rFonts w:ascii="Arial" w:cs="Arial" w:eastAsia="Arial" w:hAnsi="Arial"/>
                <w:sz w:val="14"/>
                <w:szCs w:val="14"/>
                <w:color w:val="auto"/>
              </w:rPr>
              <w:t>72,644</w:t>
            </w:r>
          </w:p>
        </w:tc>
        <w:tc>
          <w:tcPr>
            <w:tcW w:w="1040" w:type="dxa"/>
            <w:vAlign w:val="bottom"/>
            <w:vMerge w:val="restart"/>
          </w:tcPr>
          <w:p>
            <w:pPr>
              <w:jc w:val="right"/>
              <w:ind w:right="129"/>
              <w:spacing w:after="0"/>
              <w:rPr>
                <w:sz w:val="20"/>
                <w:szCs w:val="20"/>
                <w:color w:val="auto"/>
              </w:rPr>
            </w:pPr>
            <w:r>
              <w:rPr>
                <w:rFonts w:ascii="Arial" w:cs="Arial" w:eastAsia="Arial" w:hAnsi="Arial"/>
                <w:sz w:val="14"/>
                <w:szCs w:val="14"/>
                <w:color w:val="auto"/>
              </w:rPr>
              <w:t>3,116,275</w:t>
            </w:r>
          </w:p>
        </w:tc>
        <w:tc>
          <w:tcPr>
            <w:tcW w:w="0" w:type="dxa"/>
            <w:vAlign w:val="bottom"/>
          </w:tcPr>
          <w:p>
            <w:pPr>
              <w:spacing w:after="0"/>
              <w:rPr>
                <w:sz w:val="1"/>
                <w:szCs w:val="1"/>
                <w:color w:val="auto"/>
              </w:rPr>
            </w:pPr>
          </w:p>
        </w:tc>
      </w:tr>
      <w:tr>
        <w:trPr>
          <w:trHeight w:val="109"/>
        </w:trPr>
        <w:tc>
          <w:tcPr>
            <w:tcW w:w="1460" w:type="dxa"/>
            <w:vAlign w:val="bottom"/>
            <w:vMerge w:val="restart"/>
          </w:tcPr>
          <w:p>
            <w:pPr>
              <w:ind w:left="80"/>
              <w:spacing w:after="0" w:line="125" w:lineRule="exact"/>
              <w:rPr>
                <w:sz w:val="20"/>
                <w:szCs w:val="20"/>
                <w:color w:val="auto"/>
              </w:rPr>
            </w:pPr>
            <w:r>
              <w:rPr>
                <w:rFonts w:ascii="Arial" w:cs="Arial" w:eastAsia="Arial" w:hAnsi="Arial"/>
                <w:sz w:val="14"/>
                <w:szCs w:val="14"/>
                <w:color w:val="auto"/>
              </w:rPr>
              <w:t>Senior Vice</w:t>
            </w:r>
          </w:p>
        </w:tc>
        <w:tc>
          <w:tcPr>
            <w:tcW w:w="58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1460" w:type="dxa"/>
            <w:vAlign w:val="bottom"/>
            <w:vMerge w:val="continue"/>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820" w:type="dxa"/>
            <w:vAlign w:val="bottom"/>
            <w:tcBorders>
              <w:bottom w:val="single" w:sz="8" w:color="808080"/>
            </w:tcBorders>
          </w:tcPr>
          <w:p>
            <w:pPr>
              <w:spacing w:after="0" w:line="20" w:lineRule="exact"/>
              <w:rPr>
                <w:sz w:val="1"/>
                <w:szCs w:val="1"/>
                <w:color w:val="auto"/>
              </w:rPr>
            </w:pPr>
          </w:p>
        </w:tc>
        <w:tc>
          <w:tcPr>
            <w:tcW w:w="800" w:type="dxa"/>
            <w:vAlign w:val="bottom"/>
            <w:tcBorders>
              <w:bottom w:val="single" w:sz="8" w:color="808080"/>
            </w:tcBorders>
          </w:tcPr>
          <w:p>
            <w:pPr>
              <w:spacing w:after="0" w:line="20" w:lineRule="exact"/>
              <w:rPr>
                <w:sz w:val="1"/>
                <w:szCs w:val="1"/>
                <w:color w:val="auto"/>
              </w:rPr>
            </w:pPr>
          </w:p>
        </w:tc>
        <w:tc>
          <w:tcPr>
            <w:tcW w:w="960" w:type="dxa"/>
            <w:vAlign w:val="bottom"/>
            <w:tcBorders>
              <w:bottom w:val="single" w:sz="8" w:color="808080"/>
            </w:tcBorders>
          </w:tcPr>
          <w:p>
            <w:pPr>
              <w:spacing w:after="0" w:line="20" w:lineRule="exact"/>
              <w:rPr>
                <w:sz w:val="1"/>
                <w:szCs w:val="1"/>
                <w:color w:val="auto"/>
              </w:rPr>
            </w:pPr>
          </w:p>
        </w:tc>
        <w:tc>
          <w:tcPr>
            <w:tcW w:w="1020" w:type="dxa"/>
            <w:vAlign w:val="bottom"/>
            <w:tcBorders>
              <w:bottom w:val="single" w:sz="8" w:color="808080"/>
            </w:tcBorders>
          </w:tcPr>
          <w:p>
            <w:pPr>
              <w:spacing w:after="0" w:line="20" w:lineRule="exact"/>
              <w:rPr>
                <w:sz w:val="1"/>
                <w:szCs w:val="1"/>
                <w:color w:val="auto"/>
              </w:rPr>
            </w:pPr>
          </w:p>
        </w:tc>
        <w:tc>
          <w:tcPr>
            <w:tcW w:w="1180" w:type="dxa"/>
            <w:vAlign w:val="bottom"/>
            <w:tcBorders>
              <w:bottom w:val="single" w:sz="8" w:color="808080"/>
            </w:tcBorders>
          </w:tcPr>
          <w:p>
            <w:pPr>
              <w:spacing w:after="0" w:line="20" w:lineRule="exact"/>
              <w:rPr>
                <w:sz w:val="1"/>
                <w:szCs w:val="1"/>
                <w:color w:val="auto"/>
              </w:rPr>
            </w:pPr>
          </w:p>
        </w:tc>
        <w:tc>
          <w:tcPr>
            <w:tcW w:w="1220" w:type="dxa"/>
            <w:vAlign w:val="bottom"/>
            <w:tcBorders>
              <w:bottom w:val="single" w:sz="8" w:color="808080"/>
            </w:tcBorders>
          </w:tcPr>
          <w:p>
            <w:pPr>
              <w:spacing w:after="0" w:line="20" w:lineRule="exact"/>
              <w:rPr>
                <w:sz w:val="1"/>
                <w:szCs w:val="1"/>
                <w:color w:val="auto"/>
              </w:rPr>
            </w:pPr>
          </w:p>
        </w:tc>
        <w:tc>
          <w:tcPr>
            <w:tcW w:w="10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1460" w:type="dxa"/>
            <w:vAlign w:val="bottom"/>
          </w:tcPr>
          <w:p>
            <w:pPr>
              <w:ind w:left="80"/>
              <w:spacing w:after="0"/>
              <w:rPr>
                <w:sz w:val="20"/>
                <w:szCs w:val="20"/>
                <w:color w:val="auto"/>
              </w:rPr>
            </w:pPr>
            <w:r>
              <w:rPr>
                <w:rFonts w:ascii="Arial" w:cs="Arial" w:eastAsia="Arial" w:hAnsi="Arial"/>
                <w:sz w:val="14"/>
                <w:szCs w:val="14"/>
                <w:color w:val="auto"/>
              </w:rPr>
              <w:t>President and Chief</w:t>
            </w:r>
          </w:p>
        </w:tc>
        <w:tc>
          <w:tcPr>
            <w:tcW w:w="580" w:type="dxa"/>
            <w:vAlign w:val="bottom"/>
          </w:tcPr>
          <w:p>
            <w:pPr>
              <w:jc w:val="right"/>
              <w:ind w:right="69"/>
              <w:spacing w:after="0"/>
              <w:rPr>
                <w:sz w:val="20"/>
                <w:szCs w:val="20"/>
                <w:color w:val="auto"/>
              </w:rPr>
            </w:pPr>
            <w:r>
              <w:rPr>
                <w:rFonts w:ascii="Arial" w:cs="Arial" w:eastAsia="Arial" w:hAnsi="Arial"/>
                <w:sz w:val="14"/>
                <w:szCs w:val="14"/>
                <w:color w:val="auto"/>
              </w:rPr>
              <w:t>2023</w:t>
            </w:r>
          </w:p>
        </w:tc>
        <w:tc>
          <w:tcPr>
            <w:tcW w:w="820" w:type="dxa"/>
            <w:vAlign w:val="bottom"/>
          </w:tcPr>
          <w:p>
            <w:pPr>
              <w:jc w:val="right"/>
              <w:ind w:right="109"/>
              <w:spacing w:after="0"/>
              <w:rPr>
                <w:sz w:val="20"/>
                <w:szCs w:val="20"/>
                <w:color w:val="auto"/>
              </w:rPr>
            </w:pPr>
            <w:r>
              <w:rPr>
                <w:rFonts w:ascii="Arial" w:cs="Arial" w:eastAsia="Arial" w:hAnsi="Arial"/>
                <w:sz w:val="14"/>
                <w:szCs w:val="14"/>
                <w:color w:val="auto"/>
              </w:rPr>
              <w:t>528,846</w:t>
            </w:r>
          </w:p>
        </w:tc>
        <w:tc>
          <w:tcPr>
            <w:tcW w:w="80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30"/>
              <w:spacing w:after="0"/>
              <w:rPr>
                <w:sz w:val="20"/>
                <w:szCs w:val="20"/>
                <w:color w:val="auto"/>
              </w:rPr>
            </w:pPr>
            <w:r>
              <w:rPr>
                <w:rFonts w:ascii="Arial" w:cs="Arial" w:eastAsia="Arial" w:hAnsi="Arial"/>
                <w:sz w:val="14"/>
                <w:szCs w:val="14"/>
                <w:color w:val="auto"/>
              </w:rPr>
              <w:t>1,532,686</w:t>
            </w:r>
          </w:p>
        </w:tc>
        <w:tc>
          <w:tcPr>
            <w:tcW w:w="1020" w:type="dxa"/>
            <w:vAlign w:val="bottom"/>
          </w:tcPr>
          <w:p>
            <w:pPr>
              <w:jc w:val="right"/>
              <w:ind w:right="19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70"/>
              <w:spacing w:after="0"/>
              <w:rPr>
                <w:sz w:val="20"/>
                <w:szCs w:val="20"/>
                <w:color w:val="auto"/>
              </w:rPr>
            </w:pPr>
            <w:r>
              <w:rPr>
                <w:rFonts w:ascii="Arial" w:cs="Arial" w:eastAsia="Arial" w:hAnsi="Arial"/>
                <w:sz w:val="14"/>
                <w:szCs w:val="14"/>
                <w:color w:val="auto"/>
              </w:rPr>
              <w:t>468,241</w:t>
            </w:r>
          </w:p>
        </w:tc>
        <w:tc>
          <w:tcPr>
            <w:tcW w:w="1220" w:type="dxa"/>
            <w:vAlign w:val="bottom"/>
          </w:tcPr>
          <w:p>
            <w:pPr>
              <w:jc w:val="right"/>
              <w:ind w:right="150"/>
              <w:spacing w:after="0"/>
              <w:rPr>
                <w:sz w:val="20"/>
                <w:szCs w:val="20"/>
                <w:color w:val="auto"/>
              </w:rPr>
            </w:pPr>
            <w:r>
              <w:rPr>
                <w:rFonts w:ascii="Arial" w:cs="Arial" w:eastAsia="Arial" w:hAnsi="Arial"/>
                <w:sz w:val="14"/>
                <w:szCs w:val="14"/>
                <w:color w:val="auto"/>
              </w:rPr>
              <w:t>53,676</w:t>
            </w:r>
          </w:p>
        </w:tc>
        <w:tc>
          <w:tcPr>
            <w:tcW w:w="1040" w:type="dxa"/>
            <w:vAlign w:val="bottom"/>
          </w:tcPr>
          <w:p>
            <w:pPr>
              <w:jc w:val="right"/>
              <w:ind w:right="129"/>
              <w:spacing w:after="0"/>
              <w:rPr>
                <w:sz w:val="20"/>
                <w:szCs w:val="20"/>
                <w:color w:val="auto"/>
              </w:rPr>
            </w:pPr>
            <w:r>
              <w:rPr>
                <w:rFonts w:ascii="Arial" w:cs="Arial" w:eastAsia="Arial" w:hAnsi="Arial"/>
                <w:sz w:val="14"/>
                <w:szCs w:val="14"/>
                <w:color w:val="auto"/>
              </w:rPr>
              <w:t>2,583,449</w:t>
            </w:r>
          </w:p>
        </w:tc>
        <w:tc>
          <w:tcPr>
            <w:tcW w:w="0" w:type="dxa"/>
            <w:vAlign w:val="bottom"/>
          </w:tcPr>
          <w:p>
            <w:pPr>
              <w:spacing w:after="0"/>
              <w:rPr>
                <w:sz w:val="1"/>
                <w:szCs w:val="1"/>
                <w:color w:val="auto"/>
              </w:rPr>
            </w:pPr>
          </w:p>
        </w:tc>
      </w:tr>
      <w:tr>
        <w:trPr>
          <w:trHeight w:val="50"/>
        </w:trPr>
        <w:tc>
          <w:tcPr>
            <w:tcW w:w="1460" w:type="dxa"/>
            <w:vAlign w:val="bottom"/>
            <w:vMerge w:val="restart"/>
          </w:tcPr>
          <w:p>
            <w:pPr>
              <w:ind w:left="80"/>
              <w:spacing w:after="0"/>
              <w:rPr>
                <w:sz w:val="20"/>
                <w:szCs w:val="20"/>
                <w:color w:val="auto"/>
              </w:rPr>
            </w:pPr>
            <w:r>
              <w:rPr>
                <w:rFonts w:ascii="Arial" w:cs="Arial" w:eastAsia="Arial" w:hAnsi="Arial"/>
                <w:sz w:val="14"/>
                <w:szCs w:val="14"/>
                <w:color w:val="auto"/>
              </w:rPr>
              <w:t>Financial Officer</w:t>
            </w:r>
          </w:p>
        </w:tc>
        <w:tc>
          <w:tcPr>
            <w:tcW w:w="580" w:type="dxa"/>
            <w:vAlign w:val="bottom"/>
            <w:tcBorders>
              <w:bottom w:val="single" w:sz="8" w:color="808080"/>
            </w:tcBorders>
          </w:tcPr>
          <w:p>
            <w:pPr>
              <w:spacing w:after="0"/>
              <w:rPr>
                <w:sz w:val="4"/>
                <w:szCs w:val="4"/>
                <w:color w:val="auto"/>
              </w:rPr>
            </w:pPr>
          </w:p>
        </w:tc>
        <w:tc>
          <w:tcPr>
            <w:tcW w:w="82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96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1220" w:type="dxa"/>
            <w:vAlign w:val="bottom"/>
            <w:tcBorders>
              <w:bottom w:val="single" w:sz="8" w:color="808080"/>
            </w:tcBorders>
          </w:tcPr>
          <w:p>
            <w:pPr>
              <w:spacing w:after="0"/>
              <w:rPr>
                <w:sz w:val="4"/>
                <w:szCs w:val="4"/>
                <w:color w:val="auto"/>
              </w:rPr>
            </w:pPr>
          </w:p>
        </w:tc>
        <w:tc>
          <w:tcPr>
            <w:tcW w:w="10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1460" w:type="dxa"/>
            <w:vAlign w:val="bottom"/>
            <w:vMerge w:val="continue"/>
          </w:tcPr>
          <w:p>
            <w:pPr>
              <w:spacing w:after="0"/>
              <w:rPr>
                <w:sz w:val="10"/>
                <w:szCs w:val="10"/>
                <w:color w:val="auto"/>
              </w:rPr>
            </w:pPr>
          </w:p>
        </w:tc>
        <w:tc>
          <w:tcPr>
            <w:tcW w:w="580" w:type="dxa"/>
            <w:vAlign w:val="bottom"/>
            <w:vMerge w:val="restart"/>
          </w:tcPr>
          <w:p>
            <w:pPr>
              <w:jc w:val="right"/>
              <w:ind w:right="69"/>
              <w:spacing w:after="0"/>
              <w:rPr>
                <w:sz w:val="20"/>
                <w:szCs w:val="20"/>
                <w:color w:val="auto"/>
              </w:rPr>
            </w:pPr>
            <w:r>
              <w:rPr>
                <w:rFonts w:ascii="Arial" w:cs="Arial" w:eastAsia="Arial" w:hAnsi="Arial"/>
                <w:sz w:val="14"/>
                <w:szCs w:val="14"/>
                <w:color w:val="auto"/>
              </w:rPr>
              <w:t>2022</w:t>
            </w:r>
          </w:p>
        </w:tc>
        <w:tc>
          <w:tcPr>
            <w:tcW w:w="820" w:type="dxa"/>
            <w:vAlign w:val="bottom"/>
            <w:vMerge w:val="restart"/>
          </w:tcPr>
          <w:p>
            <w:pPr>
              <w:jc w:val="right"/>
              <w:ind w:right="109"/>
              <w:spacing w:after="0"/>
              <w:rPr>
                <w:sz w:val="20"/>
                <w:szCs w:val="20"/>
                <w:color w:val="auto"/>
              </w:rPr>
            </w:pPr>
            <w:r>
              <w:rPr>
                <w:rFonts w:ascii="Arial" w:cs="Arial" w:eastAsia="Arial" w:hAnsi="Arial"/>
                <w:sz w:val="14"/>
                <w:szCs w:val="14"/>
                <w:color w:val="auto"/>
              </w:rPr>
              <w:t>485,493</w:t>
            </w:r>
          </w:p>
        </w:tc>
        <w:tc>
          <w:tcPr>
            <w:tcW w:w="800" w:type="dxa"/>
            <w:vAlign w:val="bottom"/>
            <w:vMerge w:val="restart"/>
          </w:tcPr>
          <w:p>
            <w:pPr>
              <w:jc w:val="right"/>
              <w:ind w:right="189"/>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130"/>
              <w:spacing w:after="0"/>
              <w:rPr>
                <w:sz w:val="20"/>
                <w:szCs w:val="20"/>
                <w:color w:val="auto"/>
              </w:rPr>
            </w:pPr>
            <w:r>
              <w:rPr>
                <w:rFonts w:ascii="Arial" w:cs="Arial" w:eastAsia="Arial" w:hAnsi="Arial"/>
                <w:sz w:val="14"/>
                <w:szCs w:val="14"/>
                <w:color w:val="auto"/>
              </w:rPr>
              <w:t>963,860</w:t>
            </w:r>
          </w:p>
        </w:tc>
        <w:tc>
          <w:tcPr>
            <w:tcW w:w="1020" w:type="dxa"/>
            <w:vAlign w:val="bottom"/>
            <w:vMerge w:val="restart"/>
          </w:tcPr>
          <w:p>
            <w:pPr>
              <w:jc w:val="right"/>
              <w:ind w:right="190"/>
              <w:spacing w:after="0"/>
              <w:rPr>
                <w:sz w:val="20"/>
                <w:szCs w:val="20"/>
                <w:color w:val="auto"/>
              </w:rPr>
            </w:pPr>
            <w:r>
              <w:rPr>
                <w:rFonts w:ascii="Arial" w:cs="Arial" w:eastAsia="Arial" w:hAnsi="Arial"/>
                <w:sz w:val="14"/>
                <w:szCs w:val="14"/>
                <w:color w:val="auto"/>
              </w:rPr>
              <w:t>1,707,102</w:t>
            </w:r>
          </w:p>
        </w:tc>
        <w:tc>
          <w:tcPr>
            <w:tcW w:w="1180" w:type="dxa"/>
            <w:vAlign w:val="bottom"/>
            <w:vMerge w:val="restart"/>
          </w:tcPr>
          <w:p>
            <w:pPr>
              <w:jc w:val="right"/>
              <w:ind w:right="170"/>
              <w:spacing w:after="0"/>
              <w:rPr>
                <w:sz w:val="20"/>
                <w:szCs w:val="20"/>
                <w:color w:val="auto"/>
              </w:rPr>
            </w:pPr>
            <w:r>
              <w:rPr>
                <w:rFonts w:ascii="Arial" w:cs="Arial" w:eastAsia="Arial" w:hAnsi="Arial"/>
                <w:sz w:val="14"/>
                <w:szCs w:val="14"/>
                <w:color w:val="auto"/>
              </w:rPr>
              <w:t>462,185</w:t>
            </w:r>
          </w:p>
        </w:tc>
        <w:tc>
          <w:tcPr>
            <w:tcW w:w="1220" w:type="dxa"/>
            <w:vAlign w:val="bottom"/>
            <w:vMerge w:val="restart"/>
          </w:tcPr>
          <w:p>
            <w:pPr>
              <w:jc w:val="right"/>
              <w:ind w:right="150"/>
              <w:spacing w:after="0"/>
              <w:rPr>
                <w:sz w:val="20"/>
                <w:szCs w:val="20"/>
                <w:color w:val="auto"/>
              </w:rPr>
            </w:pPr>
            <w:r>
              <w:rPr>
                <w:rFonts w:ascii="Arial" w:cs="Arial" w:eastAsia="Arial" w:hAnsi="Arial"/>
                <w:sz w:val="14"/>
                <w:szCs w:val="14"/>
                <w:color w:val="auto"/>
              </w:rPr>
              <w:t>23,380</w:t>
            </w:r>
          </w:p>
        </w:tc>
        <w:tc>
          <w:tcPr>
            <w:tcW w:w="1040" w:type="dxa"/>
            <w:vAlign w:val="bottom"/>
            <w:vMerge w:val="restart"/>
          </w:tcPr>
          <w:p>
            <w:pPr>
              <w:jc w:val="right"/>
              <w:ind w:right="129"/>
              <w:spacing w:after="0"/>
              <w:rPr>
                <w:sz w:val="20"/>
                <w:szCs w:val="20"/>
                <w:color w:val="auto"/>
              </w:rPr>
            </w:pPr>
            <w:r>
              <w:rPr>
                <w:rFonts w:ascii="Arial" w:cs="Arial" w:eastAsia="Arial" w:hAnsi="Arial"/>
                <w:sz w:val="14"/>
                <w:szCs w:val="14"/>
                <w:color w:val="auto"/>
              </w:rPr>
              <w:t>3,642,020</w:t>
            </w:r>
          </w:p>
        </w:tc>
        <w:tc>
          <w:tcPr>
            <w:tcW w:w="0" w:type="dxa"/>
            <w:vAlign w:val="bottom"/>
          </w:tcPr>
          <w:p>
            <w:pPr>
              <w:spacing w:after="0"/>
              <w:rPr>
                <w:sz w:val="1"/>
                <w:szCs w:val="1"/>
                <w:color w:val="auto"/>
              </w:rPr>
            </w:pPr>
          </w:p>
        </w:tc>
      </w:tr>
      <w:tr>
        <w:trPr>
          <w:trHeight w:val="81"/>
        </w:trPr>
        <w:tc>
          <w:tcPr>
            <w:tcW w:w="14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1460" w:type="dxa"/>
            <w:vAlign w:val="bottom"/>
            <w:tcBorders>
              <w:bottom w:val="single" w:sz="8" w:color="808080"/>
            </w:tcBorders>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820" w:type="dxa"/>
            <w:vAlign w:val="bottom"/>
            <w:tcBorders>
              <w:bottom w:val="single" w:sz="8" w:color="808080"/>
            </w:tcBorders>
          </w:tcPr>
          <w:p>
            <w:pPr>
              <w:spacing w:after="0" w:line="20" w:lineRule="exact"/>
              <w:rPr>
                <w:sz w:val="1"/>
                <w:szCs w:val="1"/>
                <w:color w:val="auto"/>
              </w:rPr>
            </w:pPr>
          </w:p>
        </w:tc>
        <w:tc>
          <w:tcPr>
            <w:tcW w:w="800" w:type="dxa"/>
            <w:vAlign w:val="bottom"/>
            <w:tcBorders>
              <w:bottom w:val="single" w:sz="8" w:color="808080"/>
            </w:tcBorders>
          </w:tcPr>
          <w:p>
            <w:pPr>
              <w:spacing w:after="0" w:line="20" w:lineRule="exact"/>
              <w:rPr>
                <w:sz w:val="1"/>
                <w:szCs w:val="1"/>
                <w:color w:val="auto"/>
              </w:rPr>
            </w:pPr>
          </w:p>
        </w:tc>
        <w:tc>
          <w:tcPr>
            <w:tcW w:w="960" w:type="dxa"/>
            <w:vAlign w:val="bottom"/>
            <w:tcBorders>
              <w:bottom w:val="single" w:sz="8" w:color="808080"/>
            </w:tcBorders>
          </w:tcPr>
          <w:p>
            <w:pPr>
              <w:spacing w:after="0" w:line="20" w:lineRule="exact"/>
              <w:rPr>
                <w:sz w:val="1"/>
                <w:szCs w:val="1"/>
                <w:color w:val="auto"/>
              </w:rPr>
            </w:pPr>
          </w:p>
        </w:tc>
        <w:tc>
          <w:tcPr>
            <w:tcW w:w="1020" w:type="dxa"/>
            <w:vAlign w:val="bottom"/>
            <w:tcBorders>
              <w:bottom w:val="single" w:sz="8" w:color="808080"/>
            </w:tcBorders>
          </w:tcPr>
          <w:p>
            <w:pPr>
              <w:spacing w:after="0" w:line="20" w:lineRule="exact"/>
              <w:rPr>
                <w:sz w:val="1"/>
                <w:szCs w:val="1"/>
                <w:color w:val="auto"/>
              </w:rPr>
            </w:pPr>
          </w:p>
        </w:tc>
        <w:tc>
          <w:tcPr>
            <w:tcW w:w="1180" w:type="dxa"/>
            <w:vAlign w:val="bottom"/>
            <w:tcBorders>
              <w:bottom w:val="single" w:sz="8" w:color="808080"/>
            </w:tcBorders>
          </w:tcPr>
          <w:p>
            <w:pPr>
              <w:spacing w:after="0" w:line="20" w:lineRule="exact"/>
              <w:rPr>
                <w:sz w:val="1"/>
                <w:szCs w:val="1"/>
                <w:color w:val="auto"/>
              </w:rPr>
            </w:pPr>
          </w:p>
        </w:tc>
        <w:tc>
          <w:tcPr>
            <w:tcW w:w="1220" w:type="dxa"/>
            <w:vAlign w:val="bottom"/>
            <w:tcBorders>
              <w:bottom w:val="single" w:sz="8" w:color="808080"/>
            </w:tcBorders>
          </w:tcPr>
          <w:p>
            <w:pPr>
              <w:spacing w:after="0" w:line="20" w:lineRule="exact"/>
              <w:rPr>
                <w:sz w:val="1"/>
                <w:szCs w:val="1"/>
                <w:color w:val="auto"/>
              </w:rPr>
            </w:pPr>
          </w:p>
        </w:tc>
        <w:tc>
          <w:tcPr>
            <w:tcW w:w="10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1460" w:type="dxa"/>
            <w:vAlign w:val="bottom"/>
          </w:tcPr>
          <w:p>
            <w:pPr>
              <w:ind w:left="80"/>
              <w:spacing w:after="0" w:line="200" w:lineRule="exact"/>
              <w:rPr>
                <w:sz w:val="20"/>
                <w:szCs w:val="20"/>
                <w:color w:val="auto"/>
              </w:rPr>
            </w:pPr>
            <w:r>
              <w:rPr>
                <w:rFonts w:ascii="Arial" w:cs="Arial" w:eastAsia="Arial" w:hAnsi="Arial"/>
                <w:sz w:val="14"/>
                <w:szCs w:val="14"/>
                <w:b w:val="1"/>
                <w:bCs w:val="1"/>
                <w:color w:val="342C82"/>
              </w:rPr>
              <w:t>Shaun Curtis</w:t>
            </w:r>
            <w:r>
              <w:rPr>
                <w:rFonts w:ascii="Arial" w:cs="Arial" w:eastAsia="Arial" w:hAnsi="Arial"/>
                <w:sz w:val="23"/>
                <w:szCs w:val="23"/>
                <w:color w:val="000000"/>
                <w:vertAlign w:val="superscript"/>
              </w:rPr>
              <w:t>(5)</w:t>
            </w:r>
          </w:p>
        </w:tc>
        <w:tc>
          <w:tcPr>
            <w:tcW w:w="5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460" w:type="dxa"/>
            <w:vAlign w:val="bottom"/>
          </w:tcPr>
          <w:p>
            <w:pPr>
              <w:ind w:left="80"/>
              <w:spacing w:after="0"/>
              <w:rPr>
                <w:sz w:val="20"/>
                <w:szCs w:val="20"/>
                <w:color w:val="auto"/>
              </w:rPr>
            </w:pPr>
            <w:r>
              <w:rPr>
                <w:rFonts w:ascii="Arial" w:cs="Arial" w:eastAsia="Arial" w:hAnsi="Arial"/>
                <w:sz w:val="14"/>
                <w:szCs w:val="14"/>
                <w:color w:val="auto"/>
              </w:rPr>
              <w:t>Senior Vice</w:t>
            </w:r>
          </w:p>
        </w:tc>
        <w:tc>
          <w:tcPr>
            <w:tcW w:w="580" w:type="dxa"/>
            <w:vAlign w:val="bottom"/>
            <w:vMerge w:val="restart"/>
          </w:tcPr>
          <w:p>
            <w:pPr>
              <w:jc w:val="right"/>
              <w:ind w:right="69"/>
              <w:spacing w:after="0"/>
              <w:rPr>
                <w:sz w:val="20"/>
                <w:szCs w:val="20"/>
                <w:color w:val="auto"/>
              </w:rPr>
            </w:pPr>
            <w:r>
              <w:rPr>
                <w:rFonts w:ascii="Arial" w:cs="Arial" w:eastAsia="Arial" w:hAnsi="Arial"/>
                <w:sz w:val="14"/>
                <w:szCs w:val="14"/>
                <w:color w:val="auto"/>
              </w:rPr>
              <w:t>2024</w:t>
            </w:r>
          </w:p>
        </w:tc>
        <w:tc>
          <w:tcPr>
            <w:tcW w:w="820" w:type="dxa"/>
            <w:vAlign w:val="bottom"/>
            <w:vMerge w:val="restart"/>
          </w:tcPr>
          <w:p>
            <w:pPr>
              <w:jc w:val="right"/>
              <w:ind w:right="109"/>
              <w:spacing w:after="0"/>
              <w:rPr>
                <w:sz w:val="20"/>
                <w:szCs w:val="20"/>
                <w:color w:val="auto"/>
              </w:rPr>
            </w:pPr>
            <w:r>
              <w:rPr>
                <w:rFonts w:ascii="Arial" w:cs="Arial" w:eastAsia="Arial" w:hAnsi="Arial"/>
                <w:sz w:val="14"/>
                <w:szCs w:val="14"/>
                <w:color w:val="auto"/>
              </w:rPr>
              <w:t>504,531</w:t>
            </w:r>
          </w:p>
        </w:tc>
        <w:tc>
          <w:tcPr>
            <w:tcW w:w="800" w:type="dxa"/>
            <w:vAlign w:val="bottom"/>
            <w:vMerge w:val="restart"/>
          </w:tcPr>
          <w:p>
            <w:pPr>
              <w:jc w:val="right"/>
              <w:ind w:right="29"/>
              <w:spacing w:after="0"/>
              <w:rPr>
                <w:sz w:val="20"/>
                <w:szCs w:val="20"/>
                <w:color w:val="auto"/>
              </w:rPr>
            </w:pPr>
            <w:r>
              <w:rPr>
                <w:rFonts w:ascii="Arial" w:cs="Arial" w:eastAsia="Arial" w:hAnsi="Arial"/>
                <w:sz w:val="14"/>
                <w:szCs w:val="14"/>
                <w:color w:val="auto"/>
              </w:rPr>
              <w:t>12,159</w:t>
            </w:r>
            <w:r>
              <w:rPr>
                <w:rFonts w:ascii="Arial" w:cs="Arial" w:eastAsia="Arial" w:hAnsi="Arial"/>
                <w:sz w:val="23"/>
                <w:szCs w:val="23"/>
                <w:color w:val="auto"/>
                <w:vertAlign w:val="superscript"/>
              </w:rPr>
              <w:t>(6)</w:t>
            </w:r>
          </w:p>
        </w:tc>
        <w:tc>
          <w:tcPr>
            <w:tcW w:w="960" w:type="dxa"/>
            <w:vAlign w:val="bottom"/>
            <w:vMerge w:val="restart"/>
          </w:tcPr>
          <w:p>
            <w:pPr>
              <w:jc w:val="right"/>
              <w:ind w:right="130"/>
              <w:spacing w:after="0"/>
              <w:rPr>
                <w:sz w:val="20"/>
                <w:szCs w:val="20"/>
                <w:color w:val="auto"/>
              </w:rPr>
            </w:pPr>
            <w:r>
              <w:rPr>
                <w:rFonts w:ascii="Arial" w:cs="Arial" w:eastAsia="Arial" w:hAnsi="Arial"/>
                <w:sz w:val="14"/>
                <w:szCs w:val="14"/>
                <w:color w:val="auto"/>
              </w:rPr>
              <w:t>650,033</w:t>
            </w:r>
          </w:p>
        </w:tc>
        <w:tc>
          <w:tcPr>
            <w:tcW w:w="1020" w:type="dxa"/>
            <w:vAlign w:val="bottom"/>
            <w:vMerge w:val="restart"/>
          </w:tcPr>
          <w:p>
            <w:pPr>
              <w:jc w:val="right"/>
              <w:ind w:right="190"/>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170"/>
              <w:spacing w:after="0"/>
              <w:rPr>
                <w:sz w:val="20"/>
                <w:szCs w:val="20"/>
                <w:color w:val="auto"/>
              </w:rPr>
            </w:pPr>
            <w:r>
              <w:rPr>
                <w:rFonts w:ascii="Arial" w:cs="Arial" w:eastAsia="Arial" w:hAnsi="Arial"/>
                <w:sz w:val="14"/>
                <w:szCs w:val="14"/>
                <w:color w:val="auto"/>
              </w:rPr>
              <w:t>374,462</w:t>
            </w:r>
          </w:p>
        </w:tc>
        <w:tc>
          <w:tcPr>
            <w:tcW w:w="1220" w:type="dxa"/>
            <w:vAlign w:val="bottom"/>
            <w:vMerge w:val="restart"/>
          </w:tcPr>
          <w:p>
            <w:pPr>
              <w:jc w:val="right"/>
              <w:ind w:right="150"/>
              <w:spacing w:after="0"/>
              <w:rPr>
                <w:sz w:val="20"/>
                <w:szCs w:val="20"/>
                <w:color w:val="auto"/>
              </w:rPr>
            </w:pPr>
            <w:r>
              <w:rPr>
                <w:rFonts w:ascii="Arial" w:cs="Arial" w:eastAsia="Arial" w:hAnsi="Arial"/>
                <w:sz w:val="14"/>
                <w:szCs w:val="14"/>
                <w:color w:val="auto"/>
              </w:rPr>
              <w:t>143,090</w:t>
            </w:r>
          </w:p>
        </w:tc>
        <w:tc>
          <w:tcPr>
            <w:tcW w:w="1040" w:type="dxa"/>
            <w:vAlign w:val="bottom"/>
            <w:vMerge w:val="restart"/>
          </w:tcPr>
          <w:p>
            <w:pPr>
              <w:jc w:val="right"/>
              <w:ind w:right="129"/>
              <w:spacing w:after="0"/>
              <w:rPr>
                <w:sz w:val="20"/>
                <w:szCs w:val="20"/>
                <w:color w:val="auto"/>
              </w:rPr>
            </w:pPr>
            <w:r>
              <w:rPr>
                <w:rFonts w:ascii="Arial" w:cs="Arial" w:eastAsia="Arial" w:hAnsi="Arial"/>
                <w:sz w:val="14"/>
                <w:szCs w:val="14"/>
                <w:color w:val="auto"/>
              </w:rPr>
              <w:t>1,684,275</w:t>
            </w:r>
          </w:p>
        </w:tc>
        <w:tc>
          <w:tcPr>
            <w:tcW w:w="0" w:type="dxa"/>
            <w:vAlign w:val="bottom"/>
          </w:tcPr>
          <w:p>
            <w:pPr>
              <w:spacing w:after="0"/>
              <w:rPr>
                <w:sz w:val="1"/>
                <w:szCs w:val="1"/>
                <w:color w:val="auto"/>
              </w:rPr>
            </w:pPr>
          </w:p>
        </w:tc>
      </w:tr>
      <w:tr>
        <w:trPr>
          <w:trHeight w:val="162"/>
        </w:trPr>
        <w:tc>
          <w:tcPr>
            <w:tcW w:w="1460" w:type="dxa"/>
            <w:vAlign w:val="bottom"/>
          </w:tcPr>
          <w:p>
            <w:pPr>
              <w:ind w:left="80"/>
              <w:spacing w:after="0"/>
              <w:rPr>
                <w:sz w:val="20"/>
                <w:szCs w:val="20"/>
                <w:color w:val="auto"/>
              </w:rPr>
            </w:pPr>
            <w:r>
              <w:rPr>
                <w:rFonts w:ascii="Arial" w:cs="Arial" w:eastAsia="Arial" w:hAnsi="Arial"/>
                <w:sz w:val="14"/>
                <w:szCs w:val="14"/>
                <w:color w:val="auto"/>
              </w:rPr>
              <w:t>President, Global</w:t>
            </w:r>
          </w:p>
        </w:tc>
        <w:tc>
          <w:tcPr>
            <w:tcW w:w="5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460" w:type="dxa"/>
            <w:vAlign w:val="bottom"/>
            <w:vMerge w:val="restart"/>
          </w:tcPr>
          <w:p>
            <w:pPr>
              <w:ind w:left="80"/>
              <w:spacing w:after="0"/>
              <w:rPr>
                <w:sz w:val="20"/>
                <w:szCs w:val="20"/>
                <w:color w:val="auto"/>
              </w:rPr>
            </w:pPr>
            <w:r>
              <w:rPr>
                <w:rFonts w:ascii="Arial" w:cs="Arial" w:eastAsia="Arial" w:hAnsi="Arial"/>
                <w:sz w:val="14"/>
                <w:szCs w:val="14"/>
                <w:color w:val="auto"/>
              </w:rPr>
              <w:t>Manufacturing,</w:t>
            </w:r>
          </w:p>
        </w:tc>
        <w:tc>
          <w:tcPr>
            <w:tcW w:w="580" w:type="dxa"/>
            <w:vAlign w:val="bottom"/>
            <w:tcBorders>
              <w:bottom w:val="single" w:sz="8" w:color="808080"/>
            </w:tcBorders>
          </w:tcPr>
          <w:p>
            <w:pPr>
              <w:spacing w:after="0" w:line="20" w:lineRule="exact"/>
              <w:rPr>
                <w:sz w:val="1"/>
                <w:szCs w:val="1"/>
                <w:color w:val="auto"/>
              </w:rPr>
            </w:pPr>
          </w:p>
        </w:tc>
        <w:tc>
          <w:tcPr>
            <w:tcW w:w="820" w:type="dxa"/>
            <w:vAlign w:val="bottom"/>
            <w:tcBorders>
              <w:bottom w:val="single" w:sz="8" w:color="808080"/>
            </w:tcBorders>
          </w:tcPr>
          <w:p>
            <w:pPr>
              <w:spacing w:after="0" w:line="20" w:lineRule="exact"/>
              <w:rPr>
                <w:sz w:val="1"/>
                <w:szCs w:val="1"/>
                <w:color w:val="auto"/>
              </w:rPr>
            </w:pPr>
          </w:p>
        </w:tc>
        <w:tc>
          <w:tcPr>
            <w:tcW w:w="800" w:type="dxa"/>
            <w:vAlign w:val="bottom"/>
            <w:tcBorders>
              <w:bottom w:val="single" w:sz="8" w:color="808080"/>
            </w:tcBorders>
          </w:tcPr>
          <w:p>
            <w:pPr>
              <w:spacing w:after="0" w:line="20" w:lineRule="exact"/>
              <w:rPr>
                <w:sz w:val="1"/>
                <w:szCs w:val="1"/>
                <w:color w:val="auto"/>
              </w:rPr>
            </w:pPr>
          </w:p>
        </w:tc>
        <w:tc>
          <w:tcPr>
            <w:tcW w:w="960" w:type="dxa"/>
            <w:vAlign w:val="bottom"/>
            <w:tcBorders>
              <w:bottom w:val="single" w:sz="8" w:color="808080"/>
            </w:tcBorders>
          </w:tcPr>
          <w:p>
            <w:pPr>
              <w:spacing w:after="0" w:line="20" w:lineRule="exact"/>
              <w:rPr>
                <w:sz w:val="1"/>
                <w:szCs w:val="1"/>
                <w:color w:val="auto"/>
              </w:rPr>
            </w:pPr>
          </w:p>
        </w:tc>
        <w:tc>
          <w:tcPr>
            <w:tcW w:w="1020" w:type="dxa"/>
            <w:vAlign w:val="bottom"/>
            <w:tcBorders>
              <w:bottom w:val="single" w:sz="8" w:color="808080"/>
            </w:tcBorders>
          </w:tcPr>
          <w:p>
            <w:pPr>
              <w:spacing w:after="0" w:line="20" w:lineRule="exact"/>
              <w:rPr>
                <w:sz w:val="1"/>
                <w:szCs w:val="1"/>
                <w:color w:val="auto"/>
              </w:rPr>
            </w:pPr>
          </w:p>
        </w:tc>
        <w:tc>
          <w:tcPr>
            <w:tcW w:w="1180" w:type="dxa"/>
            <w:vAlign w:val="bottom"/>
            <w:tcBorders>
              <w:bottom w:val="single" w:sz="8" w:color="808080"/>
            </w:tcBorders>
          </w:tcPr>
          <w:p>
            <w:pPr>
              <w:spacing w:after="0" w:line="20" w:lineRule="exact"/>
              <w:rPr>
                <w:sz w:val="1"/>
                <w:szCs w:val="1"/>
                <w:color w:val="auto"/>
              </w:rPr>
            </w:pPr>
          </w:p>
        </w:tc>
        <w:tc>
          <w:tcPr>
            <w:tcW w:w="1220" w:type="dxa"/>
            <w:vAlign w:val="bottom"/>
            <w:tcBorders>
              <w:bottom w:val="single" w:sz="8" w:color="808080"/>
            </w:tcBorders>
          </w:tcPr>
          <w:p>
            <w:pPr>
              <w:spacing w:after="0" w:line="20" w:lineRule="exact"/>
              <w:rPr>
                <w:sz w:val="1"/>
                <w:szCs w:val="1"/>
                <w:color w:val="auto"/>
              </w:rPr>
            </w:pPr>
          </w:p>
        </w:tc>
        <w:tc>
          <w:tcPr>
            <w:tcW w:w="10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9"/>
        </w:trPr>
        <w:tc>
          <w:tcPr>
            <w:tcW w:w="1460" w:type="dxa"/>
            <w:vAlign w:val="bottom"/>
            <w:vMerge w:val="continue"/>
          </w:tcPr>
          <w:p>
            <w:pPr>
              <w:spacing w:after="0"/>
              <w:rPr>
                <w:sz w:val="10"/>
                <w:szCs w:val="10"/>
                <w:color w:val="auto"/>
              </w:rPr>
            </w:pPr>
          </w:p>
        </w:tc>
        <w:tc>
          <w:tcPr>
            <w:tcW w:w="580" w:type="dxa"/>
            <w:vAlign w:val="bottom"/>
            <w:vMerge w:val="restart"/>
          </w:tcPr>
          <w:p>
            <w:pPr>
              <w:jc w:val="right"/>
              <w:ind w:right="69"/>
              <w:spacing w:after="0"/>
              <w:rPr>
                <w:sz w:val="20"/>
                <w:szCs w:val="20"/>
                <w:color w:val="auto"/>
              </w:rPr>
            </w:pPr>
            <w:r>
              <w:rPr>
                <w:rFonts w:ascii="Arial" w:cs="Arial" w:eastAsia="Arial" w:hAnsi="Arial"/>
                <w:sz w:val="14"/>
                <w:szCs w:val="14"/>
                <w:color w:val="auto"/>
              </w:rPr>
              <w:t>2023</w:t>
            </w:r>
          </w:p>
        </w:tc>
        <w:tc>
          <w:tcPr>
            <w:tcW w:w="820" w:type="dxa"/>
            <w:vAlign w:val="bottom"/>
            <w:vMerge w:val="restart"/>
          </w:tcPr>
          <w:p>
            <w:pPr>
              <w:jc w:val="right"/>
              <w:ind w:right="109"/>
              <w:spacing w:after="0"/>
              <w:rPr>
                <w:sz w:val="20"/>
                <w:szCs w:val="20"/>
                <w:color w:val="auto"/>
              </w:rPr>
            </w:pPr>
            <w:r>
              <w:rPr>
                <w:rFonts w:ascii="Arial" w:cs="Arial" w:eastAsia="Arial" w:hAnsi="Arial"/>
                <w:sz w:val="14"/>
                <w:szCs w:val="14"/>
                <w:color w:val="auto"/>
              </w:rPr>
              <w:t>459,447</w:t>
            </w:r>
          </w:p>
        </w:tc>
        <w:tc>
          <w:tcPr>
            <w:tcW w:w="800" w:type="dxa"/>
            <w:vAlign w:val="bottom"/>
            <w:vMerge w:val="restart"/>
          </w:tcPr>
          <w:p>
            <w:pPr>
              <w:jc w:val="right"/>
              <w:ind w:right="189"/>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130"/>
              <w:spacing w:after="0"/>
              <w:rPr>
                <w:sz w:val="20"/>
                <w:szCs w:val="20"/>
                <w:color w:val="auto"/>
              </w:rPr>
            </w:pPr>
            <w:r>
              <w:rPr>
                <w:rFonts w:ascii="Arial" w:cs="Arial" w:eastAsia="Arial" w:hAnsi="Arial"/>
                <w:sz w:val="14"/>
                <w:szCs w:val="14"/>
                <w:color w:val="auto"/>
              </w:rPr>
              <w:t>574,741</w:t>
            </w:r>
          </w:p>
        </w:tc>
        <w:tc>
          <w:tcPr>
            <w:tcW w:w="1020" w:type="dxa"/>
            <w:vAlign w:val="bottom"/>
            <w:vMerge w:val="restart"/>
          </w:tcPr>
          <w:p>
            <w:pPr>
              <w:jc w:val="right"/>
              <w:ind w:right="190"/>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170"/>
              <w:spacing w:after="0"/>
              <w:rPr>
                <w:sz w:val="20"/>
                <w:szCs w:val="20"/>
                <w:color w:val="auto"/>
              </w:rPr>
            </w:pPr>
            <w:r>
              <w:rPr>
                <w:rFonts w:ascii="Arial" w:cs="Arial" w:eastAsia="Arial" w:hAnsi="Arial"/>
                <w:sz w:val="14"/>
                <w:szCs w:val="14"/>
                <w:color w:val="auto"/>
              </w:rPr>
              <w:t>320,779</w:t>
            </w:r>
          </w:p>
        </w:tc>
        <w:tc>
          <w:tcPr>
            <w:tcW w:w="1220" w:type="dxa"/>
            <w:vAlign w:val="bottom"/>
            <w:vMerge w:val="restart"/>
          </w:tcPr>
          <w:p>
            <w:pPr>
              <w:jc w:val="right"/>
              <w:ind w:right="150"/>
              <w:spacing w:after="0"/>
              <w:rPr>
                <w:sz w:val="20"/>
                <w:szCs w:val="20"/>
                <w:color w:val="auto"/>
              </w:rPr>
            </w:pPr>
            <w:r>
              <w:rPr>
                <w:rFonts w:ascii="Arial" w:cs="Arial" w:eastAsia="Arial" w:hAnsi="Arial"/>
                <w:sz w:val="14"/>
                <w:szCs w:val="14"/>
                <w:color w:val="auto"/>
              </w:rPr>
              <w:t>135,440</w:t>
            </w:r>
          </w:p>
        </w:tc>
        <w:tc>
          <w:tcPr>
            <w:tcW w:w="1040" w:type="dxa"/>
            <w:vAlign w:val="bottom"/>
            <w:vMerge w:val="restart"/>
          </w:tcPr>
          <w:p>
            <w:pPr>
              <w:jc w:val="right"/>
              <w:ind w:right="129"/>
              <w:spacing w:after="0"/>
              <w:rPr>
                <w:sz w:val="20"/>
                <w:szCs w:val="20"/>
                <w:color w:val="auto"/>
              </w:rPr>
            </w:pPr>
            <w:r>
              <w:rPr>
                <w:rFonts w:ascii="Arial" w:cs="Arial" w:eastAsia="Arial" w:hAnsi="Arial"/>
                <w:sz w:val="14"/>
                <w:szCs w:val="14"/>
                <w:color w:val="auto"/>
              </w:rPr>
              <w:t>1,490,407</w:t>
            </w:r>
          </w:p>
        </w:tc>
        <w:tc>
          <w:tcPr>
            <w:tcW w:w="0" w:type="dxa"/>
            <w:vAlign w:val="bottom"/>
          </w:tcPr>
          <w:p>
            <w:pPr>
              <w:spacing w:after="0"/>
              <w:rPr>
                <w:sz w:val="1"/>
                <w:szCs w:val="1"/>
                <w:color w:val="auto"/>
              </w:rPr>
            </w:pPr>
          </w:p>
        </w:tc>
      </w:tr>
      <w:tr>
        <w:trPr>
          <w:trHeight w:val="82"/>
        </w:trPr>
        <w:tc>
          <w:tcPr>
            <w:tcW w:w="1460" w:type="dxa"/>
            <w:vAlign w:val="bottom"/>
            <w:vMerge w:val="restart"/>
          </w:tcPr>
          <w:p>
            <w:pPr>
              <w:ind w:left="80"/>
              <w:spacing w:after="0"/>
              <w:rPr>
                <w:sz w:val="20"/>
                <w:szCs w:val="20"/>
                <w:color w:val="auto"/>
              </w:rPr>
            </w:pPr>
            <w:r>
              <w:rPr>
                <w:rFonts w:ascii="Arial" w:cs="Arial" w:eastAsia="Arial" w:hAnsi="Arial"/>
                <w:sz w:val="14"/>
                <w:szCs w:val="14"/>
                <w:color w:val="auto"/>
              </w:rPr>
              <w:t>Supply Chain</w:t>
            </w:r>
          </w:p>
        </w:tc>
        <w:tc>
          <w:tcPr>
            <w:tcW w:w="58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1460" w:type="dxa"/>
            <w:vAlign w:val="bottom"/>
            <w:vMerge w:val="continue"/>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820" w:type="dxa"/>
            <w:vAlign w:val="bottom"/>
            <w:tcBorders>
              <w:bottom w:val="single" w:sz="8" w:color="808080"/>
            </w:tcBorders>
          </w:tcPr>
          <w:p>
            <w:pPr>
              <w:spacing w:after="0" w:line="20" w:lineRule="exact"/>
              <w:rPr>
                <w:sz w:val="1"/>
                <w:szCs w:val="1"/>
                <w:color w:val="auto"/>
              </w:rPr>
            </w:pPr>
          </w:p>
        </w:tc>
        <w:tc>
          <w:tcPr>
            <w:tcW w:w="800" w:type="dxa"/>
            <w:vAlign w:val="bottom"/>
            <w:tcBorders>
              <w:bottom w:val="single" w:sz="8" w:color="808080"/>
            </w:tcBorders>
          </w:tcPr>
          <w:p>
            <w:pPr>
              <w:spacing w:after="0" w:line="20" w:lineRule="exact"/>
              <w:rPr>
                <w:sz w:val="1"/>
                <w:szCs w:val="1"/>
                <w:color w:val="auto"/>
              </w:rPr>
            </w:pPr>
          </w:p>
        </w:tc>
        <w:tc>
          <w:tcPr>
            <w:tcW w:w="960" w:type="dxa"/>
            <w:vAlign w:val="bottom"/>
            <w:tcBorders>
              <w:bottom w:val="single" w:sz="8" w:color="808080"/>
            </w:tcBorders>
          </w:tcPr>
          <w:p>
            <w:pPr>
              <w:spacing w:after="0" w:line="20" w:lineRule="exact"/>
              <w:rPr>
                <w:sz w:val="1"/>
                <w:szCs w:val="1"/>
                <w:color w:val="auto"/>
              </w:rPr>
            </w:pPr>
          </w:p>
        </w:tc>
        <w:tc>
          <w:tcPr>
            <w:tcW w:w="1020" w:type="dxa"/>
            <w:vAlign w:val="bottom"/>
            <w:tcBorders>
              <w:bottom w:val="single" w:sz="8" w:color="808080"/>
            </w:tcBorders>
          </w:tcPr>
          <w:p>
            <w:pPr>
              <w:spacing w:after="0" w:line="20" w:lineRule="exact"/>
              <w:rPr>
                <w:sz w:val="1"/>
                <w:szCs w:val="1"/>
                <w:color w:val="auto"/>
              </w:rPr>
            </w:pPr>
          </w:p>
        </w:tc>
        <w:tc>
          <w:tcPr>
            <w:tcW w:w="1180" w:type="dxa"/>
            <w:vAlign w:val="bottom"/>
            <w:tcBorders>
              <w:bottom w:val="single" w:sz="8" w:color="808080"/>
            </w:tcBorders>
          </w:tcPr>
          <w:p>
            <w:pPr>
              <w:spacing w:after="0" w:line="20" w:lineRule="exact"/>
              <w:rPr>
                <w:sz w:val="1"/>
                <w:szCs w:val="1"/>
                <w:color w:val="auto"/>
              </w:rPr>
            </w:pPr>
          </w:p>
        </w:tc>
        <w:tc>
          <w:tcPr>
            <w:tcW w:w="1220" w:type="dxa"/>
            <w:vAlign w:val="bottom"/>
            <w:tcBorders>
              <w:bottom w:val="single" w:sz="8" w:color="808080"/>
            </w:tcBorders>
          </w:tcPr>
          <w:p>
            <w:pPr>
              <w:spacing w:after="0" w:line="20" w:lineRule="exact"/>
              <w:rPr>
                <w:sz w:val="1"/>
                <w:szCs w:val="1"/>
                <w:color w:val="auto"/>
              </w:rPr>
            </w:pPr>
          </w:p>
        </w:tc>
        <w:tc>
          <w:tcPr>
            <w:tcW w:w="10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
        </w:trPr>
        <w:tc>
          <w:tcPr>
            <w:tcW w:w="14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vMerge w:val="restart"/>
          </w:tcPr>
          <w:p>
            <w:pPr>
              <w:jc w:val="right"/>
              <w:ind w:right="29"/>
              <w:spacing w:after="0" w:line="250" w:lineRule="exact"/>
              <w:rPr>
                <w:sz w:val="20"/>
                <w:szCs w:val="20"/>
                <w:color w:val="auto"/>
              </w:rPr>
            </w:pPr>
            <w:r>
              <w:rPr>
                <w:rFonts w:ascii="Arial" w:cs="Arial" w:eastAsia="Arial" w:hAnsi="Arial"/>
                <w:sz w:val="14"/>
                <w:szCs w:val="14"/>
                <w:color w:val="auto"/>
              </w:rPr>
              <w:t>2,964</w:t>
            </w:r>
            <w:r>
              <w:rPr>
                <w:rFonts w:ascii="Arial" w:cs="Arial" w:eastAsia="Arial" w:hAnsi="Arial"/>
                <w:sz w:val="23"/>
                <w:szCs w:val="23"/>
                <w:color w:val="auto"/>
                <w:vertAlign w:val="superscript"/>
              </w:rPr>
              <w:t>(6)</w:t>
            </w:r>
          </w:p>
        </w:tc>
        <w:tc>
          <w:tcPr>
            <w:tcW w:w="9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1460" w:type="dxa"/>
            <w:vAlign w:val="bottom"/>
            <w:tcBorders>
              <w:bottom w:val="single" w:sz="8" w:color="808080"/>
            </w:tcBorders>
          </w:tcPr>
          <w:p>
            <w:pPr>
              <w:ind w:left="80"/>
              <w:spacing w:after="0"/>
              <w:rPr>
                <w:sz w:val="20"/>
                <w:szCs w:val="20"/>
                <w:color w:val="auto"/>
              </w:rPr>
            </w:pPr>
            <w:r>
              <w:rPr>
                <w:rFonts w:ascii="Arial" w:cs="Arial" w:eastAsia="Arial" w:hAnsi="Arial"/>
                <w:sz w:val="14"/>
                <w:szCs w:val="14"/>
                <w:color w:val="auto"/>
              </w:rPr>
              <w:t>and Quality</w:t>
            </w:r>
          </w:p>
        </w:tc>
        <w:tc>
          <w:tcPr>
            <w:tcW w:w="580" w:type="dxa"/>
            <w:vAlign w:val="bottom"/>
            <w:tcBorders>
              <w:bottom w:val="single" w:sz="8" w:color="808080"/>
            </w:tcBorders>
          </w:tcPr>
          <w:p>
            <w:pPr>
              <w:jc w:val="right"/>
              <w:ind w:right="69"/>
              <w:spacing w:after="0"/>
              <w:rPr>
                <w:sz w:val="20"/>
                <w:szCs w:val="20"/>
                <w:color w:val="auto"/>
              </w:rPr>
            </w:pPr>
            <w:r>
              <w:rPr>
                <w:rFonts w:ascii="Arial" w:cs="Arial" w:eastAsia="Arial" w:hAnsi="Arial"/>
                <w:sz w:val="14"/>
                <w:szCs w:val="14"/>
                <w:color w:val="auto"/>
              </w:rPr>
              <w:t>2022</w:t>
            </w:r>
          </w:p>
        </w:tc>
        <w:tc>
          <w:tcPr>
            <w:tcW w:w="820" w:type="dxa"/>
            <w:vAlign w:val="bottom"/>
            <w:tcBorders>
              <w:bottom w:val="single" w:sz="8" w:color="808080"/>
            </w:tcBorders>
          </w:tcPr>
          <w:p>
            <w:pPr>
              <w:jc w:val="right"/>
              <w:ind w:right="109"/>
              <w:spacing w:after="0"/>
              <w:rPr>
                <w:sz w:val="20"/>
                <w:szCs w:val="20"/>
                <w:color w:val="auto"/>
              </w:rPr>
            </w:pPr>
            <w:r>
              <w:rPr>
                <w:rFonts w:ascii="Arial" w:cs="Arial" w:eastAsia="Arial" w:hAnsi="Arial"/>
                <w:sz w:val="14"/>
                <w:szCs w:val="14"/>
                <w:color w:val="auto"/>
              </w:rPr>
              <w:t>313,693</w:t>
            </w:r>
          </w:p>
        </w:tc>
        <w:tc>
          <w:tcPr>
            <w:tcW w:w="800" w:type="dxa"/>
            <w:vAlign w:val="bottom"/>
            <w:tcBorders>
              <w:bottom w:val="single" w:sz="8" w:color="808080"/>
            </w:tcBorders>
            <w:vMerge w:val="continue"/>
          </w:tcPr>
          <w:p>
            <w:pPr>
              <w:spacing w:after="0"/>
              <w:rPr>
                <w:sz w:val="18"/>
                <w:szCs w:val="18"/>
                <w:color w:val="auto"/>
              </w:rPr>
            </w:pPr>
          </w:p>
        </w:tc>
        <w:tc>
          <w:tcPr>
            <w:tcW w:w="960" w:type="dxa"/>
            <w:vAlign w:val="bottom"/>
            <w:tcBorders>
              <w:bottom w:val="single" w:sz="8" w:color="808080"/>
            </w:tcBorders>
          </w:tcPr>
          <w:p>
            <w:pPr>
              <w:jc w:val="right"/>
              <w:ind w:right="130"/>
              <w:spacing w:after="0"/>
              <w:rPr>
                <w:sz w:val="20"/>
                <w:szCs w:val="20"/>
                <w:color w:val="auto"/>
              </w:rPr>
            </w:pPr>
            <w:r>
              <w:rPr>
                <w:rFonts w:ascii="Arial" w:cs="Arial" w:eastAsia="Arial" w:hAnsi="Arial"/>
                <w:sz w:val="14"/>
                <w:szCs w:val="14"/>
                <w:color w:val="auto"/>
              </w:rPr>
              <w:t>332,942</w:t>
            </w:r>
          </w:p>
        </w:tc>
        <w:tc>
          <w:tcPr>
            <w:tcW w:w="1020" w:type="dxa"/>
            <w:vAlign w:val="bottom"/>
            <w:tcBorders>
              <w:bottom w:val="single" w:sz="8" w:color="808080"/>
            </w:tcBorders>
          </w:tcPr>
          <w:p>
            <w:pPr>
              <w:jc w:val="right"/>
              <w:ind w:right="190"/>
              <w:spacing w:after="0"/>
              <w:rPr>
                <w:sz w:val="20"/>
                <w:szCs w:val="20"/>
                <w:color w:val="auto"/>
              </w:rPr>
            </w:pPr>
            <w:r>
              <w:rPr>
                <w:rFonts w:ascii="Arial" w:cs="Arial" w:eastAsia="Arial" w:hAnsi="Arial"/>
                <w:sz w:val="14"/>
                <w:szCs w:val="14"/>
                <w:color w:val="auto"/>
              </w:rPr>
              <w:t>313,831</w:t>
            </w:r>
          </w:p>
        </w:tc>
        <w:tc>
          <w:tcPr>
            <w:tcW w:w="1180" w:type="dxa"/>
            <w:vAlign w:val="bottom"/>
            <w:tcBorders>
              <w:bottom w:val="single" w:sz="8" w:color="808080"/>
            </w:tcBorders>
          </w:tcPr>
          <w:p>
            <w:pPr>
              <w:jc w:val="right"/>
              <w:ind w:right="170"/>
              <w:spacing w:after="0"/>
              <w:rPr>
                <w:sz w:val="20"/>
                <w:szCs w:val="20"/>
                <w:color w:val="auto"/>
              </w:rPr>
            </w:pPr>
            <w:r>
              <w:rPr>
                <w:rFonts w:ascii="Arial" w:cs="Arial" w:eastAsia="Arial" w:hAnsi="Arial"/>
                <w:sz w:val="14"/>
                <w:szCs w:val="14"/>
                <w:color w:val="auto"/>
              </w:rPr>
              <w:t>211,530</w:t>
            </w:r>
          </w:p>
        </w:tc>
        <w:tc>
          <w:tcPr>
            <w:tcW w:w="1220" w:type="dxa"/>
            <w:vAlign w:val="bottom"/>
            <w:tcBorders>
              <w:bottom w:val="single" w:sz="8" w:color="808080"/>
            </w:tcBorders>
          </w:tcPr>
          <w:p>
            <w:pPr>
              <w:jc w:val="right"/>
              <w:ind w:right="150"/>
              <w:spacing w:after="0"/>
              <w:rPr>
                <w:sz w:val="20"/>
                <w:szCs w:val="20"/>
                <w:color w:val="auto"/>
              </w:rPr>
            </w:pPr>
            <w:r>
              <w:rPr>
                <w:rFonts w:ascii="Arial" w:cs="Arial" w:eastAsia="Arial" w:hAnsi="Arial"/>
                <w:sz w:val="14"/>
                <w:szCs w:val="14"/>
                <w:color w:val="auto"/>
              </w:rPr>
              <w:t>163,277</w:t>
            </w:r>
          </w:p>
        </w:tc>
        <w:tc>
          <w:tcPr>
            <w:tcW w:w="1040" w:type="dxa"/>
            <w:vAlign w:val="bottom"/>
            <w:tcBorders>
              <w:bottom w:val="single" w:sz="8" w:color="808080"/>
            </w:tcBorders>
          </w:tcPr>
          <w:p>
            <w:pPr>
              <w:jc w:val="right"/>
              <w:ind w:right="129"/>
              <w:spacing w:after="0"/>
              <w:rPr>
                <w:sz w:val="20"/>
                <w:szCs w:val="20"/>
                <w:color w:val="auto"/>
              </w:rPr>
            </w:pPr>
            <w:r>
              <w:rPr>
                <w:rFonts w:ascii="Arial" w:cs="Arial" w:eastAsia="Arial" w:hAnsi="Arial"/>
                <w:sz w:val="14"/>
                <w:szCs w:val="14"/>
                <w:color w:val="auto"/>
              </w:rPr>
              <w:t>1,338,237</w:t>
            </w:r>
          </w:p>
        </w:tc>
        <w:tc>
          <w:tcPr>
            <w:tcW w:w="0" w:type="dxa"/>
            <w:vAlign w:val="bottom"/>
          </w:tcPr>
          <w:p>
            <w:pPr>
              <w:spacing w:after="0"/>
              <w:rPr>
                <w:sz w:val="1"/>
                <w:szCs w:val="1"/>
                <w:color w:val="auto"/>
              </w:rPr>
            </w:pPr>
          </w:p>
        </w:tc>
      </w:tr>
      <w:tr>
        <w:trPr>
          <w:trHeight w:val="173"/>
        </w:trPr>
        <w:tc>
          <w:tcPr>
            <w:tcW w:w="1460" w:type="dxa"/>
            <w:vAlign w:val="bottom"/>
          </w:tcPr>
          <w:p>
            <w:pPr>
              <w:ind w:left="80"/>
              <w:spacing w:after="0"/>
              <w:rPr>
                <w:sz w:val="20"/>
                <w:szCs w:val="20"/>
                <w:color w:val="auto"/>
              </w:rPr>
            </w:pPr>
            <w:r>
              <w:rPr>
                <w:rFonts w:ascii="Arial" w:cs="Arial" w:eastAsia="Arial" w:hAnsi="Arial"/>
                <w:sz w:val="14"/>
                <w:szCs w:val="14"/>
                <w:b w:val="1"/>
                <w:bCs w:val="1"/>
                <w:color w:val="342C82"/>
              </w:rPr>
              <w:t>Jeff Mann</w:t>
            </w: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460" w:type="dxa"/>
            <w:vAlign w:val="bottom"/>
          </w:tcPr>
          <w:p>
            <w:pPr>
              <w:ind w:left="80"/>
              <w:spacing w:after="0"/>
              <w:rPr>
                <w:sz w:val="20"/>
                <w:szCs w:val="20"/>
                <w:color w:val="auto"/>
              </w:rPr>
            </w:pPr>
            <w:r>
              <w:rPr>
                <w:rFonts w:ascii="Arial" w:cs="Arial" w:eastAsia="Arial" w:hAnsi="Arial"/>
                <w:sz w:val="14"/>
                <w:szCs w:val="14"/>
                <w:color w:val="auto"/>
              </w:rPr>
              <w:t>Senior Vice</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60" w:type="dxa"/>
            <w:vAlign w:val="bottom"/>
          </w:tcPr>
          <w:p>
            <w:pPr>
              <w:ind w:left="80"/>
              <w:spacing w:after="0"/>
              <w:rPr>
                <w:sz w:val="20"/>
                <w:szCs w:val="20"/>
                <w:color w:val="auto"/>
              </w:rPr>
            </w:pPr>
            <w:r>
              <w:rPr>
                <w:rFonts w:ascii="Arial" w:cs="Arial" w:eastAsia="Arial" w:hAnsi="Arial"/>
                <w:sz w:val="14"/>
                <w:szCs w:val="14"/>
                <w:color w:val="auto"/>
              </w:rPr>
              <w:t>President, General</w:t>
            </w:r>
          </w:p>
        </w:tc>
        <w:tc>
          <w:tcPr>
            <w:tcW w:w="580" w:type="dxa"/>
            <w:vAlign w:val="bottom"/>
          </w:tcPr>
          <w:p>
            <w:pPr>
              <w:jc w:val="right"/>
              <w:ind w:right="69"/>
              <w:spacing w:after="0"/>
              <w:rPr>
                <w:sz w:val="20"/>
                <w:szCs w:val="20"/>
                <w:color w:val="auto"/>
              </w:rPr>
            </w:pPr>
            <w:r>
              <w:rPr>
                <w:rFonts w:ascii="Arial" w:cs="Arial" w:eastAsia="Arial" w:hAnsi="Arial"/>
                <w:sz w:val="14"/>
                <w:szCs w:val="14"/>
                <w:color w:val="auto"/>
              </w:rPr>
              <w:t>2024</w:t>
            </w:r>
          </w:p>
        </w:tc>
        <w:tc>
          <w:tcPr>
            <w:tcW w:w="820" w:type="dxa"/>
            <w:vAlign w:val="bottom"/>
          </w:tcPr>
          <w:p>
            <w:pPr>
              <w:jc w:val="right"/>
              <w:ind w:right="109"/>
              <w:spacing w:after="0"/>
              <w:rPr>
                <w:sz w:val="20"/>
                <w:szCs w:val="20"/>
                <w:color w:val="auto"/>
              </w:rPr>
            </w:pPr>
            <w:r>
              <w:rPr>
                <w:rFonts w:ascii="Arial" w:cs="Arial" w:eastAsia="Arial" w:hAnsi="Arial"/>
                <w:sz w:val="14"/>
                <w:szCs w:val="14"/>
                <w:color w:val="auto"/>
              </w:rPr>
              <w:t>553,381</w:t>
            </w:r>
          </w:p>
        </w:tc>
        <w:tc>
          <w:tcPr>
            <w:tcW w:w="80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30"/>
              <w:spacing w:after="0"/>
              <w:rPr>
                <w:sz w:val="20"/>
                <w:szCs w:val="20"/>
                <w:color w:val="auto"/>
              </w:rPr>
            </w:pPr>
            <w:r>
              <w:rPr>
                <w:rFonts w:ascii="Arial" w:cs="Arial" w:eastAsia="Arial" w:hAnsi="Arial"/>
                <w:sz w:val="14"/>
                <w:szCs w:val="14"/>
                <w:color w:val="auto"/>
              </w:rPr>
              <w:t>1,600,020</w:t>
            </w:r>
          </w:p>
        </w:tc>
        <w:tc>
          <w:tcPr>
            <w:tcW w:w="1020" w:type="dxa"/>
            <w:vAlign w:val="bottom"/>
          </w:tcPr>
          <w:p>
            <w:pPr>
              <w:jc w:val="right"/>
              <w:ind w:right="19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70"/>
              <w:spacing w:after="0"/>
              <w:rPr>
                <w:sz w:val="20"/>
                <w:szCs w:val="20"/>
                <w:color w:val="auto"/>
              </w:rPr>
            </w:pPr>
            <w:r>
              <w:rPr>
                <w:rFonts w:ascii="Arial" w:cs="Arial" w:eastAsia="Arial" w:hAnsi="Arial"/>
                <w:sz w:val="14"/>
                <w:szCs w:val="14"/>
                <w:color w:val="auto"/>
              </w:rPr>
              <w:t>409,716</w:t>
            </w:r>
          </w:p>
        </w:tc>
        <w:tc>
          <w:tcPr>
            <w:tcW w:w="1220" w:type="dxa"/>
            <w:vAlign w:val="bottom"/>
          </w:tcPr>
          <w:p>
            <w:pPr>
              <w:jc w:val="right"/>
              <w:ind w:right="150"/>
              <w:spacing w:after="0"/>
              <w:rPr>
                <w:sz w:val="20"/>
                <w:szCs w:val="20"/>
                <w:color w:val="auto"/>
              </w:rPr>
            </w:pPr>
            <w:r>
              <w:rPr>
                <w:rFonts w:ascii="Arial" w:cs="Arial" w:eastAsia="Arial" w:hAnsi="Arial"/>
                <w:sz w:val="14"/>
                <w:szCs w:val="14"/>
                <w:color w:val="auto"/>
              </w:rPr>
              <w:t>30,101</w:t>
            </w:r>
          </w:p>
        </w:tc>
        <w:tc>
          <w:tcPr>
            <w:tcW w:w="1040" w:type="dxa"/>
            <w:vAlign w:val="bottom"/>
          </w:tcPr>
          <w:p>
            <w:pPr>
              <w:jc w:val="right"/>
              <w:ind w:right="129"/>
              <w:spacing w:after="0"/>
              <w:rPr>
                <w:sz w:val="20"/>
                <w:szCs w:val="20"/>
                <w:color w:val="auto"/>
              </w:rPr>
            </w:pPr>
            <w:r>
              <w:rPr>
                <w:rFonts w:ascii="Arial" w:cs="Arial" w:eastAsia="Arial" w:hAnsi="Arial"/>
                <w:sz w:val="14"/>
                <w:szCs w:val="14"/>
                <w:color w:val="auto"/>
              </w:rPr>
              <w:t>2,593,218</w:t>
            </w:r>
          </w:p>
        </w:tc>
        <w:tc>
          <w:tcPr>
            <w:tcW w:w="0" w:type="dxa"/>
            <w:vAlign w:val="bottom"/>
          </w:tcPr>
          <w:p>
            <w:pPr>
              <w:spacing w:after="0"/>
              <w:rPr>
                <w:sz w:val="1"/>
                <w:szCs w:val="1"/>
                <w:color w:val="auto"/>
              </w:rPr>
            </w:pPr>
          </w:p>
        </w:tc>
      </w:tr>
      <w:tr>
        <w:trPr>
          <w:trHeight w:val="50"/>
        </w:trPr>
        <w:tc>
          <w:tcPr>
            <w:tcW w:w="1460" w:type="dxa"/>
            <w:vAlign w:val="bottom"/>
            <w:vMerge w:val="restart"/>
          </w:tcPr>
          <w:p>
            <w:pPr>
              <w:ind w:left="80"/>
              <w:spacing w:after="0"/>
              <w:rPr>
                <w:sz w:val="20"/>
                <w:szCs w:val="20"/>
                <w:color w:val="auto"/>
              </w:rPr>
            </w:pPr>
            <w:r>
              <w:rPr>
                <w:rFonts w:ascii="Arial" w:cs="Arial" w:eastAsia="Arial" w:hAnsi="Arial"/>
                <w:sz w:val="14"/>
                <w:szCs w:val="14"/>
                <w:color w:val="auto"/>
              </w:rPr>
              <w:t>Counsel and</w:t>
            </w:r>
          </w:p>
        </w:tc>
        <w:tc>
          <w:tcPr>
            <w:tcW w:w="580" w:type="dxa"/>
            <w:vAlign w:val="bottom"/>
            <w:tcBorders>
              <w:bottom w:val="single" w:sz="8" w:color="808080"/>
            </w:tcBorders>
          </w:tcPr>
          <w:p>
            <w:pPr>
              <w:spacing w:after="0"/>
              <w:rPr>
                <w:sz w:val="4"/>
                <w:szCs w:val="4"/>
                <w:color w:val="auto"/>
              </w:rPr>
            </w:pPr>
          </w:p>
        </w:tc>
        <w:tc>
          <w:tcPr>
            <w:tcW w:w="82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96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1220" w:type="dxa"/>
            <w:vAlign w:val="bottom"/>
            <w:tcBorders>
              <w:bottom w:val="single" w:sz="8" w:color="808080"/>
            </w:tcBorders>
          </w:tcPr>
          <w:p>
            <w:pPr>
              <w:spacing w:after="0"/>
              <w:rPr>
                <w:sz w:val="4"/>
                <w:szCs w:val="4"/>
                <w:color w:val="auto"/>
              </w:rPr>
            </w:pPr>
          </w:p>
        </w:tc>
        <w:tc>
          <w:tcPr>
            <w:tcW w:w="10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92"/>
        </w:trPr>
        <w:tc>
          <w:tcPr>
            <w:tcW w:w="1460" w:type="dxa"/>
            <w:vAlign w:val="bottom"/>
            <w:vMerge w:val="continue"/>
          </w:tcPr>
          <w:p>
            <w:pPr>
              <w:spacing w:after="0"/>
              <w:rPr>
                <w:sz w:val="8"/>
                <w:szCs w:val="8"/>
                <w:color w:val="auto"/>
              </w:rPr>
            </w:pPr>
          </w:p>
        </w:tc>
        <w:tc>
          <w:tcPr>
            <w:tcW w:w="580" w:type="dxa"/>
            <w:vAlign w:val="bottom"/>
            <w:vMerge w:val="restart"/>
          </w:tcPr>
          <w:p>
            <w:pPr>
              <w:jc w:val="right"/>
              <w:ind w:right="69"/>
              <w:spacing w:after="0"/>
              <w:rPr>
                <w:sz w:val="20"/>
                <w:szCs w:val="20"/>
                <w:color w:val="auto"/>
              </w:rPr>
            </w:pPr>
            <w:r>
              <w:rPr>
                <w:rFonts w:ascii="Arial" w:cs="Arial" w:eastAsia="Arial" w:hAnsi="Arial"/>
                <w:sz w:val="14"/>
                <w:szCs w:val="14"/>
                <w:color w:val="auto"/>
              </w:rPr>
              <w:t>2023</w:t>
            </w:r>
          </w:p>
        </w:tc>
        <w:tc>
          <w:tcPr>
            <w:tcW w:w="820" w:type="dxa"/>
            <w:vAlign w:val="bottom"/>
            <w:vMerge w:val="restart"/>
          </w:tcPr>
          <w:p>
            <w:pPr>
              <w:jc w:val="right"/>
              <w:ind w:right="109"/>
              <w:spacing w:after="0"/>
              <w:rPr>
                <w:sz w:val="20"/>
                <w:szCs w:val="20"/>
                <w:color w:val="auto"/>
              </w:rPr>
            </w:pPr>
            <w:r>
              <w:rPr>
                <w:rFonts w:ascii="Arial" w:cs="Arial" w:eastAsia="Arial" w:hAnsi="Arial"/>
                <w:sz w:val="14"/>
                <w:szCs w:val="14"/>
                <w:color w:val="auto"/>
              </w:rPr>
              <w:t>528,846</w:t>
            </w:r>
          </w:p>
        </w:tc>
        <w:tc>
          <w:tcPr>
            <w:tcW w:w="800" w:type="dxa"/>
            <w:vAlign w:val="bottom"/>
            <w:vMerge w:val="restart"/>
          </w:tcPr>
          <w:p>
            <w:pPr>
              <w:jc w:val="right"/>
              <w:ind w:right="189"/>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130"/>
              <w:spacing w:after="0"/>
              <w:rPr>
                <w:sz w:val="20"/>
                <w:szCs w:val="20"/>
                <w:color w:val="auto"/>
              </w:rPr>
            </w:pPr>
            <w:r>
              <w:rPr>
                <w:rFonts w:ascii="Arial" w:cs="Arial" w:eastAsia="Arial" w:hAnsi="Arial"/>
                <w:sz w:val="14"/>
                <w:szCs w:val="14"/>
                <w:color w:val="auto"/>
              </w:rPr>
              <w:t>1,245,315</w:t>
            </w:r>
          </w:p>
        </w:tc>
        <w:tc>
          <w:tcPr>
            <w:tcW w:w="1020" w:type="dxa"/>
            <w:vAlign w:val="bottom"/>
            <w:vMerge w:val="restart"/>
          </w:tcPr>
          <w:p>
            <w:pPr>
              <w:jc w:val="right"/>
              <w:ind w:right="190"/>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170"/>
              <w:spacing w:after="0"/>
              <w:rPr>
                <w:sz w:val="20"/>
                <w:szCs w:val="20"/>
                <w:color w:val="auto"/>
              </w:rPr>
            </w:pPr>
            <w:r>
              <w:rPr>
                <w:rFonts w:ascii="Arial" w:cs="Arial" w:eastAsia="Arial" w:hAnsi="Arial"/>
                <w:sz w:val="14"/>
                <w:szCs w:val="14"/>
                <w:color w:val="auto"/>
              </w:rPr>
              <w:t>401,349</w:t>
            </w:r>
          </w:p>
        </w:tc>
        <w:tc>
          <w:tcPr>
            <w:tcW w:w="1220" w:type="dxa"/>
            <w:vAlign w:val="bottom"/>
            <w:vMerge w:val="restart"/>
          </w:tcPr>
          <w:p>
            <w:pPr>
              <w:jc w:val="right"/>
              <w:ind w:right="150"/>
              <w:spacing w:after="0"/>
              <w:rPr>
                <w:sz w:val="20"/>
                <w:szCs w:val="20"/>
                <w:color w:val="auto"/>
              </w:rPr>
            </w:pPr>
            <w:r>
              <w:rPr>
                <w:rFonts w:ascii="Arial" w:cs="Arial" w:eastAsia="Arial" w:hAnsi="Arial"/>
                <w:sz w:val="14"/>
                <w:szCs w:val="14"/>
                <w:color w:val="auto"/>
              </w:rPr>
              <w:t>29,258</w:t>
            </w:r>
          </w:p>
        </w:tc>
        <w:tc>
          <w:tcPr>
            <w:tcW w:w="1040" w:type="dxa"/>
            <w:vAlign w:val="bottom"/>
            <w:vMerge w:val="restart"/>
          </w:tcPr>
          <w:p>
            <w:pPr>
              <w:jc w:val="right"/>
              <w:ind w:right="129"/>
              <w:spacing w:after="0"/>
              <w:rPr>
                <w:sz w:val="20"/>
                <w:szCs w:val="20"/>
                <w:color w:val="auto"/>
              </w:rPr>
            </w:pPr>
            <w:r>
              <w:rPr>
                <w:rFonts w:ascii="Arial" w:cs="Arial" w:eastAsia="Arial" w:hAnsi="Arial"/>
                <w:sz w:val="14"/>
                <w:szCs w:val="14"/>
                <w:color w:val="auto"/>
              </w:rPr>
              <w:t>2,204,768</w:t>
            </w:r>
          </w:p>
        </w:tc>
        <w:tc>
          <w:tcPr>
            <w:tcW w:w="0" w:type="dxa"/>
            <w:vAlign w:val="bottom"/>
          </w:tcPr>
          <w:p>
            <w:pPr>
              <w:spacing w:after="0"/>
              <w:rPr>
                <w:sz w:val="1"/>
                <w:szCs w:val="1"/>
                <w:color w:val="auto"/>
              </w:rPr>
            </w:pPr>
          </w:p>
        </w:tc>
      </w:tr>
      <w:tr>
        <w:trPr>
          <w:trHeight w:val="109"/>
        </w:trPr>
        <w:tc>
          <w:tcPr>
            <w:tcW w:w="1460" w:type="dxa"/>
            <w:vAlign w:val="bottom"/>
            <w:vMerge w:val="restart"/>
          </w:tcPr>
          <w:p>
            <w:pPr>
              <w:ind w:left="80"/>
              <w:spacing w:after="0" w:line="125" w:lineRule="exact"/>
              <w:rPr>
                <w:sz w:val="20"/>
                <w:szCs w:val="20"/>
                <w:color w:val="auto"/>
              </w:rPr>
            </w:pPr>
            <w:r>
              <w:rPr>
                <w:rFonts w:ascii="Arial" w:cs="Arial" w:eastAsia="Arial" w:hAnsi="Arial"/>
                <w:sz w:val="14"/>
                <w:szCs w:val="14"/>
                <w:color w:val="auto"/>
              </w:rPr>
              <w:t>Product</w:t>
            </w:r>
          </w:p>
        </w:tc>
        <w:tc>
          <w:tcPr>
            <w:tcW w:w="58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1460" w:type="dxa"/>
            <w:vAlign w:val="bottom"/>
            <w:vMerge w:val="continue"/>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820" w:type="dxa"/>
            <w:vAlign w:val="bottom"/>
            <w:tcBorders>
              <w:bottom w:val="single" w:sz="8" w:color="808080"/>
            </w:tcBorders>
          </w:tcPr>
          <w:p>
            <w:pPr>
              <w:spacing w:after="0" w:line="20" w:lineRule="exact"/>
              <w:rPr>
                <w:sz w:val="1"/>
                <w:szCs w:val="1"/>
                <w:color w:val="auto"/>
              </w:rPr>
            </w:pPr>
          </w:p>
        </w:tc>
        <w:tc>
          <w:tcPr>
            <w:tcW w:w="800" w:type="dxa"/>
            <w:vAlign w:val="bottom"/>
            <w:tcBorders>
              <w:bottom w:val="single" w:sz="8" w:color="808080"/>
            </w:tcBorders>
          </w:tcPr>
          <w:p>
            <w:pPr>
              <w:spacing w:after="0" w:line="20" w:lineRule="exact"/>
              <w:rPr>
                <w:sz w:val="1"/>
                <w:szCs w:val="1"/>
                <w:color w:val="auto"/>
              </w:rPr>
            </w:pPr>
          </w:p>
        </w:tc>
        <w:tc>
          <w:tcPr>
            <w:tcW w:w="960" w:type="dxa"/>
            <w:vAlign w:val="bottom"/>
            <w:tcBorders>
              <w:bottom w:val="single" w:sz="8" w:color="808080"/>
            </w:tcBorders>
          </w:tcPr>
          <w:p>
            <w:pPr>
              <w:spacing w:after="0" w:line="20" w:lineRule="exact"/>
              <w:rPr>
                <w:sz w:val="1"/>
                <w:szCs w:val="1"/>
                <w:color w:val="auto"/>
              </w:rPr>
            </w:pPr>
          </w:p>
        </w:tc>
        <w:tc>
          <w:tcPr>
            <w:tcW w:w="1020" w:type="dxa"/>
            <w:vAlign w:val="bottom"/>
            <w:tcBorders>
              <w:bottom w:val="single" w:sz="8" w:color="808080"/>
            </w:tcBorders>
          </w:tcPr>
          <w:p>
            <w:pPr>
              <w:spacing w:after="0" w:line="20" w:lineRule="exact"/>
              <w:rPr>
                <w:sz w:val="1"/>
                <w:szCs w:val="1"/>
                <w:color w:val="auto"/>
              </w:rPr>
            </w:pPr>
          </w:p>
        </w:tc>
        <w:tc>
          <w:tcPr>
            <w:tcW w:w="1180" w:type="dxa"/>
            <w:vAlign w:val="bottom"/>
            <w:tcBorders>
              <w:bottom w:val="single" w:sz="8" w:color="808080"/>
            </w:tcBorders>
          </w:tcPr>
          <w:p>
            <w:pPr>
              <w:spacing w:after="0" w:line="20" w:lineRule="exact"/>
              <w:rPr>
                <w:sz w:val="1"/>
                <w:szCs w:val="1"/>
                <w:color w:val="auto"/>
              </w:rPr>
            </w:pPr>
          </w:p>
        </w:tc>
        <w:tc>
          <w:tcPr>
            <w:tcW w:w="1220" w:type="dxa"/>
            <w:vAlign w:val="bottom"/>
            <w:tcBorders>
              <w:bottom w:val="single" w:sz="8" w:color="808080"/>
            </w:tcBorders>
          </w:tcPr>
          <w:p>
            <w:pPr>
              <w:spacing w:after="0" w:line="20" w:lineRule="exact"/>
              <w:rPr>
                <w:sz w:val="1"/>
                <w:szCs w:val="1"/>
                <w:color w:val="auto"/>
              </w:rPr>
            </w:pPr>
          </w:p>
        </w:tc>
        <w:tc>
          <w:tcPr>
            <w:tcW w:w="10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460" w:type="dxa"/>
            <w:vAlign w:val="bottom"/>
          </w:tcPr>
          <w:p>
            <w:pPr>
              <w:ind w:left="80"/>
              <w:spacing w:after="0"/>
              <w:rPr>
                <w:sz w:val="20"/>
                <w:szCs w:val="20"/>
                <w:color w:val="auto"/>
              </w:rPr>
            </w:pPr>
            <w:r>
              <w:rPr>
                <w:rFonts w:ascii="Arial" w:cs="Arial" w:eastAsia="Arial" w:hAnsi="Arial"/>
                <w:sz w:val="14"/>
                <w:szCs w:val="14"/>
                <w:color w:val="auto"/>
              </w:rPr>
              <w:t>Development</w:t>
            </w:r>
          </w:p>
        </w:tc>
        <w:tc>
          <w:tcPr>
            <w:tcW w:w="580" w:type="dxa"/>
            <w:vAlign w:val="bottom"/>
          </w:tcPr>
          <w:p>
            <w:pPr>
              <w:jc w:val="right"/>
              <w:ind w:right="69"/>
              <w:spacing w:after="0"/>
              <w:rPr>
                <w:sz w:val="20"/>
                <w:szCs w:val="20"/>
                <w:color w:val="auto"/>
              </w:rPr>
            </w:pPr>
            <w:r>
              <w:rPr>
                <w:rFonts w:ascii="Arial" w:cs="Arial" w:eastAsia="Arial" w:hAnsi="Arial"/>
                <w:sz w:val="14"/>
                <w:szCs w:val="14"/>
                <w:color w:val="auto"/>
              </w:rPr>
              <w:t>2022</w:t>
            </w:r>
          </w:p>
        </w:tc>
        <w:tc>
          <w:tcPr>
            <w:tcW w:w="820" w:type="dxa"/>
            <w:vAlign w:val="bottom"/>
          </w:tcPr>
          <w:p>
            <w:pPr>
              <w:jc w:val="right"/>
              <w:ind w:right="109"/>
              <w:spacing w:after="0"/>
              <w:rPr>
                <w:sz w:val="20"/>
                <w:szCs w:val="20"/>
                <w:color w:val="auto"/>
              </w:rPr>
            </w:pPr>
            <w:r>
              <w:rPr>
                <w:rFonts w:ascii="Arial" w:cs="Arial" w:eastAsia="Arial" w:hAnsi="Arial"/>
                <w:sz w:val="14"/>
                <w:szCs w:val="14"/>
                <w:color w:val="auto"/>
              </w:rPr>
              <w:t>482,558</w:t>
            </w:r>
          </w:p>
        </w:tc>
        <w:tc>
          <w:tcPr>
            <w:tcW w:w="80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30"/>
              <w:spacing w:after="0"/>
              <w:rPr>
                <w:sz w:val="20"/>
                <w:szCs w:val="20"/>
                <w:color w:val="auto"/>
              </w:rPr>
            </w:pPr>
            <w:r>
              <w:rPr>
                <w:rFonts w:ascii="Arial" w:cs="Arial" w:eastAsia="Arial" w:hAnsi="Arial"/>
                <w:sz w:val="14"/>
                <w:szCs w:val="14"/>
                <w:color w:val="auto"/>
              </w:rPr>
              <w:t>963,860</w:t>
            </w:r>
          </w:p>
        </w:tc>
        <w:tc>
          <w:tcPr>
            <w:tcW w:w="1020" w:type="dxa"/>
            <w:vAlign w:val="bottom"/>
          </w:tcPr>
          <w:p>
            <w:pPr>
              <w:jc w:val="right"/>
              <w:ind w:right="190"/>
              <w:spacing w:after="0"/>
              <w:rPr>
                <w:sz w:val="20"/>
                <w:szCs w:val="20"/>
                <w:color w:val="auto"/>
              </w:rPr>
            </w:pPr>
            <w:r>
              <w:rPr>
                <w:rFonts w:ascii="Arial" w:cs="Arial" w:eastAsia="Arial" w:hAnsi="Arial"/>
                <w:sz w:val="14"/>
                <w:szCs w:val="14"/>
                <w:color w:val="auto"/>
              </w:rPr>
              <w:t>1,707,102</w:t>
            </w:r>
          </w:p>
        </w:tc>
        <w:tc>
          <w:tcPr>
            <w:tcW w:w="1180" w:type="dxa"/>
            <w:vAlign w:val="bottom"/>
          </w:tcPr>
          <w:p>
            <w:pPr>
              <w:jc w:val="right"/>
              <w:ind w:right="170"/>
              <w:spacing w:after="0"/>
              <w:rPr>
                <w:sz w:val="20"/>
                <w:szCs w:val="20"/>
                <w:color w:val="auto"/>
              </w:rPr>
            </w:pPr>
            <w:r>
              <w:rPr>
                <w:rFonts w:ascii="Arial" w:cs="Arial" w:eastAsia="Arial" w:hAnsi="Arial"/>
                <w:sz w:val="14"/>
                <w:szCs w:val="14"/>
                <w:color w:val="auto"/>
              </w:rPr>
              <w:t>394,155</w:t>
            </w:r>
          </w:p>
        </w:tc>
        <w:tc>
          <w:tcPr>
            <w:tcW w:w="1220" w:type="dxa"/>
            <w:vAlign w:val="bottom"/>
          </w:tcPr>
          <w:p>
            <w:pPr>
              <w:jc w:val="right"/>
              <w:ind w:right="150"/>
              <w:spacing w:after="0"/>
              <w:rPr>
                <w:sz w:val="20"/>
                <w:szCs w:val="20"/>
                <w:color w:val="auto"/>
              </w:rPr>
            </w:pPr>
            <w:r>
              <w:rPr>
                <w:rFonts w:ascii="Arial" w:cs="Arial" w:eastAsia="Arial" w:hAnsi="Arial"/>
                <w:sz w:val="14"/>
                <w:szCs w:val="14"/>
                <w:color w:val="auto"/>
              </w:rPr>
              <w:t>34,019</w:t>
            </w:r>
          </w:p>
        </w:tc>
        <w:tc>
          <w:tcPr>
            <w:tcW w:w="1040" w:type="dxa"/>
            <w:vAlign w:val="bottom"/>
          </w:tcPr>
          <w:p>
            <w:pPr>
              <w:jc w:val="right"/>
              <w:ind w:right="129"/>
              <w:spacing w:after="0"/>
              <w:rPr>
                <w:sz w:val="20"/>
                <w:szCs w:val="20"/>
                <w:color w:val="auto"/>
              </w:rPr>
            </w:pPr>
            <w:r>
              <w:rPr>
                <w:rFonts w:ascii="Arial" w:cs="Arial" w:eastAsia="Arial" w:hAnsi="Arial"/>
                <w:sz w:val="14"/>
                <w:szCs w:val="14"/>
                <w:color w:val="auto"/>
              </w:rPr>
              <w:t>3,581,694</w:t>
            </w:r>
          </w:p>
        </w:tc>
        <w:tc>
          <w:tcPr>
            <w:tcW w:w="0" w:type="dxa"/>
            <w:vAlign w:val="bottom"/>
          </w:tcPr>
          <w:p>
            <w:pPr>
              <w:spacing w:after="0"/>
              <w:rPr>
                <w:sz w:val="1"/>
                <w:szCs w:val="1"/>
                <w:color w:val="auto"/>
              </w:rPr>
            </w:pPr>
          </w:p>
        </w:tc>
      </w:tr>
      <w:tr>
        <w:trPr>
          <w:trHeight w:val="22"/>
        </w:trPr>
        <w:tc>
          <w:tcPr>
            <w:tcW w:w="1460" w:type="dxa"/>
            <w:vAlign w:val="bottom"/>
            <w:tcBorders>
              <w:bottom w:val="single" w:sz="8" w:color="808080"/>
            </w:tcBorders>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820" w:type="dxa"/>
            <w:vAlign w:val="bottom"/>
            <w:tcBorders>
              <w:bottom w:val="single" w:sz="8" w:color="808080"/>
            </w:tcBorders>
          </w:tcPr>
          <w:p>
            <w:pPr>
              <w:spacing w:after="0" w:line="20" w:lineRule="exact"/>
              <w:rPr>
                <w:sz w:val="1"/>
                <w:szCs w:val="1"/>
                <w:color w:val="auto"/>
              </w:rPr>
            </w:pPr>
          </w:p>
        </w:tc>
        <w:tc>
          <w:tcPr>
            <w:tcW w:w="800" w:type="dxa"/>
            <w:vAlign w:val="bottom"/>
            <w:tcBorders>
              <w:bottom w:val="single" w:sz="8" w:color="808080"/>
            </w:tcBorders>
          </w:tcPr>
          <w:p>
            <w:pPr>
              <w:spacing w:after="0" w:line="20" w:lineRule="exact"/>
              <w:rPr>
                <w:sz w:val="1"/>
                <w:szCs w:val="1"/>
                <w:color w:val="auto"/>
              </w:rPr>
            </w:pPr>
          </w:p>
        </w:tc>
        <w:tc>
          <w:tcPr>
            <w:tcW w:w="960" w:type="dxa"/>
            <w:vAlign w:val="bottom"/>
            <w:tcBorders>
              <w:bottom w:val="single" w:sz="8" w:color="808080"/>
            </w:tcBorders>
          </w:tcPr>
          <w:p>
            <w:pPr>
              <w:spacing w:after="0" w:line="20" w:lineRule="exact"/>
              <w:rPr>
                <w:sz w:val="1"/>
                <w:szCs w:val="1"/>
                <w:color w:val="auto"/>
              </w:rPr>
            </w:pPr>
          </w:p>
        </w:tc>
        <w:tc>
          <w:tcPr>
            <w:tcW w:w="1020" w:type="dxa"/>
            <w:vAlign w:val="bottom"/>
            <w:tcBorders>
              <w:bottom w:val="single" w:sz="8" w:color="808080"/>
            </w:tcBorders>
          </w:tcPr>
          <w:p>
            <w:pPr>
              <w:spacing w:after="0" w:line="20" w:lineRule="exact"/>
              <w:rPr>
                <w:sz w:val="1"/>
                <w:szCs w:val="1"/>
                <w:color w:val="auto"/>
              </w:rPr>
            </w:pPr>
          </w:p>
        </w:tc>
        <w:tc>
          <w:tcPr>
            <w:tcW w:w="1180" w:type="dxa"/>
            <w:vAlign w:val="bottom"/>
            <w:tcBorders>
              <w:bottom w:val="single" w:sz="8" w:color="808080"/>
            </w:tcBorders>
          </w:tcPr>
          <w:p>
            <w:pPr>
              <w:spacing w:after="0" w:line="20" w:lineRule="exact"/>
              <w:rPr>
                <w:sz w:val="1"/>
                <w:szCs w:val="1"/>
                <w:color w:val="auto"/>
              </w:rPr>
            </w:pPr>
          </w:p>
        </w:tc>
        <w:tc>
          <w:tcPr>
            <w:tcW w:w="1220" w:type="dxa"/>
            <w:vAlign w:val="bottom"/>
            <w:tcBorders>
              <w:bottom w:val="single" w:sz="8" w:color="808080"/>
            </w:tcBorders>
          </w:tcPr>
          <w:p>
            <w:pPr>
              <w:spacing w:after="0" w:line="20" w:lineRule="exact"/>
              <w:rPr>
                <w:sz w:val="1"/>
                <w:szCs w:val="1"/>
                <w:color w:val="auto"/>
              </w:rPr>
            </w:pPr>
          </w:p>
        </w:tc>
        <w:tc>
          <w:tcPr>
            <w:tcW w:w="10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1460" w:type="dxa"/>
            <w:vAlign w:val="bottom"/>
          </w:tcPr>
          <w:p>
            <w:pPr>
              <w:ind w:left="80"/>
              <w:spacing w:after="0"/>
              <w:rPr>
                <w:sz w:val="20"/>
                <w:szCs w:val="20"/>
                <w:color w:val="auto"/>
              </w:rPr>
            </w:pPr>
            <w:r>
              <w:rPr>
                <w:rFonts w:ascii="Arial" w:cs="Arial" w:eastAsia="Arial" w:hAnsi="Arial"/>
                <w:sz w:val="14"/>
                <w:szCs w:val="14"/>
                <w:b w:val="1"/>
                <w:bCs w:val="1"/>
                <w:color w:val="342C82"/>
              </w:rPr>
              <w:t>Jean Casner</w:t>
            </w: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460" w:type="dxa"/>
            <w:vAlign w:val="bottom"/>
          </w:tcPr>
          <w:p>
            <w:pPr>
              <w:ind w:left="80"/>
              <w:spacing w:after="0"/>
              <w:rPr>
                <w:sz w:val="20"/>
                <w:szCs w:val="20"/>
                <w:color w:val="auto"/>
              </w:rPr>
            </w:pPr>
            <w:r>
              <w:rPr>
                <w:rFonts w:ascii="Arial" w:cs="Arial" w:eastAsia="Arial" w:hAnsi="Arial"/>
                <w:sz w:val="14"/>
                <w:szCs w:val="14"/>
                <w:color w:val="auto"/>
              </w:rPr>
              <w:t>Senior Vice</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60" w:type="dxa"/>
            <w:vAlign w:val="bottom"/>
          </w:tcPr>
          <w:p>
            <w:pPr>
              <w:ind w:left="80"/>
              <w:spacing w:after="0"/>
              <w:rPr>
                <w:sz w:val="20"/>
                <w:szCs w:val="20"/>
                <w:color w:val="auto"/>
              </w:rPr>
            </w:pPr>
            <w:r>
              <w:rPr>
                <w:rFonts w:ascii="Arial" w:cs="Arial" w:eastAsia="Arial" w:hAnsi="Arial"/>
                <w:sz w:val="14"/>
                <w:szCs w:val="14"/>
                <w:color w:val="auto"/>
              </w:rPr>
              <w:t>President,</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60" w:type="dxa"/>
            <w:vAlign w:val="bottom"/>
          </w:tcPr>
          <w:p>
            <w:pPr>
              <w:ind w:left="80"/>
              <w:spacing w:after="0"/>
              <w:rPr>
                <w:sz w:val="20"/>
                <w:szCs w:val="20"/>
                <w:color w:val="auto"/>
              </w:rPr>
            </w:pPr>
            <w:r>
              <w:rPr>
                <w:rFonts w:ascii="Arial" w:cs="Arial" w:eastAsia="Arial" w:hAnsi="Arial"/>
                <w:sz w:val="14"/>
                <w:szCs w:val="14"/>
                <w:color w:val="auto"/>
              </w:rPr>
              <w:t>Chief Human</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460" w:type="dxa"/>
            <w:vAlign w:val="bottom"/>
          </w:tcPr>
          <w:p>
            <w:pPr>
              <w:ind w:left="80"/>
              <w:spacing w:after="0"/>
              <w:rPr>
                <w:sz w:val="20"/>
                <w:szCs w:val="20"/>
                <w:color w:val="auto"/>
              </w:rPr>
            </w:pPr>
            <w:r>
              <w:rPr>
                <w:rFonts w:ascii="Arial" w:cs="Arial" w:eastAsia="Arial" w:hAnsi="Arial"/>
                <w:sz w:val="14"/>
                <w:szCs w:val="14"/>
                <w:color w:val="auto"/>
              </w:rPr>
              <w:t>Resources Officer</w:t>
            </w:r>
          </w:p>
        </w:tc>
        <w:tc>
          <w:tcPr>
            <w:tcW w:w="580" w:type="dxa"/>
            <w:vAlign w:val="bottom"/>
          </w:tcPr>
          <w:p>
            <w:pPr>
              <w:jc w:val="right"/>
              <w:ind w:right="69"/>
              <w:spacing w:after="0"/>
              <w:rPr>
                <w:sz w:val="20"/>
                <w:szCs w:val="20"/>
                <w:color w:val="auto"/>
              </w:rPr>
            </w:pPr>
            <w:r>
              <w:rPr>
                <w:rFonts w:ascii="Arial" w:cs="Arial" w:eastAsia="Arial" w:hAnsi="Arial"/>
                <w:sz w:val="14"/>
                <w:szCs w:val="14"/>
                <w:color w:val="auto"/>
              </w:rPr>
              <w:t>2024</w:t>
            </w:r>
          </w:p>
        </w:tc>
        <w:tc>
          <w:tcPr>
            <w:tcW w:w="820" w:type="dxa"/>
            <w:vAlign w:val="bottom"/>
          </w:tcPr>
          <w:p>
            <w:pPr>
              <w:jc w:val="right"/>
              <w:ind w:right="109"/>
              <w:spacing w:after="0"/>
              <w:rPr>
                <w:sz w:val="20"/>
                <w:szCs w:val="20"/>
                <w:color w:val="auto"/>
              </w:rPr>
            </w:pPr>
            <w:r>
              <w:rPr>
                <w:rFonts w:ascii="Arial" w:cs="Arial" w:eastAsia="Arial" w:hAnsi="Arial"/>
                <w:sz w:val="14"/>
                <w:szCs w:val="14"/>
                <w:color w:val="auto"/>
              </w:rPr>
              <w:t>455,769</w:t>
            </w:r>
          </w:p>
        </w:tc>
        <w:tc>
          <w:tcPr>
            <w:tcW w:w="80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30"/>
              <w:spacing w:after="0"/>
              <w:rPr>
                <w:sz w:val="20"/>
                <w:szCs w:val="20"/>
                <w:color w:val="auto"/>
              </w:rPr>
            </w:pPr>
            <w:r>
              <w:rPr>
                <w:rFonts w:ascii="Arial" w:cs="Arial" w:eastAsia="Arial" w:hAnsi="Arial"/>
                <w:sz w:val="14"/>
                <w:szCs w:val="14"/>
                <w:color w:val="auto"/>
              </w:rPr>
              <w:t>530,017</w:t>
            </w:r>
          </w:p>
        </w:tc>
        <w:tc>
          <w:tcPr>
            <w:tcW w:w="1020" w:type="dxa"/>
            <w:vAlign w:val="bottom"/>
          </w:tcPr>
          <w:p>
            <w:pPr>
              <w:jc w:val="right"/>
              <w:ind w:right="19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70"/>
              <w:spacing w:after="0"/>
              <w:rPr>
                <w:sz w:val="20"/>
                <w:szCs w:val="20"/>
                <w:color w:val="auto"/>
              </w:rPr>
            </w:pPr>
            <w:r>
              <w:rPr>
                <w:rFonts w:ascii="Arial" w:cs="Arial" w:eastAsia="Arial" w:hAnsi="Arial"/>
                <w:sz w:val="14"/>
                <w:szCs w:val="14"/>
                <w:color w:val="auto"/>
              </w:rPr>
              <w:t>334,242</w:t>
            </w:r>
          </w:p>
        </w:tc>
        <w:tc>
          <w:tcPr>
            <w:tcW w:w="1220" w:type="dxa"/>
            <w:vAlign w:val="bottom"/>
          </w:tcPr>
          <w:p>
            <w:pPr>
              <w:jc w:val="right"/>
              <w:ind w:right="150"/>
              <w:spacing w:after="0"/>
              <w:rPr>
                <w:sz w:val="20"/>
                <w:szCs w:val="20"/>
                <w:color w:val="auto"/>
              </w:rPr>
            </w:pPr>
            <w:r>
              <w:rPr>
                <w:rFonts w:ascii="Arial" w:cs="Arial" w:eastAsia="Arial" w:hAnsi="Arial"/>
                <w:sz w:val="14"/>
                <w:szCs w:val="14"/>
                <w:color w:val="auto"/>
              </w:rPr>
              <w:t>21,207</w:t>
            </w:r>
          </w:p>
        </w:tc>
        <w:tc>
          <w:tcPr>
            <w:tcW w:w="1040" w:type="dxa"/>
            <w:vAlign w:val="bottom"/>
          </w:tcPr>
          <w:p>
            <w:pPr>
              <w:jc w:val="right"/>
              <w:ind w:right="129"/>
              <w:spacing w:after="0"/>
              <w:rPr>
                <w:sz w:val="20"/>
                <w:szCs w:val="20"/>
                <w:color w:val="auto"/>
              </w:rPr>
            </w:pPr>
            <w:r>
              <w:rPr>
                <w:rFonts w:ascii="Arial" w:cs="Arial" w:eastAsia="Arial" w:hAnsi="Arial"/>
                <w:sz w:val="14"/>
                <w:szCs w:val="14"/>
                <w:color w:val="auto"/>
              </w:rPr>
              <w:t>1,341,235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57607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87" w:lineRule="exact"/>
        <w:rPr>
          <w:sz w:val="20"/>
          <w:szCs w:val="20"/>
          <w:color w:val="auto"/>
        </w:rPr>
      </w:pPr>
    </w:p>
    <w:p>
      <w:pPr>
        <w:ind w:left="620" w:right="660" w:hanging="288"/>
        <w:spacing w:after="0" w:line="204" w:lineRule="auto"/>
        <w:tabs>
          <w:tab w:leader="none" w:pos="620" w:val="left"/>
        </w:tabs>
        <w:numPr>
          <w:ilvl w:val="0"/>
          <w:numId w:val="36"/>
        </w:numPr>
        <w:rPr>
          <w:rFonts w:ascii="Arial" w:cs="Arial" w:eastAsia="Arial" w:hAnsi="Arial"/>
          <w:sz w:val="22"/>
          <w:szCs w:val="22"/>
          <w:color w:val="auto"/>
          <w:vertAlign w:val="superscript"/>
        </w:rPr>
      </w:pPr>
      <w:r>
        <w:rPr>
          <w:rFonts w:ascii="Arial" w:cs="Arial" w:eastAsia="Arial" w:hAnsi="Arial"/>
          <w:sz w:val="14"/>
          <w:szCs w:val="14"/>
          <w:i w:val="1"/>
          <w:iCs w:val="1"/>
          <w:color w:val="auto"/>
        </w:rPr>
        <w:t>Salary</w:t>
      </w:r>
      <w:r>
        <w:rPr>
          <w:rFonts w:ascii="Arial" w:cs="Arial" w:eastAsia="Arial" w:hAnsi="Arial"/>
          <w:sz w:val="14"/>
          <w:szCs w:val="14"/>
          <w:color w:val="auto"/>
        </w:rPr>
        <w:t>. Amount reflects annual base salaries paid to our NEOs in 2024 after taking into account adjustments in base salary</w:t>
      </w:r>
      <w:r>
        <w:rPr>
          <w:rFonts w:ascii="Arial" w:cs="Arial" w:eastAsia="Arial" w:hAnsi="Arial"/>
          <w:sz w:val="14"/>
          <w:szCs w:val="14"/>
          <w:i w:val="1"/>
          <w:iCs w:val="1"/>
          <w:color w:val="auto"/>
        </w:rPr>
        <w:t xml:space="preserve"> </w:t>
      </w:r>
      <w:r>
        <w:rPr>
          <w:rFonts w:ascii="Arial" w:cs="Arial" w:eastAsia="Arial" w:hAnsi="Arial"/>
          <w:sz w:val="14"/>
          <w:szCs w:val="14"/>
          <w:color w:val="auto"/>
        </w:rPr>
        <w:t>rates described above under “Compensation Discussion and Analysis—Base Salary.”</w:t>
      </w:r>
    </w:p>
    <w:p>
      <w:pPr>
        <w:spacing w:after="0" w:line="26" w:lineRule="exact"/>
        <w:rPr>
          <w:rFonts w:ascii="Arial" w:cs="Arial" w:eastAsia="Arial" w:hAnsi="Arial"/>
          <w:sz w:val="22"/>
          <w:szCs w:val="22"/>
          <w:color w:val="auto"/>
          <w:vertAlign w:val="superscript"/>
        </w:rPr>
      </w:pPr>
    </w:p>
    <w:p>
      <w:pPr>
        <w:ind w:left="620" w:right="440" w:hanging="288"/>
        <w:spacing w:after="0" w:line="226" w:lineRule="auto"/>
        <w:tabs>
          <w:tab w:leader="none" w:pos="620" w:val="left"/>
        </w:tabs>
        <w:numPr>
          <w:ilvl w:val="0"/>
          <w:numId w:val="36"/>
        </w:numPr>
        <w:rPr>
          <w:rFonts w:ascii="Arial" w:cs="Arial" w:eastAsia="Arial" w:hAnsi="Arial"/>
          <w:sz w:val="22"/>
          <w:szCs w:val="22"/>
          <w:color w:val="auto"/>
          <w:vertAlign w:val="superscript"/>
        </w:rPr>
      </w:pPr>
      <w:r>
        <w:rPr>
          <w:rFonts w:ascii="Arial" w:cs="Arial" w:eastAsia="Arial" w:hAnsi="Arial"/>
          <w:sz w:val="14"/>
          <w:szCs w:val="14"/>
          <w:i w:val="1"/>
          <w:iCs w:val="1"/>
          <w:color w:val="auto"/>
        </w:rPr>
        <w:t>Stock Awards</w:t>
      </w:r>
      <w:r>
        <w:rPr>
          <w:rFonts w:ascii="Arial" w:cs="Arial" w:eastAsia="Arial" w:hAnsi="Arial"/>
          <w:sz w:val="14"/>
          <w:szCs w:val="14"/>
          <w:color w:val="auto"/>
        </w:rPr>
        <w:t>. Amounts represent the aggregate accounting value of the TVUs and PSUs awards granted to our NEOs during</w:t>
      </w:r>
      <w:r>
        <w:rPr>
          <w:rFonts w:ascii="Arial" w:cs="Arial" w:eastAsia="Arial" w:hAnsi="Arial"/>
          <w:sz w:val="14"/>
          <w:szCs w:val="14"/>
          <w:i w:val="1"/>
          <w:iCs w:val="1"/>
          <w:color w:val="auto"/>
        </w:rPr>
        <w:t xml:space="preserve"> </w:t>
      </w:r>
      <w:r>
        <w:rPr>
          <w:rFonts w:ascii="Arial" w:cs="Arial" w:eastAsia="Arial" w:hAnsi="Arial"/>
          <w:sz w:val="14"/>
          <w:szCs w:val="14"/>
          <w:color w:val="auto"/>
        </w:rPr>
        <w:t>each fiscal year. The amounts reported in each fiscal year do not represent amounts paid to or realized by the NEOs. See the Grants of Plan-Based Awards for Fiscal 2024 table and the accompanying footnotes for information on the accounting value of each award granted in fiscal 2024. The accounting values of the PSUs granted during fiscal 2024 assuming that the highest level of performance conditions will be achieved are: Mr. Kurdikar $6,250,017; Mr. Elguicze $2,000,016; Mr. Curtis $650,033; Mr. Mann $1,600,020; and Ms. Casner $530,017.</w:t>
      </w:r>
    </w:p>
    <w:p>
      <w:pPr>
        <w:spacing w:after="0" w:line="29" w:lineRule="exact"/>
        <w:rPr>
          <w:rFonts w:ascii="Arial" w:cs="Arial" w:eastAsia="Arial" w:hAnsi="Arial"/>
          <w:sz w:val="22"/>
          <w:szCs w:val="22"/>
          <w:color w:val="auto"/>
          <w:vertAlign w:val="superscript"/>
        </w:rPr>
      </w:pPr>
    </w:p>
    <w:p>
      <w:pPr>
        <w:ind w:left="620" w:right="340" w:hanging="288"/>
        <w:spacing w:after="0" w:line="220" w:lineRule="auto"/>
        <w:tabs>
          <w:tab w:leader="none" w:pos="620" w:val="left"/>
        </w:tabs>
        <w:numPr>
          <w:ilvl w:val="0"/>
          <w:numId w:val="36"/>
        </w:numPr>
        <w:rPr>
          <w:rFonts w:ascii="Arial" w:cs="Arial" w:eastAsia="Arial" w:hAnsi="Arial"/>
          <w:sz w:val="22"/>
          <w:szCs w:val="22"/>
          <w:color w:val="auto"/>
          <w:vertAlign w:val="superscript"/>
        </w:rPr>
      </w:pPr>
      <w:r>
        <w:rPr>
          <w:rFonts w:ascii="Arial" w:cs="Arial" w:eastAsia="Arial" w:hAnsi="Arial"/>
          <w:sz w:val="14"/>
          <w:szCs w:val="14"/>
          <w:i w:val="1"/>
          <w:iCs w:val="1"/>
          <w:color w:val="auto"/>
        </w:rPr>
        <w:t>Non-Equity Incentive Plan Compensation</w:t>
      </w:r>
      <w:r>
        <w:rPr>
          <w:rFonts w:ascii="Arial" w:cs="Arial" w:eastAsia="Arial" w:hAnsi="Arial"/>
          <w:sz w:val="14"/>
          <w:szCs w:val="14"/>
          <w:color w:val="auto"/>
        </w:rPr>
        <w:t>. Amounts reflect the aggregate amount of annual incentive awards earned by each</w:t>
      </w:r>
      <w:r>
        <w:rPr>
          <w:rFonts w:ascii="Arial" w:cs="Arial" w:eastAsia="Arial" w:hAnsi="Arial"/>
          <w:sz w:val="14"/>
          <w:szCs w:val="14"/>
          <w:i w:val="1"/>
          <w:iCs w:val="1"/>
          <w:color w:val="auto"/>
        </w:rPr>
        <w:t xml:space="preserve"> </w:t>
      </w:r>
      <w:r>
        <w:rPr>
          <w:rFonts w:ascii="Arial" w:cs="Arial" w:eastAsia="Arial" w:hAnsi="Arial"/>
          <w:sz w:val="14"/>
          <w:szCs w:val="14"/>
          <w:color w:val="auto"/>
        </w:rPr>
        <w:t>NEO under the Bonus Plan. These amounts are generally paid to each NEO in December following the fiscal year in which they are earned, unless deferred at the election of the NEO pursuant to the DCP. For information about annual incentive awards paid to our NEOs, see “Compensation Discussion and Analysis—Annual Short-Term Incentive Awards.”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123825</wp:posOffset>
            </wp:positionV>
            <wp:extent cx="699516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114" w:right="1419" w:bottom="1440" w:gutter="0" w:footer="0" w:header="0"/>
        </w:sectPr>
      </w:pPr>
    </w:p>
    <w:bookmarkStart w:id="63" w:name="page64"/>
    <w:bookmarkEnd w:id="6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5660"/>
        <w:spacing w:after="0"/>
        <w:rPr>
          <w:sz w:val="20"/>
          <w:szCs w:val="20"/>
          <w:color w:val="auto"/>
        </w:rPr>
      </w:pPr>
      <w:r>
        <w:rPr>
          <w:rFonts w:ascii="Arial" w:cs="Arial" w:eastAsia="Arial" w:hAnsi="Arial"/>
          <w:sz w:val="16"/>
          <w:szCs w:val="16"/>
          <w:color w:val="342C82"/>
        </w:rPr>
        <w:t>Compensation of named executive officers</w:t>
      </w:r>
    </w:p>
    <w:p>
      <w:pPr>
        <w:spacing w:after="0" w:line="42" w:lineRule="exact"/>
        <w:rPr>
          <w:sz w:val="20"/>
          <w:szCs w:val="20"/>
          <w:color w:val="auto"/>
        </w:rPr>
      </w:pPr>
    </w:p>
    <w:p>
      <w:pPr>
        <w:ind w:left="580" w:hanging="288"/>
        <w:spacing w:after="0"/>
        <w:tabs>
          <w:tab w:leader="none" w:pos="580" w:val="left"/>
        </w:tabs>
        <w:numPr>
          <w:ilvl w:val="0"/>
          <w:numId w:val="37"/>
        </w:numPr>
        <w:rPr>
          <w:rFonts w:ascii="Arial" w:cs="Arial" w:eastAsia="Arial" w:hAnsi="Arial"/>
          <w:sz w:val="22"/>
          <w:szCs w:val="22"/>
          <w:color w:val="auto"/>
          <w:vertAlign w:val="superscript"/>
        </w:rPr>
      </w:pPr>
      <w:r>
        <w:rPr>
          <w:rFonts w:ascii="Arial" w:cs="Arial" w:eastAsia="Arial" w:hAnsi="Arial"/>
          <w:sz w:val="14"/>
          <w:szCs w:val="14"/>
          <w:i w:val="1"/>
          <w:iCs w:val="1"/>
          <w:color w:val="auto"/>
        </w:rPr>
        <w:t>All Other Compensation</w:t>
      </w:r>
      <w:r>
        <w:rPr>
          <w:rFonts w:ascii="Arial" w:cs="Arial" w:eastAsia="Arial" w:hAnsi="Arial"/>
          <w:sz w:val="14"/>
          <w:szCs w:val="14"/>
          <w:color w:val="auto"/>
        </w:rPr>
        <w:t>. Amounts shown for fiscal year 2024 include the following ($):</w:t>
      </w:r>
    </w:p>
    <w:p>
      <w:pPr>
        <w:spacing w:after="0" w:line="84" w:lineRule="exact"/>
        <w:rPr>
          <w:sz w:val="20"/>
          <w:szCs w:val="20"/>
          <w:color w:val="auto"/>
        </w:rPr>
      </w:pPr>
    </w:p>
    <w:tbl>
      <w:tblPr>
        <w:tblLayout w:type="fixed"/>
        <w:tblInd w:w="540" w:type="dxa"/>
        <w:tblCellMar>
          <w:top w:w="0" w:type="dxa"/>
          <w:left w:w="0" w:type="dxa"/>
          <w:bottom w:w="0" w:type="dxa"/>
          <w:right w:w="0" w:type="dxa"/>
        </w:tblCellMar>
      </w:tblPr>
      <w:tr>
        <w:trPr>
          <w:trHeight w:val="149"/>
        </w:trPr>
        <w:tc>
          <w:tcPr>
            <w:tcW w:w="4240" w:type="dxa"/>
            <w:vAlign w:val="bottom"/>
          </w:tcPr>
          <w:p>
            <w:pPr>
              <w:spacing w:after="0"/>
              <w:rPr>
                <w:sz w:val="13"/>
                <w:szCs w:val="13"/>
                <w:color w:val="auto"/>
              </w:rPr>
            </w:pPr>
          </w:p>
        </w:tc>
        <w:tc>
          <w:tcPr>
            <w:tcW w:w="1120" w:type="dxa"/>
            <w:vAlign w:val="bottom"/>
          </w:tcPr>
          <w:p>
            <w:pPr>
              <w:jc w:val="right"/>
              <w:ind w:right="117"/>
              <w:spacing w:after="0"/>
              <w:rPr>
                <w:sz w:val="20"/>
                <w:szCs w:val="20"/>
                <w:color w:val="auto"/>
              </w:rPr>
            </w:pPr>
            <w:r>
              <w:rPr>
                <w:rFonts w:ascii="Arial" w:cs="Arial" w:eastAsia="Arial" w:hAnsi="Arial"/>
                <w:sz w:val="13"/>
                <w:szCs w:val="13"/>
                <w:b w:val="1"/>
                <w:bCs w:val="1"/>
                <w:color w:val="auto"/>
              </w:rPr>
              <w:t>Devdatt</w:t>
            </w:r>
          </w:p>
        </w:tc>
        <w:tc>
          <w:tcPr>
            <w:tcW w:w="760" w:type="dxa"/>
            <w:vAlign w:val="bottom"/>
          </w:tcPr>
          <w:p>
            <w:pPr>
              <w:jc w:val="right"/>
              <w:ind w:right="77"/>
              <w:spacing w:after="0"/>
              <w:rPr>
                <w:sz w:val="20"/>
                <w:szCs w:val="20"/>
                <w:color w:val="auto"/>
              </w:rPr>
            </w:pPr>
            <w:r>
              <w:rPr>
                <w:rFonts w:ascii="Arial" w:cs="Arial" w:eastAsia="Arial" w:hAnsi="Arial"/>
                <w:sz w:val="13"/>
                <w:szCs w:val="13"/>
                <w:b w:val="1"/>
                <w:bCs w:val="1"/>
                <w:color w:val="auto"/>
              </w:rPr>
              <w:t>Jacob</w:t>
            </w:r>
          </w:p>
        </w:tc>
        <w:tc>
          <w:tcPr>
            <w:tcW w:w="72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rPr>
              <w:t>Shaun</w:t>
            </w:r>
          </w:p>
        </w:tc>
        <w:tc>
          <w:tcPr>
            <w:tcW w:w="68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rPr>
              <w:t>Jeff</w:t>
            </w:r>
          </w:p>
        </w:tc>
        <w:tc>
          <w:tcPr>
            <w:tcW w:w="66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Jean</w:t>
            </w: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112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(Dev)</w:t>
            </w:r>
          </w:p>
        </w:tc>
        <w:tc>
          <w:tcPr>
            <w:tcW w:w="760" w:type="dxa"/>
            <w:vAlign w:val="bottom"/>
          </w:tcPr>
          <w:p>
            <w:pPr>
              <w:jc w:val="right"/>
              <w:ind w:right="77"/>
              <w:spacing w:after="0" w:line="135" w:lineRule="exact"/>
              <w:rPr>
                <w:sz w:val="20"/>
                <w:szCs w:val="20"/>
                <w:color w:val="auto"/>
              </w:rPr>
            </w:pPr>
            <w:r>
              <w:rPr>
                <w:rFonts w:ascii="Arial" w:cs="Arial" w:eastAsia="Arial" w:hAnsi="Arial"/>
                <w:sz w:val="13"/>
                <w:szCs w:val="13"/>
                <w:b w:val="1"/>
                <w:bCs w:val="1"/>
                <w:color w:val="auto"/>
              </w:rPr>
              <w:t>(Jake)</w:t>
            </w:r>
          </w:p>
        </w:tc>
        <w:tc>
          <w:tcPr>
            <w:tcW w:w="7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240" w:type="dxa"/>
            <w:vAlign w:val="bottom"/>
          </w:tcPr>
          <w:p>
            <w:pPr>
              <w:spacing w:after="0"/>
              <w:rPr>
                <w:sz w:val="14"/>
                <w:szCs w:val="14"/>
                <w:color w:val="auto"/>
              </w:rPr>
            </w:pPr>
          </w:p>
        </w:tc>
        <w:tc>
          <w:tcPr>
            <w:tcW w:w="1120" w:type="dxa"/>
            <w:vAlign w:val="bottom"/>
          </w:tcPr>
          <w:p>
            <w:pPr>
              <w:jc w:val="right"/>
              <w:ind w:right="77"/>
              <w:spacing w:after="0"/>
              <w:rPr>
                <w:sz w:val="20"/>
                <w:szCs w:val="20"/>
                <w:color w:val="auto"/>
              </w:rPr>
            </w:pPr>
            <w:r>
              <w:rPr>
                <w:rFonts w:ascii="Arial" w:cs="Arial" w:eastAsia="Arial" w:hAnsi="Arial"/>
                <w:sz w:val="13"/>
                <w:szCs w:val="13"/>
                <w:b w:val="1"/>
                <w:bCs w:val="1"/>
                <w:color w:val="auto"/>
              </w:rPr>
              <w:t>Kurdikar</w:t>
            </w:r>
          </w:p>
        </w:tc>
        <w:tc>
          <w:tcPr>
            <w:tcW w:w="760" w:type="dxa"/>
            <w:vAlign w:val="bottom"/>
          </w:tcPr>
          <w:p>
            <w:pPr>
              <w:jc w:val="right"/>
              <w:ind w:right="37"/>
              <w:spacing w:after="0"/>
              <w:rPr>
                <w:sz w:val="20"/>
                <w:szCs w:val="20"/>
                <w:color w:val="auto"/>
              </w:rPr>
            </w:pPr>
            <w:r>
              <w:rPr>
                <w:rFonts w:ascii="Arial" w:cs="Arial" w:eastAsia="Arial" w:hAnsi="Arial"/>
                <w:sz w:val="13"/>
                <w:szCs w:val="13"/>
                <w:b w:val="1"/>
                <w:bCs w:val="1"/>
                <w:color w:val="auto"/>
              </w:rPr>
              <w:t>Elguicze</w:t>
            </w:r>
          </w:p>
        </w:tc>
        <w:tc>
          <w:tcPr>
            <w:tcW w:w="720" w:type="dxa"/>
            <w:vAlign w:val="bottom"/>
          </w:tcPr>
          <w:p>
            <w:pPr>
              <w:jc w:val="right"/>
              <w:ind w:right="37"/>
              <w:spacing w:after="0"/>
              <w:rPr>
                <w:sz w:val="20"/>
                <w:szCs w:val="20"/>
                <w:color w:val="auto"/>
              </w:rPr>
            </w:pPr>
            <w:r>
              <w:rPr>
                <w:rFonts w:ascii="Arial" w:cs="Arial" w:eastAsia="Arial" w:hAnsi="Arial"/>
                <w:sz w:val="13"/>
                <w:szCs w:val="13"/>
                <w:b w:val="1"/>
                <w:bCs w:val="1"/>
                <w:color w:val="auto"/>
              </w:rPr>
              <w:t>Curtis</w:t>
            </w:r>
          </w:p>
        </w:tc>
        <w:tc>
          <w:tcPr>
            <w:tcW w:w="680" w:type="dxa"/>
            <w:vAlign w:val="bottom"/>
          </w:tcPr>
          <w:p>
            <w:pPr>
              <w:jc w:val="right"/>
              <w:ind w:right="57"/>
              <w:spacing w:after="0"/>
              <w:rPr>
                <w:sz w:val="20"/>
                <w:szCs w:val="20"/>
                <w:color w:val="auto"/>
              </w:rPr>
            </w:pPr>
            <w:r>
              <w:rPr>
                <w:rFonts w:ascii="Arial" w:cs="Arial" w:eastAsia="Arial" w:hAnsi="Arial"/>
                <w:sz w:val="13"/>
                <w:szCs w:val="13"/>
                <w:b w:val="1"/>
                <w:bCs w:val="1"/>
                <w:color w:val="auto"/>
              </w:rPr>
              <w:t>Mann</w:t>
            </w:r>
          </w:p>
        </w:tc>
        <w:tc>
          <w:tcPr>
            <w:tcW w:w="660" w:type="dxa"/>
            <w:vAlign w:val="bottom"/>
          </w:tcPr>
          <w:p>
            <w:pPr>
              <w:jc w:val="right"/>
              <w:ind w:right="17"/>
              <w:spacing w:after="0"/>
              <w:rPr>
                <w:sz w:val="20"/>
                <w:szCs w:val="20"/>
                <w:color w:val="auto"/>
              </w:rPr>
            </w:pPr>
            <w:r>
              <w:rPr>
                <w:rFonts w:ascii="Arial" w:cs="Arial" w:eastAsia="Arial" w:hAnsi="Arial"/>
                <w:sz w:val="13"/>
                <w:szCs w:val="13"/>
                <w:b w:val="1"/>
                <w:bCs w:val="1"/>
                <w:color w:val="auto"/>
              </w:rPr>
              <w:t>Casner</w:t>
            </w:r>
          </w:p>
        </w:tc>
        <w:tc>
          <w:tcPr>
            <w:tcW w:w="0" w:type="dxa"/>
            <w:vAlign w:val="bottom"/>
          </w:tcPr>
          <w:p>
            <w:pPr>
              <w:spacing w:after="0"/>
              <w:rPr>
                <w:sz w:val="1"/>
                <w:szCs w:val="1"/>
                <w:color w:val="auto"/>
              </w:rPr>
            </w:pPr>
          </w:p>
        </w:tc>
      </w:tr>
      <w:tr>
        <w:trPr>
          <w:trHeight w:val="22"/>
        </w:trPr>
        <w:tc>
          <w:tcPr>
            <w:tcW w:w="4240" w:type="dxa"/>
            <w:vAlign w:val="bottom"/>
            <w:tcBorders>
              <w:bottom w:val="single" w:sz="8" w:color="342C82"/>
            </w:tcBorders>
          </w:tcPr>
          <w:p>
            <w:pPr>
              <w:spacing w:after="0" w:line="20" w:lineRule="exact"/>
              <w:rPr>
                <w:sz w:val="1"/>
                <w:szCs w:val="1"/>
                <w:color w:val="auto"/>
              </w:rPr>
            </w:pPr>
          </w:p>
        </w:tc>
        <w:tc>
          <w:tcPr>
            <w:tcW w:w="1120" w:type="dxa"/>
            <w:vAlign w:val="bottom"/>
            <w:tcBorders>
              <w:bottom w:val="single" w:sz="8" w:color="342C82"/>
            </w:tcBorders>
          </w:tcPr>
          <w:p>
            <w:pPr>
              <w:spacing w:after="0" w:line="20" w:lineRule="exact"/>
              <w:rPr>
                <w:sz w:val="1"/>
                <w:szCs w:val="1"/>
                <w:color w:val="auto"/>
              </w:rPr>
            </w:pPr>
          </w:p>
        </w:tc>
        <w:tc>
          <w:tcPr>
            <w:tcW w:w="760" w:type="dxa"/>
            <w:vAlign w:val="bottom"/>
            <w:tcBorders>
              <w:bottom w:val="single" w:sz="8" w:color="342C82"/>
            </w:tcBorders>
          </w:tcPr>
          <w:p>
            <w:pPr>
              <w:spacing w:after="0" w:line="20" w:lineRule="exact"/>
              <w:rPr>
                <w:sz w:val="1"/>
                <w:szCs w:val="1"/>
                <w:color w:val="auto"/>
              </w:rPr>
            </w:pPr>
          </w:p>
        </w:tc>
        <w:tc>
          <w:tcPr>
            <w:tcW w:w="720" w:type="dxa"/>
            <w:vAlign w:val="bottom"/>
            <w:tcBorders>
              <w:bottom w:val="single" w:sz="8" w:color="342C82"/>
            </w:tcBorders>
          </w:tcPr>
          <w:p>
            <w:pPr>
              <w:spacing w:after="0" w:line="20" w:lineRule="exact"/>
              <w:rPr>
                <w:sz w:val="1"/>
                <w:szCs w:val="1"/>
                <w:color w:val="auto"/>
              </w:rPr>
            </w:pPr>
          </w:p>
        </w:tc>
        <w:tc>
          <w:tcPr>
            <w:tcW w:w="680" w:type="dxa"/>
            <w:vAlign w:val="bottom"/>
            <w:tcBorders>
              <w:bottom w:val="single" w:sz="8" w:color="342C82"/>
            </w:tcBorders>
          </w:tcPr>
          <w:p>
            <w:pPr>
              <w:spacing w:after="0" w:line="20" w:lineRule="exact"/>
              <w:rPr>
                <w:sz w:val="1"/>
                <w:szCs w:val="1"/>
                <w:color w:val="auto"/>
              </w:rPr>
            </w:pPr>
          </w:p>
        </w:tc>
        <w:tc>
          <w:tcPr>
            <w:tcW w:w="660" w:type="dxa"/>
            <w:vAlign w:val="bottom"/>
            <w:tcBorders>
              <w:bottom w:val="single" w:sz="8" w:color="342C8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4240" w:type="dxa"/>
            <w:vAlign w:val="bottom"/>
          </w:tcPr>
          <w:p>
            <w:pPr>
              <w:ind w:left="80"/>
              <w:spacing w:after="0"/>
              <w:rPr>
                <w:sz w:val="20"/>
                <w:szCs w:val="20"/>
                <w:color w:val="auto"/>
              </w:rPr>
            </w:pPr>
            <w:r>
              <w:rPr>
                <w:rFonts w:ascii="Arial" w:cs="Arial" w:eastAsia="Arial" w:hAnsi="Arial"/>
                <w:sz w:val="13"/>
                <w:szCs w:val="13"/>
                <w:color w:val="auto"/>
              </w:rPr>
              <w:t>401(k) employer contributions</w:t>
            </w:r>
          </w:p>
        </w:tc>
        <w:tc>
          <w:tcPr>
            <w:tcW w:w="1120" w:type="dxa"/>
            <w:vAlign w:val="bottom"/>
          </w:tcPr>
          <w:p>
            <w:pPr>
              <w:jc w:val="right"/>
              <w:ind w:right="137"/>
              <w:spacing w:after="0"/>
              <w:rPr>
                <w:sz w:val="20"/>
                <w:szCs w:val="20"/>
                <w:color w:val="auto"/>
              </w:rPr>
            </w:pPr>
            <w:r>
              <w:rPr>
                <w:rFonts w:ascii="Arial" w:cs="Arial" w:eastAsia="Arial" w:hAnsi="Arial"/>
                <w:sz w:val="13"/>
                <w:szCs w:val="13"/>
                <w:color w:val="auto"/>
              </w:rPr>
              <w:t>23,995</w:t>
            </w: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24,587</w:t>
            </w: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17"/>
              <w:spacing w:after="0"/>
              <w:rPr>
                <w:sz w:val="20"/>
                <w:szCs w:val="20"/>
                <w:color w:val="auto"/>
              </w:rPr>
            </w:pPr>
            <w:r>
              <w:rPr>
                <w:rFonts w:ascii="Arial" w:cs="Arial" w:eastAsia="Arial" w:hAnsi="Arial"/>
                <w:sz w:val="13"/>
                <w:szCs w:val="13"/>
                <w:color w:val="auto"/>
              </w:rPr>
              <w:t>12,186</w:t>
            </w: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21,207</w:t>
            </w:r>
          </w:p>
        </w:tc>
        <w:tc>
          <w:tcPr>
            <w:tcW w:w="0" w:type="dxa"/>
            <w:vAlign w:val="bottom"/>
          </w:tcPr>
          <w:p>
            <w:pPr>
              <w:spacing w:after="0"/>
              <w:rPr>
                <w:sz w:val="1"/>
                <w:szCs w:val="1"/>
                <w:color w:val="auto"/>
              </w:rPr>
            </w:pPr>
          </w:p>
        </w:tc>
      </w:tr>
      <w:tr>
        <w:trPr>
          <w:trHeight w:val="28"/>
        </w:trPr>
        <w:tc>
          <w:tcPr>
            <w:tcW w:w="4240" w:type="dxa"/>
            <w:vAlign w:val="bottom"/>
            <w:tcBorders>
              <w:bottom w:val="single" w:sz="8" w:color="808080"/>
            </w:tcBorders>
          </w:tcPr>
          <w:p>
            <w:pPr>
              <w:spacing w:after="0"/>
              <w:rPr>
                <w:sz w:val="2"/>
                <w:szCs w:val="2"/>
                <w:color w:val="auto"/>
              </w:rPr>
            </w:pPr>
          </w:p>
        </w:tc>
        <w:tc>
          <w:tcPr>
            <w:tcW w:w="1120" w:type="dxa"/>
            <w:vAlign w:val="bottom"/>
            <w:tcBorders>
              <w:bottom w:val="single" w:sz="8" w:color="808080"/>
            </w:tcBorders>
          </w:tcPr>
          <w:p>
            <w:pPr>
              <w:spacing w:after="0"/>
              <w:rPr>
                <w:sz w:val="2"/>
                <w:szCs w:val="2"/>
                <w:color w:val="auto"/>
              </w:rPr>
            </w:pPr>
          </w:p>
        </w:tc>
        <w:tc>
          <w:tcPr>
            <w:tcW w:w="76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4240" w:type="dxa"/>
            <w:vAlign w:val="bottom"/>
          </w:tcPr>
          <w:p>
            <w:pPr>
              <w:ind w:left="80"/>
              <w:spacing w:after="0"/>
              <w:rPr>
                <w:sz w:val="20"/>
                <w:szCs w:val="20"/>
                <w:color w:val="auto"/>
              </w:rPr>
            </w:pPr>
            <w:r>
              <w:rPr>
                <w:rFonts w:ascii="Arial" w:cs="Arial" w:eastAsia="Arial" w:hAnsi="Arial"/>
                <w:sz w:val="13"/>
                <w:szCs w:val="13"/>
                <w:color w:val="auto"/>
              </w:rPr>
              <w:t>DCP employer contributions</w:t>
            </w:r>
          </w:p>
        </w:tc>
        <w:tc>
          <w:tcPr>
            <w:tcW w:w="1120" w:type="dxa"/>
            <w:vAlign w:val="bottom"/>
          </w:tcPr>
          <w:p>
            <w:pPr>
              <w:jc w:val="right"/>
              <w:ind w:right="137"/>
              <w:spacing w:after="0"/>
              <w:rPr>
                <w:sz w:val="20"/>
                <w:szCs w:val="20"/>
                <w:color w:val="auto"/>
              </w:rPr>
            </w:pPr>
            <w:r>
              <w:rPr>
                <w:rFonts w:ascii="Arial" w:cs="Arial" w:eastAsia="Arial" w:hAnsi="Arial"/>
                <w:sz w:val="13"/>
                <w:szCs w:val="13"/>
                <w:color w:val="auto"/>
              </w:rPr>
              <w:t>49,916</w:t>
            </w: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48,057</w:t>
            </w: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17"/>
              <w:spacing w:after="0"/>
              <w:rPr>
                <w:sz w:val="20"/>
                <w:szCs w:val="20"/>
                <w:color w:val="auto"/>
              </w:rPr>
            </w:pPr>
            <w:r>
              <w:rPr>
                <w:rFonts w:ascii="Arial" w:cs="Arial" w:eastAsia="Arial" w:hAnsi="Arial"/>
                <w:sz w:val="13"/>
                <w:szCs w:val="13"/>
                <w:color w:val="auto"/>
              </w:rPr>
              <w:t>17,915</w:t>
            </w: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
        </w:trPr>
        <w:tc>
          <w:tcPr>
            <w:tcW w:w="4240" w:type="dxa"/>
            <w:vAlign w:val="bottom"/>
            <w:tcBorders>
              <w:bottom w:val="single" w:sz="8" w:color="808080"/>
            </w:tcBorders>
          </w:tcPr>
          <w:p>
            <w:pPr>
              <w:spacing w:after="0"/>
              <w:rPr>
                <w:sz w:val="2"/>
                <w:szCs w:val="2"/>
                <w:color w:val="auto"/>
              </w:rPr>
            </w:pPr>
          </w:p>
        </w:tc>
        <w:tc>
          <w:tcPr>
            <w:tcW w:w="1120" w:type="dxa"/>
            <w:vAlign w:val="bottom"/>
            <w:tcBorders>
              <w:bottom w:val="single" w:sz="8" w:color="808080"/>
            </w:tcBorders>
          </w:tcPr>
          <w:p>
            <w:pPr>
              <w:spacing w:after="0"/>
              <w:rPr>
                <w:sz w:val="2"/>
                <w:szCs w:val="2"/>
                <w:color w:val="auto"/>
              </w:rPr>
            </w:pPr>
          </w:p>
        </w:tc>
        <w:tc>
          <w:tcPr>
            <w:tcW w:w="76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4240" w:type="dxa"/>
            <w:vAlign w:val="bottom"/>
          </w:tcPr>
          <w:p>
            <w:pPr>
              <w:ind w:left="80"/>
              <w:spacing w:after="0"/>
              <w:rPr>
                <w:sz w:val="20"/>
                <w:szCs w:val="20"/>
                <w:color w:val="auto"/>
              </w:rPr>
            </w:pPr>
            <w:r>
              <w:rPr>
                <w:rFonts w:ascii="Arial" w:cs="Arial" w:eastAsia="Arial" w:hAnsi="Arial"/>
                <w:sz w:val="13"/>
                <w:szCs w:val="13"/>
                <w:color w:val="auto"/>
              </w:rPr>
              <w:t>Ireland defined contribution retirement plan employer contributions</w:t>
            </w:r>
          </w:p>
        </w:tc>
        <w:tc>
          <w:tcPr>
            <w:tcW w:w="11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49,192</w:t>
            </w:r>
          </w:p>
        </w:tc>
        <w:tc>
          <w:tcPr>
            <w:tcW w:w="6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
        </w:trPr>
        <w:tc>
          <w:tcPr>
            <w:tcW w:w="4240" w:type="dxa"/>
            <w:vAlign w:val="bottom"/>
            <w:tcBorders>
              <w:bottom w:val="single" w:sz="8" w:color="808080"/>
            </w:tcBorders>
          </w:tcPr>
          <w:p>
            <w:pPr>
              <w:spacing w:after="0"/>
              <w:rPr>
                <w:sz w:val="2"/>
                <w:szCs w:val="2"/>
                <w:color w:val="auto"/>
              </w:rPr>
            </w:pPr>
          </w:p>
        </w:tc>
        <w:tc>
          <w:tcPr>
            <w:tcW w:w="1120" w:type="dxa"/>
            <w:vAlign w:val="bottom"/>
            <w:tcBorders>
              <w:bottom w:val="single" w:sz="8" w:color="808080"/>
            </w:tcBorders>
          </w:tcPr>
          <w:p>
            <w:pPr>
              <w:spacing w:after="0"/>
              <w:rPr>
                <w:sz w:val="2"/>
                <w:szCs w:val="2"/>
                <w:color w:val="auto"/>
              </w:rPr>
            </w:pPr>
          </w:p>
        </w:tc>
        <w:tc>
          <w:tcPr>
            <w:tcW w:w="76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4240" w:type="dxa"/>
            <w:vAlign w:val="bottom"/>
          </w:tcPr>
          <w:p>
            <w:pPr>
              <w:ind w:left="80"/>
              <w:spacing w:after="0"/>
              <w:rPr>
                <w:sz w:val="20"/>
                <w:szCs w:val="20"/>
                <w:color w:val="auto"/>
              </w:rPr>
            </w:pPr>
            <w:r>
              <w:rPr>
                <w:rFonts w:ascii="Arial" w:cs="Arial" w:eastAsia="Arial" w:hAnsi="Arial"/>
                <w:sz w:val="13"/>
                <w:szCs w:val="13"/>
                <w:color w:val="auto"/>
              </w:rPr>
              <w:t>GSIP</w:t>
            </w:r>
          </w:p>
        </w:tc>
        <w:tc>
          <w:tcPr>
            <w:tcW w:w="11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14,223</w:t>
            </w:r>
          </w:p>
        </w:tc>
        <w:tc>
          <w:tcPr>
            <w:tcW w:w="6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
        </w:trPr>
        <w:tc>
          <w:tcPr>
            <w:tcW w:w="4240" w:type="dxa"/>
            <w:vAlign w:val="bottom"/>
            <w:tcBorders>
              <w:bottom w:val="single" w:sz="8" w:color="808080"/>
            </w:tcBorders>
          </w:tcPr>
          <w:p>
            <w:pPr>
              <w:spacing w:after="0"/>
              <w:rPr>
                <w:sz w:val="2"/>
                <w:szCs w:val="2"/>
                <w:color w:val="auto"/>
              </w:rPr>
            </w:pPr>
          </w:p>
        </w:tc>
        <w:tc>
          <w:tcPr>
            <w:tcW w:w="1120" w:type="dxa"/>
            <w:vAlign w:val="bottom"/>
            <w:tcBorders>
              <w:bottom w:val="single" w:sz="8" w:color="808080"/>
            </w:tcBorders>
          </w:tcPr>
          <w:p>
            <w:pPr>
              <w:spacing w:after="0"/>
              <w:rPr>
                <w:sz w:val="2"/>
                <w:szCs w:val="2"/>
                <w:color w:val="auto"/>
              </w:rPr>
            </w:pPr>
          </w:p>
        </w:tc>
        <w:tc>
          <w:tcPr>
            <w:tcW w:w="76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4240" w:type="dxa"/>
            <w:vAlign w:val="bottom"/>
          </w:tcPr>
          <w:p>
            <w:pPr>
              <w:ind w:left="80"/>
              <w:spacing w:after="0"/>
              <w:rPr>
                <w:sz w:val="20"/>
                <w:szCs w:val="20"/>
                <w:color w:val="auto"/>
              </w:rPr>
            </w:pPr>
            <w:r>
              <w:rPr>
                <w:rFonts w:ascii="Arial" w:cs="Arial" w:eastAsia="Arial" w:hAnsi="Arial"/>
                <w:sz w:val="13"/>
                <w:szCs w:val="13"/>
                <w:color w:val="auto"/>
              </w:rPr>
              <w:t>Housing Allowance</w:t>
            </w:r>
          </w:p>
        </w:tc>
        <w:tc>
          <w:tcPr>
            <w:tcW w:w="11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58,955</w:t>
            </w:r>
          </w:p>
        </w:tc>
        <w:tc>
          <w:tcPr>
            <w:tcW w:w="6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
        </w:trPr>
        <w:tc>
          <w:tcPr>
            <w:tcW w:w="4240" w:type="dxa"/>
            <w:vAlign w:val="bottom"/>
            <w:tcBorders>
              <w:bottom w:val="single" w:sz="8" w:color="808080"/>
            </w:tcBorders>
          </w:tcPr>
          <w:p>
            <w:pPr>
              <w:spacing w:after="0"/>
              <w:rPr>
                <w:sz w:val="2"/>
                <w:szCs w:val="2"/>
                <w:color w:val="auto"/>
              </w:rPr>
            </w:pPr>
          </w:p>
        </w:tc>
        <w:tc>
          <w:tcPr>
            <w:tcW w:w="1120" w:type="dxa"/>
            <w:vAlign w:val="bottom"/>
            <w:tcBorders>
              <w:bottom w:val="single" w:sz="8" w:color="808080"/>
            </w:tcBorders>
          </w:tcPr>
          <w:p>
            <w:pPr>
              <w:spacing w:after="0"/>
              <w:rPr>
                <w:sz w:val="2"/>
                <w:szCs w:val="2"/>
                <w:color w:val="auto"/>
              </w:rPr>
            </w:pPr>
          </w:p>
        </w:tc>
        <w:tc>
          <w:tcPr>
            <w:tcW w:w="76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4240" w:type="dxa"/>
            <w:vAlign w:val="bottom"/>
          </w:tcPr>
          <w:p>
            <w:pPr>
              <w:ind w:left="80"/>
              <w:spacing w:after="0"/>
              <w:rPr>
                <w:sz w:val="20"/>
                <w:szCs w:val="20"/>
                <w:color w:val="auto"/>
              </w:rPr>
            </w:pPr>
            <w:r>
              <w:rPr>
                <w:rFonts w:ascii="Arial" w:cs="Arial" w:eastAsia="Arial" w:hAnsi="Arial"/>
                <w:sz w:val="13"/>
                <w:szCs w:val="13"/>
                <w:color w:val="auto"/>
              </w:rPr>
              <w:t>Automobile</w:t>
            </w:r>
          </w:p>
        </w:tc>
        <w:tc>
          <w:tcPr>
            <w:tcW w:w="11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20,720</w:t>
            </w:r>
          </w:p>
        </w:tc>
        <w:tc>
          <w:tcPr>
            <w:tcW w:w="6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
        </w:trPr>
        <w:tc>
          <w:tcPr>
            <w:tcW w:w="4240" w:type="dxa"/>
            <w:vAlign w:val="bottom"/>
            <w:tcBorders>
              <w:bottom w:val="single" w:sz="8" w:color="808080"/>
            </w:tcBorders>
          </w:tcPr>
          <w:p>
            <w:pPr>
              <w:spacing w:after="0"/>
              <w:rPr>
                <w:sz w:val="2"/>
                <w:szCs w:val="2"/>
                <w:color w:val="auto"/>
              </w:rPr>
            </w:pPr>
          </w:p>
        </w:tc>
        <w:tc>
          <w:tcPr>
            <w:tcW w:w="1120" w:type="dxa"/>
            <w:vAlign w:val="bottom"/>
            <w:tcBorders>
              <w:bottom w:val="single" w:sz="8" w:color="808080"/>
            </w:tcBorders>
          </w:tcPr>
          <w:p>
            <w:pPr>
              <w:spacing w:after="0"/>
              <w:rPr>
                <w:sz w:val="2"/>
                <w:szCs w:val="2"/>
                <w:color w:val="auto"/>
              </w:rPr>
            </w:pPr>
          </w:p>
        </w:tc>
        <w:tc>
          <w:tcPr>
            <w:tcW w:w="76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4240" w:type="dxa"/>
            <w:vAlign w:val="bottom"/>
            <w:tcBorders>
              <w:bottom w:val="single" w:sz="8" w:color="342C82"/>
            </w:tcBorders>
          </w:tcPr>
          <w:p>
            <w:pPr>
              <w:ind w:left="80"/>
              <w:spacing w:after="0"/>
              <w:rPr>
                <w:sz w:val="20"/>
                <w:szCs w:val="20"/>
                <w:color w:val="auto"/>
              </w:rPr>
            </w:pPr>
            <w:r>
              <w:rPr>
                <w:rFonts w:ascii="Arial" w:cs="Arial" w:eastAsia="Arial" w:hAnsi="Arial"/>
                <w:sz w:val="13"/>
                <w:szCs w:val="13"/>
                <w:b w:val="1"/>
                <w:bCs w:val="1"/>
                <w:color w:val="auto"/>
              </w:rPr>
              <w:t>Total</w:t>
            </w:r>
          </w:p>
        </w:tc>
        <w:tc>
          <w:tcPr>
            <w:tcW w:w="1120" w:type="dxa"/>
            <w:vAlign w:val="bottom"/>
            <w:tcBorders>
              <w:bottom w:val="single" w:sz="8" w:color="342C82"/>
            </w:tcBorders>
          </w:tcPr>
          <w:p>
            <w:pPr>
              <w:jc w:val="right"/>
              <w:ind w:right="157"/>
              <w:spacing w:after="0"/>
              <w:rPr>
                <w:sz w:val="20"/>
                <w:szCs w:val="20"/>
                <w:color w:val="auto"/>
              </w:rPr>
            </w:pPr>
            <w:r>
              <w:rPr>
                <w:rFonts w:ascii="Arial" w:cs="Arial" w:eastAsia="Arial" w:hAnsi="Arial"/>
                <w:sz w:val="13"/>
                <w:szCs w:val="13"/>
                <w:color w:val="auto"/>
              </w:rPr>
              <w:t>73,911</w:t>
            </w:r>
          </w:p>
        </w:tc>
        <w:tc>
          <w:tcPr>
            <w:tcW w:w="760" w:type="dxa"/>
            <w:vAlign w:val="bottom"/>
            <w:tcBorders>
              <w:bottom w:val="single" w:sz="8" w:color="342C82"/>
            </w:tcBorders>
          </w:tcPr>
          <w:p>
            <w:pPr>
              <w:jc w:val="right"/>
              <w:ind w:right="97"/>
              <w:spacing w:after="0"/>
              <w:rPr>
                <w:sz w:val="20"/>
                <w:szCs w:val="20"/>
                <w:color w:val="auto"/>
              </w:rPr>
            </w:pPr>
            <w:r>
              <w:rPr>
                <w:rFonts w:ascii="Arial" w:cs="Arial" w:eastAsia="Arial" w:hAnsi="Arial"/>
                <w:sz w:val="13"/>
                <w:szCs w:val="13"/>
                <w:color w:val="auto"/>
              </w:rPr>
              <w:t>72,644</w:t>
            </w:r>
          </w:p>
        </w:tc>
        <w:tc>
          <w:tcPr>
            <w:tcW w:w="720" w:type="dxa"/>
            <w:vAlign w:val="bottom"/>
            <w:tcBorders>
              <w:bottom w:val="single" w:sz="8" w:color="342C82"/>
            </w:tcBorders>
          </w:tcPr>
          <w:p>
            <w:pPr>
              <w:jc w:val="right"/>
              <w:ind w:right="97"/>
              <w:spacing w:after="0"/>
              <w:rPr>
                <w:sz w:val="20"/>
                <w:szCs w:val="20"/>
                <w:color w:val="auto"/>
              </w:rPr>
            </w:pPr>
            <w:r>
              <w:rPr>
                <w:rFonts w:ascii="Arial" w:cs="Arial" w:eastAsia="Arial" w:hAnsi="Arial"/>
                <w:sz w:val="13"/>
                <w:szCs w:val="13"/>
                <w:color w:val="auto"/>
              </w:rPr>
              <w:t>143,090</w:t>
            </w:r>
          </w:p>
        </w:tc>
        <w:tc>
          <w:tcPr>
            <w:tcW w:w="680" w:type="dxa"/>
            <w:vAlign w:val="bottom"/>
            <w:tcBorders>
              <w:bottom w:val="single" w:sz="8" w:color="342C82"/>
            </w:tcBorders>
          </w:tcPr>
          <w:p>
            <w:pPr>
              <w:jc w:val="right"/>
              <w:ind w:right="117"/>
              <w:spacing w:after="0"/>
              <w:rPr>
                <w:sz w:val="20"/>
                <w:szCs w:val="20"/>
                <w:color w:val="auto"/>
              </w:rPr>
            </w:pPr>
            <w:r>
              <w:rPr>
                <w:rFonts w:ascii="Arial" w:cs="Arial" w:eastAsia="Arial" w:hAnsi="Arial"/>
                <w:sz w:val="13"/>
                <w:szCs w:val="13"/>
                <w:color w:val="auto"/>
              </w:rPr>
              <w:t>30,101</w:t>
            </w:r>
          </w:p>
        </w:tc>
        <w:tc>
          <w:tcPr>
            <w:tcW w:w="660" w:type="dxa"/>
            <w:vAlign w:val="bottom"/>
            <w:tcBorders>
              <w:bottom w:val="single" w:sz="8" w:color="342C82"/>
            </w:tcBorders>
          </w:tcPr>
          <w:p>
            <w:pPr>
              <w:jc w:val="right"/>
              <w:ind w:right="77"/>
              <w:spacing w:after="0"/>
              <w:rPr>
                <w:sz w:val="20"/>
                <w:szCs w:val="20"/>
                <w:color w:val="auto"/>
              </w:rPr>
            </w:pPr>
            <w:r>
              <w:rPr>
                <w:rFonts w:ascii="Arial" w:cs="Arial" w:eastAsia="Arial" w:hAnsi="Arial"/>
                <w:sz w:val="13"/>
                <w:szCs w:val="13"/>
                <w:color w:val="auto"/>
              </w:rPr>
              <w:t>21,207</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00"/>
        <w:spacing w:after="0"/>
        <w:rPr>
          <w:sz w:val="20"/>
          <w:szCs w:val="20"/>
          <w:color w:val="auto"/>
        </w:rPr>
      </w:pPr>
      <w:r>
        <w:rPr>
          <w:rFonts w:ascii="Arial" w:cs="Arial" w:eastAsia="Arial" w:hAnsi="Arial"/>
          <w:sz w:val="14"/>
          <w:szCs w:val="14"/>
          <w:color w:val="auto"/>
        </w:rPr>
        <w:t>The following is a description of these benefits:</w:t>
      </w:r>
    </w:p>
    <w:p>
      <w:pPr>
        <w:spacing w:after="0" w:line="46" w:lineRule="exact"/>
        <w:rPr>
          <w:sz w:val="20"/>
          <w:szCs w:val="20"/>
          <w:color w:val="auto"/>
        </w:rPr>
      </w:pPr>
    </w:p>
    <w:p>
      <w:pPr>
        <w:ind w:left="760" w:right="579" w:hanging="216"/>
        <w:spacing w:after="0" w:line="243" w:lineRule="auto"/>
        <w:tabs>
          <w:tab w:leader="none" w:pos="760" w:val="left"/>
        </w:tabs>
        <w:numPr>
          <w:ilvl w:val="1"/>
          <w:numId w:val="38"/>
        </w:numPr>
        <w:rPr>
          <w:rFonts w:ascii="Arial" w:cs="Arial" w:eastAsia="Arial" w:hAnsi="Arial"/>
          <w:sz w:val="13"/>
          <w:szCs w:val="13"/>
          <w:color w:val="auto"/>
        </w:rPr>
      </w:pPr>
      <w:r>
        <w:rPr>
          <w:rFonts w:ascii="Arial" w:cs="Arial" w:eastAsia="Arial" w:hAnsi="Arial"/>
          <w:sz w:val="13"/>
          <w:szCs w:val="13"/>
          <w:i w:val="1"/>
          <w:iCs w:val="1"/>
          <w:color w:val="auto"/>
        </w:rPr>
        <w:t>401(k) employer contributions</w:t>
      </w:r>
      <w:r>
        <w:rPr>
          <w:rFonts w:ascii="Arial" w:cs="Arial" w:eastAsia="Arial" w:hAnsi="Arial"/>
          <w:sz w:val="13"/>
          <w:szCs w:val="13"/>
          <w:color w:val="auto"/>
        </w:rPr>
        <w:t>—The amounts shown reflect Embecta matching and non-elective contributions credited pursuant to defined</w:t>
      </w:r>
      <w:r>
        <w:rPr>
          <w:rFonts w:ascii="Arial" w:cs="Arial" w:eastAsia="Arial" w:hAnsi="Arial"/>
          <w:sz w:val="13"/>
          <w:szCs w:val="13"/>
          <w:i w:val="1"/>
          <w:iCs w:val="1"/>
          <w:color w:val="auto"/>
        </w:rPr>
        <w:t xml:space="preserve"> </w:t>
      </w:r>
      <w:r>
        <w:rPr>
          <w:rFonts w:ascii="Arial" w:cs="Arial" w:eastAsia="Arial" w:hAnsi="Arial"/>
          <w:sz w:val="13"/>
          <w:szCs w:val="13"/>
          <w:color w:val="auto"/>
        </w:rPr>
        <w:t>contribution plans.</w:t>
      </w:r>
    </w:p>
    <w:p>
      <w:pPr>
        <w:spacing w:after="0" w:line="21" w:lineRule="exact"/>
        <w:rPr>
          <w:rFonts w:ascii="Arial" w:cs="Arial" w:eastAsia="Arial" w:hAnsi="Arial"/>
          <w:sz w:val="13"/>
          <w:szCs w:val="13"/>
          <w:color w:val="auto"/>
        </w:rPr>
      </w:pPr>
    </w:p>
    <w:p>
      <w:pPr>
        <w:ind w:left="760" w:hanging="216"/>
        <w:spacing w:after="0"/>
        <w:tabs>
          <w:tab w:leader="none" w:pos="760" w:val="left"/>
        </w:tabs>
        <w:numPr>
          <w:ilvl w:val="1"/>
          <w:numId w:val="38"/>
        </w:numPr>
        <w:rPr>
          <w:rFonts w:ascii="Arial" w:cs="Arial" w:eastAsia="Arial" w:hAnsi="Arial"/>
          <w:sz w:val="13"/>
          <w:szCs w:val="13"/>
          <w:color w:val="auto"/>
        </w:rPr>
      </w:pPr>
      <w:r>
        <w:rPr>
          <w:rFonts w:ascii="Arial" w:cs="Arial" w:eastAsia="Arial" w:hAnsi="Arial"/>
          <w:sz w:val="13"/>
          <w:szCs w:val="13"/>
          <w:i w:val="1"/>
          <w:iCs w:val="1"/>
          <w:color w:val="auto"/>
        </w:rPr>
        <w:t>DCP employer contributions</w:t>
      </w:r>
      <w:r>
        <w:rPr>
          <w:rFonts w:ascii="Arial" w:cs="Arial" w:eastAsia="Arial" w:hAnsi="Arial"/>
          <w:sz w:val="13"/>
          <w:szCs w:val="13"/>
          <w:color w:val="auto"/>
        </w:rPr>
        <w:t>—The amounts shown reflect Embecta contributions credited pursuant to the DCP.</w:t>
      </w:r>
    </w:p>
    <w:p>
      <w:pPr>
        <w:spacing w:after="0" w:line="39" w:lineRule="exact"/>
        <w:rPr>
          <w:rFonts w:ascii="Arial" w:cs="Arial" w:eastAsia="Arial" w:hAnsi="Arial"/>
          <w:sz w:val="13"/>
          <w:szCs w:val="13"/>
          <w:color w:val="auto"/>
        </w:rPr>
      </w:pPr>
    </w:p>
    <w:p>
      <w:pPr>
        <w:ind w:left="760" w:right="619" w:hanging="216"/>
        <w:spacing w:after="0" w:line="243" w:lineRule="auto"/>
        <w:tabs>
          <w:tab w:leader="none" w:pos="760" w:val="left"/>
        </w:tabs>
        <w:numPr>
          <w:ilvl w:val="1"/>
          <w:numId w:val="38"/>
        </w:numPr>
        <w:rPr>
          <w:rFonts w:ascii="Arial" w:cs="Arial" w:eastAsia="Arial" w:hAnsi="Arial"/>
          <w:sz w:val="13"/>
          <w:szCs w:val="13"/>
          <w:color w:val="auto"/>
        </w:rPr>
      </w:pPr>
      <w:r>
        <w:rPr>
          <w:rFonts w:ascii="Arial" w:cs="Arial" w:eastAsia="Arial" w:hAnsi="Arial"/>
          <w:sz w:val="13"/>
          <w:szCs w:val="13"/>
          <w:i w:val="1"/>
          <w:iCs w:val="1"/>
          <w:color w:val="auto"/>
        </w:rPr>
        <w:t>Ireland defined contribution retirement plan employer contributions</w:t>
      </w:r>
      <w:r>
        <w:rPr>
          <w:rFonts w:ascii="Arial" w:cs="Arial" w:eastAsia="Arial" w:hAnsi="Arial"/>
          <w:sz w:val="13"/>
          <w:szCs w:val="13"/>
          <w:color w:val="auto"/>
        </w:rPr>
        <w:t>—The amounts shown reflect Embecta matching contributions credited</w:t>
      </w:r>
      <w:r>
        <w:rPr>
          <w:rFonts w:ascii="Arial" w:cs="Arial" w:eastAsia="Arial" w:hAnsi="Arial"/>
          <w:sz w:val="13"/>
          <w:szCs w:val="13"/>
          <w:i w:val="1"/>
          <w:iCs w:val="1"/>
          <w:color w:val="auto"/>
        </w:rPr>
        <w:t xml:space="preserve"> </w:t>
      </w:r>
      <w:r>
        <w:rPr>
          <w:rFonts w:ascii="Arial" w:cs="Arial" w:eastAsia="Arial" w:hAnsi="Arial"/>
          <w:sz w:val="13"/>
          <w:szCs w:val="13"/>
          <w:color w:val="auto"/>
        </w:rPr>
        <w:t>pursuant to the Irish defined contribution retirement plan.</w:t>
      </w:r>
    </w:p>
    <w:p>
      <w:pPr>
        <w:spacing w:after="0" w:line="21" w:lineRule="exact"/>
        <w:rPr>
          <w:rFonts w:ascii="Arial" w:cs="Arial" w:eastAsia="Arial" w:hAnsi="Arial"/>
          <w:sz w:val="13"/>
          <w:szCs w:val="13"/>
          <w:color w:val="auto"/>
        </w:rPr>
      </w:pPr>
    </w:p>
    <w:p>
      <w:pPr>
        <w:ind w:left="760" w:right="499" w:hanging="216"/>
        <w:spacing w:after="0" w:line="243" w:lineRule="auto"/>
        <w:tabs>
          <w:tab w:leader="none" w:pos="760" w:val="left"/>
        </w:tabs>
        <w:numPr>
          <w:ilvl w:val="1"/>
          <w:numId w:val="38"/>
        </w:numPr>
        <w:rPr>
          <w:rFonts w:ascii="Arial" w:cs="Arial" w:eastAsia="Arial" w:hAnsi="Arial"/>
          <w:sz w:val="13"/>
          <w:szCs w:val="13"/>
          <w:color w:val="auto"/>
        </w:rPr>
      </w:pPr>
      <w:r>
        <w:rPr>
          <w:rFonts w:ascii="Arial" w:cs="Arial" w:eastAsia="Arial" w:hAnsi="Arial"/>
          <w:sz w:val="13"/>
          <w:szCs w:val="13"/>
          <w:i w:val="1"/>
          <w:iCs w:val="1"/>
          <w:color w:val="auto"/>
        </w:rPr>
        <w:t>GSIP—</w:t>
      </w:r>
      <w:r>
        <w:rPr>
          <w:rFonts w:ascii="Arial" w:cs="Arial" w:eastAsia="Arial" w:hAnsi="Arial"/>
          <w:sz w:val="13"/>
          <w:szCs w:val="13"/>
          <w:color w:val="auto"/>
        </w:rPr>
        <w:t>The amounts shown reflect an annual benefit provided to Mr. Curtis pursuant to the GSIP, which Mr. Curtis reinvested in the GSIP to</w:t>
      </w:r>
      <w:r>
        <w:rPr>
          <w:rFonts w:ascii="Arial" w:cs="Arial" w:eastAsia="Arial" w:hAnsi="Arial"/>
          <w:sz w:val="13"/>
          <w:szCs w:val="13"/>
          <w:i w:val="1"/>
          <w:iCs w:val="1"/>
          <w:color w:val="auto"/>
        </w:rPr>
        <w:t xml:space="preserve"> </w:t>
      </w:r>
      <w:r>
        <w:rPr>
          <w:rFonts w:ascii="Arial" w:cs="Arial" w:eastAsia="Arial" w:hAnsi="Arial"/>
          <w:sz w:val="13"/>
          <w:szCs w:val="13"/>
          <w:color w:val="auto"/>
        </w:rPr>
        <w:t>purchase Embecta shares, and Embecta matching contributions credited pursuant to the GSIP.</w:t>
      </w:r>
    </w:p>
    <w:p>
      <w:pPr>
        <w:spacing w:after="0" w:line="21" w:lineRule="exact"/>
        <w:rPr>
          <w:rFonts w:ascii="Arial" w:cs="Arial" w:eastAsia="Arial" w:hAnsi="Arial"/>
          <w:sz w:val="13"/>
          <w:szCs w:val="13"/>
          <w:color w:val="auto"/>
        </w:rPr>
      </w:pPr>
    </w:p>
    <w:p>
      <w:pPr>
        <w:ind w:left="760" w:right="319" w:hanging="216"/>
        <w:spacing w:after="0" w:line="243" w:lineRule="auto"/>
        <w:tabs>
          <w:tab w:leader="none" w:pos="760" w:val="left"/>
        </w:tabs>
        <w:numPr>
          <w:ilvl w:val="1"/>
          <w:numId w:val="38"/>
        </w:numPr>
        <w:rPr>
          <w:rFonts w:ascii="Arial" w:cs="Arial" w:eastAsia="Arial" w:hAnsi="Arial"/>
          <w:sz w:val="13"/>
          <w:szCs w:val="13"/>
          <w:color w:val="auto"/>
        </w:rPr>
      </w:pPr>
      <w:r>
        <w:rPr>
          <w:rFonts w:ascii="Arial" w:cs="Arial" w:eastAsia="Arial" w:hAnsi="Arial"/>
          <w:sz w:val="13"/>
          <w:szCs w:val="13"/>
          <w:i w:val="1"/>
          <w:iCs w:val="1"/>
          <w:color w:val="auto"/>
        </w:rPr>
        <w:t>Housing Allowance</w:t>
      </w:r>
      <w:r>
        <w:rPr>
          <w:rFonts w:ascii="Arial" w:cs="Arial" w:eastAsia="Arial" w:hAnsi="Arial"/>
          <w:sz w:val="13"/>
          <w:szCs w:val="13"/>
          <w:color w:val="auto"/>
        </w:rPr>
        <w:t>—The amount reflects the housing allowance provided to Mr. Curtis for his use when traveling to Embecta’s Irish office from</w:t>
      </w:r>
      <w:r>
        <w:rPr>
          <w:rFonts w:ascii="Arial" w:cs="Arial" w:eastAsia="Arial" w:hAnsi="Arial"/>
          <w:sz w:val="13"/>
          <w:szCs w:val="13"/>
          <w:i w:val="1"/>
          <w:iCs w:val="1"/>
          <w:color w:val="auto"/>
        </w:rPr>
        <w:t xml:space="preserve"> </w:t>
      </w:r>
      <w:r>
        <w:rPr>
          <w:rFonts w:ascii="Arial" w:cs="Arial" w:eastAsia="Arial" w:hAnsi="Arial"/>
          <w:sz w:val="13"/>
          <w:szCs w:val="13"/>
          <w:color w:val="auto"/>
        </w:rPr>
        <w:t>his home in the United Kingdom.</w:t>
      </w:r>
    </w:p>
    <w:p>
      <w:pPr>
        <w:spacing w:after="0" w:line="21" w:lineRule="exact"/>
        <w:rPr>
          <w:rFonts w:ascii="Arial" w:cs="Arial" w:eastAsia="Arial" w:hAnsi="Arial"/>
          <w:sz w:val="13"/>
          <w:szCs w:val="13"/>
          <w:color w:val="auto"/>
        </w:rPr>
      </w:pPr>
    </w:p>
    <w:p>
      <w:pPr>
        <w:ind w:left="760" w:hanging="216"/>
        <w:spacing w:after="0"/>
        <w:tabs>
          <w:tab w:leader="none" w:pos="760" w:val="left"/>
        </w:tabs>
        <w:numPr>
          <w:ilvl w:val="1"/>
          <w:numId w:val="38"/>
        </w:numPr>
        <w:rPr>
          <w:rFonts w:ascii="Arial" w:cs="Arial" w:eastAsia="Arial" w:hAnsi="Arial"/>
          <w:sz w:val="13"/>
          <w:szCs w:val="13"/>
          <w:color w:val="auto"/>
        </w:rPr>
      </w:pPr>
      <w:r>
        <w:rPr>
          <w:rFonts w:ascii="Arial" w:cs="Arial" w:eastAsia="Arial" w:hAnsi="Arial"/>
          <w:sz w:val="13"/>
          <w:szCs w:val="13"/>
          <w:i w:val="1"/>
          <w:iCs w:val="1"/>
          <w:color w:val="auto"/>
        </w:rPr>
        <w:t>Automobile—</w:t>
      </w:r>
      <w:r>
        <w:rPr>
          <w:rFonts w:ascii="Arial" w:cs="Arial" w:eastAsia="Arial" w:hAnsi="Arial"/>
          <w:sz w:val="13"/>
          <w:szCs w:val="13"/>
          <w:color w:val="auto"/>
        </w:rPr>
        <w:t>The amount reflects the car allowance provided to Mr. Curtis, consistent with Embecta’s policy for all managers in Ireland.</w:t>
      </w:r>
    </w:p>
    <w:p>
      <w:pPr>
        <w:spacing w:after="0" w:line="48" w:lineRule="exact"/>
        <w:rPr>
          <w:rFonts w:ascii="Arial" w:cs="Arial" w:eastAsia="Arial" w:hAnsi="Arial"/>
          <w:sz w:val="13"/>
          <w:szCs w:val="13"/>
          <w:color w:val="auto"/>
        </w:rPr>
      </w:pPr>
    </w:p>
    <w:p>
      <w:pPr>
        <w:ind w:left="580" w:right="679" w:hanging="288"/>
        <w:spacing w:after="0" w:line="204" w:lineRule="auto"/>
        <w:tabs>
          <w:tab w:leader="none" w:pos="580" w:val="left"/>
        </w:tabs>
        <w:numPr>
          <w:ilvl w:val="0"/>
          <w:numId w:val="38"/>
        </w:numPr>
        <w:rPr>
          <w:rFonts w:ascii="Arial" w:cs="Arial" w:eastAsia="Arial" w:hAnsi="Arial"/>
          <w:sz w:val="22"/>
          <w:szCs w:val="22"/>
          <w:color w:val="auto"/>
          <w:vertAlign w:val="superscript"/>
        </w:rPr>
      </w:pPr>
      <w:r>
        <w:rPr>
          <w:rFonts w:ascii="Arial" w:cs="Arial" w:eastAsia="Arial" w:hAnsi="Arial"/>
          <w:sz w:val="14"/>
          <w:szCs w:val="14"/>
          <w:color w:val="auto"/>
        </w:rPr>
        <w:t>Amounts reported for Mr. Curtis are converted from Euros to USD based on an exchange rate of 1.12 as of September 30, 2024.</w:t>
      </w:r>
    </w:p>
    <w:p>
      <w:pPr>
        <w:ind w:left="580" w:hanging="288"/>
        <w:spacing w:after="0" w:line="204" w:lineRule="auto"/>
        <w:tabs>
          <w:tab w:leader="none" w:pos="580" w:val="left"/>
        </w:tabs>
        <w:numPr>
          <w:ilvl w:val="0"/>
          <w:numId w:val="38"/>
        </w:numPr>
        <w:rPr>
          <w:rFonts w:ascii="Arial" w:cs="Arial" w:eastAsia="Arial" w:hAnsi="Arial"/>
          <w:sz w:val="22"/>
          <w:szCs w:val="22"/>
          <w:color w:val="auto"/>
          <w:vertAlign w:val="superscript"/>
        </w:rPr>
      </w:pPr>
      <w:r>
        <w:rPr>
          <w:rFonts w:ascii="Arial" w:cs="Arial" w:eastAsia="Arial" w:hAnsi="Arial"/>
          <w:sz w:val="14"/>
          <w:szCs w:val="14"/>
          <w:color w:val="auto"/>
        </w:rPr>
        <w:t>Amount reflects an additional cash bonus paid to Mr. Curtis under the GSIP.</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123825</wp:posOffset>
            </wp:positionV>
            <wp:extent cx="699516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4" w:name="page65"/>
    <w:bookmarkEnd w:id="6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6"/>
          <w:szCs w:val="16"/>
          <w:color w:val="342C82"/>
        </w:rPr>
        <w:t>Compensation of named executive officers</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29"/>
          <w:szCs w:val="29"/>
          <w:color w:val="342C82"/>
        </w:rPr>
        <w:t>Grants of Plan-Based Awards</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Set forth below is information regarding awards granted to the NEOs in fiscal year 2024.</w:t>
      </w:r>
    </w:p>
    <w:p>
      <w:pPr>
        <w:spacing w:after="0" w:line="149" w:lineRule="exact"/>
        <w:rPr>
          <w:sz w:val="20"/>
          <w:szCs w:val="20"/>
          <w:color w:val="auto"/>
        </w:rPr>
      </w:pPr>
    </w:p>
    <w:tbl>
      <w:tblPr>
        <w:tblLayout w:type="fixed"/>
        <w:tblInd w:w="300" w:type="dxa"/>
        <w:tblCellMar>
          <w:top w:w="0" w:type="dxa"/>
          <w:left w:w="0" w:type="dxa"/>
          <w:bottom w:w="0" w:type="dxa"/>
          <w:right w:w="0" w:type="dxa"/>
        </w:tblCellMar>
      </w:tblPr>
      <w:tr>
        <w:trPr>
          <w:trHeight w:val="126"/>
        </w:trPr>
        <w:tc>
          <w:tcPr>
            <w:tcW w:w="1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jc w:val="right"/>
              <w:ind w:right="63"/>
              <w:spacing w:after="0"/>
              <w:rPr>
                <w:sz w:val="20"/>
                <w:szCs w:val="20"/>
                <w:color w:val="auto"/>
              </w:rPr>
            </w:pPr>
            <w:r>
              <w:rPr>
                <w:rFonts w:ascii="Arial" w:cs="Arial" w:eastAsia="Arial" w:hAnsi="Arial"/>
                <w:sz w:val="11"/>
                <w:szCs w:val="11"/>
                <w:b w:val="1"/>
                <w:bCs w:val="1"/>
                <w:color w:val="auto"/>
              </w:rPr>
              <w:t>All Other</w:t>
            </w:r>
          </w:p>
        </w:tc>
        <w:tc>
          <w:tcPr>
            <w:tcW w:w="860" w:type="dxa"/>
            <w:vAlign w:val="bottom"/>
          </w:tcPr>
          <w:p>
            <w:pPr>
              <w:jc w:val="right"/>
              <w:ind w:right="41"/>
              <w:spacing w:after="0"/>
              <w:rPr>
                <w:sz w:val="20"/>
                <w:szCs w:val="20"/>
                <w:color w:val="auto"/>
              </w:rPr>
            </w:pPr>
            <w:r>
              <w:rPr>
                <w:rFonts w:ascii="Arial" w:cs="Arial" w:eastAsia="Arial" w:hAnsi="Arial"/>
                <w:sz w:val="11"/>
                <w:szCs w:val="11"/>
                <w:b w:val="1"/>
                <w:bCs w:val="1"/>
                <w:color w:val="auto"/>
              </w:rPr>
              <w:t>Grant</w:t>
            </w:r>
          </w:p>
        </w:tc>
      </w:tr>
      <w:tr>
        <w:trPr>
          <w:trHeight w:val="162"/>
        </w:trPr>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380" w:type="dxa"/>
            <w:vAlign w:val="bottom"/>
            <w:gridSpan w:val="4"/>
          </w:tcPr>
          <w:p>
            <w:pPr>
              <w:ind w:left="300"/>
              <w:spacing w:after="0"/>
              <w:rPr>
                <w:sz w:val="20"/>
                <w:szCs w:val="20"/>
                <w:color w:val="auto"/>
              </w:rPr>
            </w:pPr>
            <w:r>
              <w:rPr>
                <w:rFonts w:ascii="Arial" w:cs="Arial" w:eastAsia="Arial" w:hAnsi="Arial"/>
                <w:sz w:val="11"/>
                <w:szCs w:val="11"/>
                <w:b w:val="1"/>
                <w:bCs w:val="1"/>
                <w:color w:val="auto"/>
              </w:rPr>
              <w:t>Estimated Future Payouts Under</w:t>
            </w:r>
          </w:p>
        </w:tc>
        <w:tc>
          <w:tcPr>
            <w:tcW w:w="2280" w:type="dxa"/>
            <w:vAlign w:val="bottom"/>
            <w:gridSpan w:val="3"/>
          </w:tcPr>
          <w:p>
            <w:pPr>
              <w:jc w:val="right"/>
              <w:ind w:right="258"/>
              <w:spacing w:after="0"/>
              <w:rPr>
                <w:sz w:val="20"/>
                <w:szCs w:val="20"/>
                <w:color w:val="auto"/>
              </w:rPr>
            </w:pPr>
            <w:r>
              <w:rPr>
                <w:rFonts w:ascii="Arial" w:cs="Arial" w:eastAsia="Arial" w:hAnsi="Arial"/>
                <w:sz w:val="11"/>
                <w:szCs w:val="11"/>
                <w:b w:val="1"/>
                <w:bCs w:val="1"/>
                <w:color w:val="auto"/>
              </w:rPr>
              <w:t>Estimated Future Payouts Under</w:t>
            </w:r>
          </w:p>
        </w:tc>
        <w:tc>
          <w:tcPr>
            <w:tcW w:w="760" w:type="dxa"/>
            <w:vAlign w:val="bottom"/>
          </w:tcPr>
          <w:p>
            <w:pPr>
              <w:jc w:val="right"/>
              <w:ind w:right="63"/>
              <w:spacing w:after="0"/>
              <w:rPr>
                <w:sz w:val="20"/>
                <w:szCs w:val="20"/>
                <w:color w:val="auto"/>
              </w:rPr>
            </w:pPr>
            <w:r>
              <w:rPr>
                <w:rFonts w:ascii="Arial" w:cs="Arial" w:eastAsia="Arial" w:hAnsi="Arial"/>
                <w:sz w:val="11"/>
                <w:szCs w:val="11"/>
                <w:b w:val="1"/>
                <w:bCs w:val="1"/>
                <w:color w:val="auto"/>
              </w:rPr>
              <w:t>Stock</w:t>
            </w:r>
          </w:p>
        </w:tc>
        <w:tc>
          <w:tcPr>
            <w:tcW w:w="860" w:type="dxa"/>
            <w:vAlign w:val="bottom"/>
          </w:tcPr>
          <w:p>
            <w:pPr>
              <w:jc w:val="right"/>
              <w:ind w:right="41"/>
              <w:spacing w:after="0"/>
              <w:rPr>
                <w:sz w:val="20"/>
                <w:szCs w:val="20"/>
                <w:color w:val="auto"/>
              </w:rPr>
            </w:pPr>
            <w:r>
              <w:rPr>
                <w:rFonts w:ascii="Arial" w:cs="Arial" w:eastAsia="Arial" w:hAnsi="Arial"/>
                <w:sz w:val="11"/>
                <w:szCs w:val="11"/>
                <w:b w:val="1"/>
                <w:bCs w:val="1"/>
                <w:color w:val="auto"/>
              </w:rPr>
              <w:t>Date Fair</w:t>
            </w:r>
          </w:p>
        </w:tc>
      </w:tr>
      <w:tr>
        <w:trPr>
          <w:trHeight w:val="121"/>
        </w:trPr>
        <w:tc>
          <w:tcPr>
            <w:tcW w:w="1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380" w:type="dxa"/>
            <w:vAlign w:val="bottom"/>
            <w:gridSpan w:val="4"/>
          </w:tcPr>
          <w:p>
            <w:pPr>
              <w:ind w:left="220"/>
              <w:spacing w:after="0" w:line="122" w:lineRule="exact"/>
              <w:rPr>
                <w:sz w:val="20"/>
                <w:szCs w:val="20"/>
                <w:color w:val="auto"/>
              </w:rPr>
            </w:pPr>
            <w:r>
              <w:rPr>
                <w:rFonts w:ascii="Arial" w:cs="Arial" w:eastAsia="Arial" w:hAnsi="Arial"/>
                <w:sz w:val="10"/>
                <w:szCs w:val="10"/>
                <w:b w:val="1"/>
                <w:bCs w:val="1"/>
                <w:color w:val="auto"/>
              </w:rPr>
              <w:t>Non-Equity Incentive Plan Awards</w:t>
            </w:r>
            <w:r>
              <w:rPr>
                <w:rFonts w:ascii="Arial" w:cs="Arial" w:eastAsia="Arial" w:hAnsi="Arial"/>
                <w:sz w:val="14"/>
                <w:szCs w:val="14"/>
                <w:b w:val="1"/>
                <w:bCs w:val="1"/>
                <w:color w:val="auto"/>
                <w:vertAlign w:val="superscript"/>
              </w:rPr>
              <w:t>(1)</w:t>
            </w:r>
          </w:p>
        </w:tc>
        <w:tc>
          <w:tcPr>
            <w:tcW w:w="2280" w:type="dxa"/>
            <w:vAlign w:val="bottom"/>
            <w:gridSpan w:val="3"/>
          </w:tcPr>
          <w:p>
            <w:pPr>
              <w:jc w:val="right"/>
              <w:ind w:right="278"/>
              <w:spacing w:after="0" w:line="122" w:lineRule="exact"/>
              <w:rPr>
                <w:sz w:val="20"/>
                <w:szCs w:val="20"/>
                <w:color w:val="auto"/>
              </w:rPr>
            </w:pPr>
            <w:r>
              <w:rPr>
                <w:rFonts w:ascii="Arial" w:cs="Arial" w:eastAsia="Arial" w:hAnsi="Arial"/>
                <w:sz w:val="10"/>
                <w:szCs w:val="10"/>
                <w:b w:val="1"/>
                <w:bCs w:val="1"/>
                <w:color w:val="auto"/>
              </w:rPr>
              <w:t>Equity Incentive Plan Awards</w:t>
            </w:r>
            <w:r>
              <w:rPr>
                <w:rFonts w:ascii="Arial" w:cs="Arial" w:eastAsia="Arial" w:hAnsi="Arial"/>
                <w:sz w:val="14"/>
                <w:szCs w:val="14"/>
                <w:b w:val="1"/>
                <w:bCs w:val="1"/>
                <w:color w:val="auto"/>
                <w:vertAlign w:val="superscript"/>
              </w:rPr>
              <w:t>(2)</w:t>
            </w:r>
          </w:p>
        </w:tc>
        <w:tc>
          <w:tcPr>
            <w:tcW w:w="760" w:type="dxa"/>
            <w:vAlign w:val="bottom"/>
          </w:tcPr>
          <w:p>
            <w:pPr>
              <w:jc w:val="right"/>
              <w:ind w:right="63"/>
              <w:spacing w:after="0" w:line="122" w:lineRule="exact"/>
              <w:rPr>
                <w:sz w:val="20"/>
                <w:szCs w:val="20"/>
                <w:color w:val="auto"/>
              </w:rPr>
            </w:pPr>
            <w:r>
              <w:rPr>
                <w:rFonts w:ascii="Arial" w:cs="Arial" w:eastAsia="Arial" w:hAnsi="Arial"/>
                <w:sz w:val="11"/>
                <w:szCs w:val="11"/>
                <w:b w:val="1"/>
                <w:bCs w:val="1"/>
                <w:color w:val="auto"/>
              </w:rPr>
              <w:t>Awards:</w:t>
            </w:r>
          </w:p>
        </w:tc>
        <w:tc>
          <w:tcPr>
            <w:tcW w:w="860" w:type="dxa"/>
            <w:vAlign w:val="bottom"/>
          </w:tcPr>
          <w:p>
            <w:pPr>
              <w:jc w:val="right"/>
              <w:ind w:right="41"/>
              <w:spacing w:after="0" w:line="122" w:lineRule="exact"/>
              <w:rPr>
                <w:sz w:val="20"/>
                <w:szCs w:val="20"/>
                <w:color w:val="auto"/>
              </w:rPr>
            </w:pPr>
            <w:r>
              <w:rPr>
                <w:rFonts w:ascii="Arial" w:cs="Arial" w:eastAsia="Arial" w:hAnsi="Arial"/>
                <w:sz w:val="11"/>
                <w:szCs w:val="11"/>
                <w:b w:val="1"/>
                <w:bCs w:val="1"/>
                <w:color w:val="auto"/>
              </w:rPr>
              <w:t>Value</w:t>
            </w:r>
          </w:p>
        </w:tc>
      </w:tr>
      <w:tr>
        <w:trPr>
          <w:trHeight w:val="81"/>
        </w:trPr>
        <w:tc>
          <w:tcPr>
            <w:tcW w:w="1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80" w:type="dxa"/>
            <w:vAlign w:val="bottom"/>
            <w:tcBorders>
              <w:bottom w:val="single" w:sz="8" w:color="342C82"/>
            </w:tcBorders>
          </w:tcPr>
          <w:p>
            <w:pPr>
              <w:spacing w:after="0"/>
              <w:rPr>
                <w:sz w:val="7"/>
                <w:szCs w:val="7"/>
                <w:color w:val="auto"/>
              </w:rPr>
            </w:pPr>
          </w:p>
        </w:tc>
        <w:tc>
          <w:tcPr>
            <w:tcW w:w="840" w:type="dxa"/>
            <w:vAlign w:val="bottom"/>
            <w:tcBorders>
              <w:bottom w:val="single" w:sz="8" w:color="342C82"/>
            </w:tcBorders>
          </w:tcPr>
          <w:p>
            <w:pPr>
              <w:spacing w:after="0"/>
              <w:rPr>
                <w:sz w:val="7"/>
                <w:szCs w:val="7"/>
                <w:color w:val="auto"/>
              </w:rPr>
            </w:pPr>
          </w:p>
        </w:tc>
        <w:tc>
          <w:tcPr>
            <w:tcW w:w="780" w:type="dxa"/>
            <w:vAlign w:val="bottom"/>
            <w:tcBorders>
              <w:bottom w:val="single" w:sz="8" w:color="342C82"/>
            </w:tcBorders>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Borders>
              <w:bottom w:val="single" w:sz="8" w:color="342C82"/>
            </w:tcBorders>
          </w:tcPr>
          <w:p>
            <w:pPr>
              <w:spacing w:after="0"/>
              <w:rPr>
                <w:sz w:val="7"/>
                <w:szCs w:val="7"/>
                <w:color w:val="auto"/>
              </w:rPr>
            </w:pPr>
          </w:p>
        </w:tc>
        <w:tc>
          <w:tcPr>
            <w:tcW w:w="760" w:type="dxa"/>
            <w:vAlign w:val="bottom"/>
            <w:tcBorders>
              <w:bottom w:val="single" w:sz="8" w:color="342C82"/>
            </w:tcBorders>
          </w:tcPr>
          <w:p>
            <w:pPr>
              <w:spacing w:after="0"/>
              <w:rPr>
                <w:sz w:val="7"/>
                <w:szCs w:val="7"/>
                <w:color w:val="auto"/>
              </w:rPr>
            </w:pPr>
          </w:p>
        </w:tc>
        <w:tc>
          <w:tcPr>
            <w:tcW w:w="740" w:type="dxa"/>
            <w:vAlign w:val="bottom"/>
            <w:tcBorders>
              <w:bottom w:val="single" w:sz="8" w:color="342C82"/>
            </w:tcBorders>
          </w:tcPr>
          <w:p>
            <w:pPr>
              <w:spacing w:after="0"/>
              <w:rPr>
                <w:sz w:val="7"/>
                <w:szCs w:val="7"/>
                <w:color w:val="auto"/>
              </w:rPr>
            </w:pPr>
          </w:p>
        </w:tc>
        <w:tc>
          <w:tcPr>
            <w:tcW w:w="760" w:type="dxa"/>
            <w:vAlign w:val="bottom"/>
          </w:tcPr>
          <w:p>
            <w:pPr>
              <w:jc w:val="right"/>
              <w:ind w:right="63"/>
              <w:spacing w:after="0" w:line="81" w:lineRule="exact"/>
              <w:rPr>
                <w:sz w:val="20"/>
                <w:szCs w:val="20"/>
                <w:color w:val="auto"/>
              </w:rPr>
            </w:pPr>
            <w:r>
              <w:rPr>
                <w:rFonts w:ascii="Arial" w:cs="Arial" w:eastAsia="Arial" w:hAnsi="Arial"/>
                <w:sz w:val="9"/>
                <w:szCs w:val="9"/>
                <w:b w:val="1"/>
                <w:bCs w:val="1"/>
                <w:color w:val="auto"/>
              </w:rPr>
              <w:t>Number</w:t>
            </w:r>
          </w:p>
        </w:tc>
        <w:tc>
          <w:tcPr>
            <w:tcW w:w="860" w:type="dxa"/>
            <w:vAlign w:val="bottom"/>
          </w:tcPr>
          <w:p>
            <w:pPr>
              <w:jc w:val="right"/>
              <w:ind w:right="41"/>
              <w:spacing w:after="0" w:line="81" w:lineRule="exact"/>
              <w:rPr>
                <w:sz w:val="20"/>
                <w:szCs w:val="20"/>
                <w:color w:val="auto"/>
              </w:rPr>
            </w:pPr>
            <w:r>
              <w:rPr>
                <w:rFonts w:ascii="Arial" w:cs="Arial" w:eastAsia="Arial" w:hAnsi="Arial"/>
                <w:sz w:val="9"/>
                <w:szCs w:val="9"/>
                <w:b w:val="1"/>
                <w:bCs w:val="1"/>
                <w:color w:val="auto"/>
              </w:rPr>
              <w:t>of Stock</w:t>
            </w:r>
          </w:p>
        </w:tc>
      </w:tr>
      <w:tr>
        <w:trPr>
          <w:trHeight w:val="102"/>
        </w:trPr>
        <w:tc>
          <w:tcPr>
            <w:tcW w:w="1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jc w:val="right"/>
              <w:ind w:right="63"/>
              <w:spacing w:after="0" w:line="102" w:lineRule="exact"/>
              <w:rPr>
                <w:sz w:val="20"/>
                <w:szCs w:val="20"/>
                <w:color w:val="auto"/>
              </w:rPr>
            </w:pPr>
            <w:r>
              <w:rPr>
                <w:rFonts w:ascii="Arial" w:cs="Arial" w:eastAsia="Arial" w:hAnsi="Arial"/>
                <w:sz w:val="11"/>
                <w:szCs w:val="11"/>
                <w:b w:val="1"/>
                <w:bCs w:val="1"/>
                <w:color w:val="auto"/>
              </w:rPr>
              <w:t>of Shares</w:t>
            </w:r>
          </w:p>
        </w:tc>
        <w:tc>
          <w:tcPr>
            <w:tcW w:w="860" w:type="dxa"/>
            <w:vAlign w:val="bottom"/>
          </w:tcPr>
          <w:p>
            <w:pPr>
              <w:jc w:val="right"/>
              <w:ind w:right="41"/>
              <w:spacing w:after="0" w:line="102" w:lineRule="exact"/>
              <w:rPr>
                <w:sz w:val="20"/>
                <w:szCs w:val="20"/>
                <w:color w:val="auto"/>
              </w:rPr>
            </w:pPr>
            <w:r>
              <w:rPr>
                <w:rFonts w:ascii="Arial" w:cs="Arial" w:eastAsia="Arial" w:hAnsi="Arial"/>
                <w:sz w:val="11"/>
                <w:szCs w:val="11"/>
                <w:b w:val="1"/>
                <w:bCs w:val="1"/>
                <w:color w:val="auto"/>
              </w:rPr>
              <w:t>and</w:t>
            </w:r>
          </w:p>
        </w:tc>
      </w:tr>
      <w:tr>
        <w:trPr>
          <w:trHeight w:val="122"/>
        </w:trPr>
        <w:tc>
          <w:tcPr>
            <w:tcW w:w="1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jc w:val="right"/>
              <w:ind w:right="63"/>
              <w:spacing w:after="0" w:line="122" w:lineRule="exact"/>
              <w:rPr>
                <w:sz w:val="20"/>
                <w:szCs w:val="20"/>
                <w:color w:val="auto"/>
              </w:rPr>
            </w:pPr>
            <w:r>
              <w:rPr>
                <w:rFonts w:ascii="Arial" w:cs="Arial" w:eastAsia="Arial" w:hAnsi="Arial"/>
                <w:sz w:val="11"/>
                <w:szCs w:val="11"/>
                <w:b w:val="1"/>
                <w:bCs w:val="1"/>
                <w:color w:val="auto"/>
              </w:rPr>
              <w:t>of Stock</w:t>
            </w:r>
          </w:p>
        </w:tc>
        <w:tc>
          <w:tcPr>
            <w:tcW w:w="860" w:type="dxa"/>
            <w:vAlign w:val="bottom"/>
          </w:tcPr>
          <w:p>
            <w:pPr>
              <w:jc w:val="right"/>
              <w:ind w:right="41"/>
              <w:spacing w:after="0" w:line="122" w:lineRule="exact"/>
              <w:rPr>
                <w:sz w:val="20"/>
                <w:szCs w:val="20"/>
                <w:color w:val="auto"/>
              </w:rPr>
            </w:pPr>
            <w:r>
              <w:rPr>
                <w:rFonts w:ascii="Arial" w:cs="Arial" w:eastAsia="Arial" w:hAnsi="Arial"/>
                <w:sz w:val="11"/>
                <w:szCs w:val="11"/>
                <w:b w:val="1"/>
                <w:bCs w:val="1"/>
                <w:color w:val="auto"/>
              </w:rPr>
              <w:t>Option</w:t>
            </w:r>
          </w:p>
        </w:tc>
      </w:tr>
      <w:tr>
        <w:trPr>
          <w:trHeight w:val="108"/>
        </w:trPr>
        <w:tc>
          <w:tcPr>
            <w:tcW w:w="1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ind w:left="60"/>
              <w:spacing w:after="0" w:line="108" w:lineRule="exact"/>
              <w:rPr>
                <w:sz w:val="20"/>
                <w:szCs w:val="20"/>
                <w:color w:val="auto"/>
              </w:rPr>
            </w:pPr>
            <w:r>
              <w:rPr>
                <w:rFonts w:ascii="Arial" w:cs="Arial" w:eastAsia="Arial" w:hAnsi="Arial"/>
                <w:sz w:val="11"/>
                <w:szCs w:val="11"/>
                <w:b w:val="1"/>
                <w:bCs w:val="1"/>
                <w:color w:val="auto"/>
              </w:rPr>
              <w:t>Threshold</w:t>
            </w:r>
          </w:p>
        </w:tc>
        <w:tc>
          <w:tcPr>
            <w:tcW w:w="840" w:type="dxa"/>
            <w:vAlign w:val="bottom"/>
          </w:tcPr>
          <w:p>
            <w:pPr>
              <w:jc w:val="right"/>
              <w:ind w:right="18"/>
              <w:spacing w:after="0" w:line="108" w:lineRule="exact"/>
              <w:rPr>
                <w:sz w:val="20"/>
                <w:szCs w:val="20"/>
                <w:color w:val="auto"/>
              </w:rPr>
            </w:pPr>
            <w:r>
              <w:rPr>
                <w:rFonts w:ascii="Arial" w:cs="Arial" w:eastAsia="Arial" w:hAnsi="Arial"/>
                <w:sz w:val="11"/>
                <w:szCs w:val="11"/>
                <w:b w:val="1"/>
                <w:bCs w:val="1"/>
                <w:color w:val="auto"/>
              </w:rPr>
              <w:t>Target</w:t>
            </w:r>
          </w:p>
        </w:tc>
        <w:tc>
          <w:tcPr>
            <w:tcW w:w="860" w:type="dxa"/>
            <w:vAlign w:val="bottom"/>
            <w:gridSpan w:val="2"/>
          </w:tcPr>
          <w:p>
            <w:pPr>
              <w:jc w:val="right"/>
              <w:ind w:right="80"/>
              <w:spacing w:after="0" w:line="108" w:lineRule="exact"/>
              <w:rPr>
                <w:sz w:val="20"/>
                <w:szCs w:val="20"/>
                <w:color w:val="auto"/>
              </w:rPr>
            </w:pPr>
            <w:r>
              <w:rPr>
                <w:rFonts w:ascii="Arial" w:cs="Arial" w:eastAsia="Arial" w:hAnsi="Arial"/>
                <w:sz w:val="11"/>
                <w:szCs w:val="11"/>
                <w:b w:val="1"/>
                <w:bCs w:val="1"/>
                <w:color w:val="auto"/>
              </w:rPr>
              <w:t>Maximum</w:t>
            </w:r>
          </w:p>
        </w:tc>
        <w:tc>
          <w:tcPr>
            <w:tcW w:w="780" w:type="dxa"/>
            <w:vAlign w:val="bottom"/>
          </w:tcPr>
          <w:p>
            <w:pPr>
              <w:jc w:val="right"/>
              <w:ind w:right="61"/>
              <w:spacing w:after="0" w:line="108" w:lineRule="exact"/>
              <w:rPr>
                <w:sz w:val="20"/>
                <w:szCs w:val="20"/>
                <w:color w:val="auto"/>
              </w:rPr>
            </w:pPr>
            <w:r>
              <w:rPr>
                <w:rFonts w:ascii="Arial" w:cs="Arial" w:eastAsia="Arial" w:hAnsi="Arial"/>
                <w:sz w:val="11"/>
                <w:szCs w:val="11"/>
                <w:b w:val="1"/>
                <w:bCs w:val="1"/>
                <w:color w:val="auto"/>
              </w:rPr>
              <w:t>Threshold</w:t>
            </w:r>
          </w:p>
        </w:tc>
        <w:tc>
          <w:tcPr>
            <w:tcW w:w="760" w:type="dxa"/>
            <w:vAlign w:val="bottom"/>
          </w:tcPr>
          <w:p>
            <w:pPr>
              <w:jc w:val="right"/>
              <w:ind w:right="58"/>
              <w:spacing w:after="0" w:line="108" w:lineRule="exact"/>
              <w:rPr>
                <w:sz w:val="20"/>
                <w:szCs w:val="20"/>
                <w:color w:val="auto"/>
              </w:rPr>
            </w:pPr>
            <w:r>
              <w:rPr>
                <w:rFonts w:ascii="Arial" w:cs="Arial" w:eastAsia="Arial" w:hAnsi="Arial"/>
                <w:sz w:val="11"/>
                <w:szCs w:val="11"/>
                <w:b w:val="1"/>
                <w:bCs w:val="1"/>
                <w:color w:val="auto"/>
              </w:rPr>
              <w:t>Target</w:t>
            </w:r>
          </w:p>
        </w:tc>
        <w:tc>
          <w:tcPr>
            <w:tcW w:w="740" w:type="dxa"/>
            <w:vAlign w:val="bottom"/>
          </w:tcPr>
          <w:p>
            <w:pPr>
              <w:jc w:val="right"/>
              <w:ind w:right="18"/>
              <w:spacing w:after="0" w:line="108" w:lineRule="exact"/>
              <w:rPr>
                <w:sz w:val="20"/>
                <w:szCs w:val="20"/>
                <w:color w:val="auto"/>
              </w:rPr>
            </w:pPr>
            <w:r>
              <w:rPr>
                <w:rFonts w:ascii="Arial" w:cs="Arial" w:eastAsia="Arial" w:hAnsi="Arial"/>
                <w:sz w:val="11"/>
                <w:szCs w:val="11"/>
                <w:b w:val="1"/>
                <w:bCs w:val="1"/>
                <w:color w:val="auto"/>
              </w:rPr>
              <w:t>Maximum</w:t>
            </w:r>
          </w:p>
        </w:tc>
        <w:tc>
          <w:tcPr>
            <w:tcW w:w="760" w:type="dxa"/>
            <w:vAlign w:val="bottom"/>
          </w:tcPr>
          <w:p>
            <w:pPr>
              <w:jc w:val="right"/>
              <w:ind w:right="63"/>
              <w:spacing w:after="0" w:line="108" w:lineRule="exact"/>
              <w:rPr>
                <w:sz w:val="20"/>
                <w:szCs w:val="20"/>
                <w:color w:val="auto"/>
              </w:rPr>
            </w:pPr>
            <w:r>
              <w:rPr>
                <w:rFonts w:ascii="Arial" w:cs="Arial" w:eastAsia="Arial" w:hAnsi="Arial"/>
                <w:sz w:val="11"/>
                <w:szCs w:val="11"/>
                <w:b w:val="1"/>
                <w:bCs w:val="1"/>
                <w:color w:val="auto"/>
              </w:rPr>
              <w:t>or Units</w:t>
            </w:r>
          </w:p>
        </w:tc>
        <w:tc>
          <w:tcPr>
            <w:tcW w:w="860" w:type="dxa"/>
            <w:vAlign w:val="bottom"/>
          </w:tcPr>
          <w:p>
            <w:pPr>
              <w:jc w:val="right"/>
              <w:ind w:right="41"/>
              <w:spacing w:after="0" w:line="108" w:lineRule="exact"/>
              <w:rPr>
                <w:sz w:val="20"/>
                <w:szCs w:val="20"/>
                <w:color w:val="auto"/>
              </w:rPr>
            </w:pPr>
            <w:r>
              <w:rPr>
                <w:rFonts w:ascii="Arial" w:cs="Arial" w:eastAsia="Arial" w:hAnsi="Arial"/>
                <w:sz w:val="11"/>
                <w:szCs w:val="11"/>
                <w:b w:val="1"/>
                <w:bCs w:val="1"/>
                <w:color w:val="auto"/>
              </w:rPr>
              <w:t>Awards</w:t>
            </w:r>
          </w:p>
        </w:tc>
      </w:tr>
      <w:tr>
        <w:trPr>
          <w:trHeight w:val="203"/>
        </w:trPr>
        <w:tc>
          <w:tcPr>
            <w:tcW w:w="1120" w:type="dxa"/>
            <w:vAlign w:val="bottom"/>
            <w:tcBorders>
              <w:bottom w:val="single" w:sz="8" w:color="342C82"/>
            </w:tcBorders>
          </w:tcPr>
          <w:p>
            <w:pPr>
              <w:ind w:left="80"/>
              <w:spacing w:after="0"/>
              <w:rPr>
                <w:sz w:val="20"/>
                <w:szCs w:val="20"/>
                <w:color w:val="auto"/>
              </w:rPr>
            </w:pPr>
            <w:r>
              <w:rPr>
                <w:rFonts w:ascii="Arial" w:cs="Arial" w:eastAsia="Arial" w:hAnsi="Arial"/>
                <w:sz w:val="11"/>
                <w:szCs w:val="11"/>
                <w:b w:val="1"/>
                <w:bCs w:val="1"/>
                <w:color w:val="auto"/>
              </w:rPr>
              <w:t>Name</w:t>
            </w:r>
          </w:p>
        </w:tc>
        <w:tc>
          <w:tcPr>
            <w:tcW w:w="1020" w:type="dxa"/>
            <w:vAlign w:val="bottom"/>
            <w:tcBorders>
              <w:bottom w:val="single" w:sz="8" w:color="342C82"/>
            </w:tcBorders>
          </w:tcPr>
          <w:p>
            <w:pPr>
              <w:jc w:val="right"/>
              <w:ind w:right="96"/>
              <w:spacing w:after="0"/>
              <w:rPr>
                <w:sz w:val="20"/>
                <w:szCs w:val="20"/>
                <w:color w:val="auto"/>
              </w:rPr>
            </w:pPr>
            <w:r>
              <w:rPr>
                <w:rFonts w:ascii="Arial" w:cs="Arial" w:eastAsia="Arial" w:hAnsi="Arial"/>
                <w:sz w:val="11"/>
                <w:szCs w:val="11"/>
                <w:b w:val="1"/>
                <w:bCs w:val="1"/>
                <w:color w:val="auto"/>
              </w:rPr>
              <w:t>Grant Date</w:t>
            </w:r>
          </w:p>
        </w:tc>
        <w:tc>
          <w:tcPr>
            <w:tcW w:w="680" w:type="dxa"/>
            <w:vAlign w:val="bottom"/>
            <w:tcBorders>
              <w:bottom w:val="single" w:sz="8" w:color="342C82"/>
            </w:tcBorders>
          </w:tcPr>
          <w:p>
            <w:pPr>
              <w:ind w:left="480"/>
              <w:spacing w:after="0"/>
              <w:rPr>
                <w:sz w:val="20"/>
                <w:szCs w:val="20"/>
                <w:color w:val="auto"/>
              </w:rPr>
            </w:pPr>
            <w:r>
              <w:rPr>
                <w:rFonts w:ascii="Arial" w:cs="Arial" w:eastAsia="Arial" w:hAnsi="Arial"/>
                <w:sz w:val="11"/>
                <w:szCs w:val="11"/>
                <w:b w:val="1"/>
                <w:bCs w:val="1"/>
                <w:color w:val="auto"/>
              </w:rPr>
              <w:t>($)</w:t>
            </w:r>
          </w:p>
        </w:tc>
        <w:tc>
          <w:tcPr>
            <w:tcW w:w="840" w:type="dxa"/>
            <w:vAlign w:val="bottom"/>
            <w:tcBorders>
              <w:bottom w:val="single" w:sz="8" w:color="342C82"/>
            </w:tcBorders>
          </w:tcPr>
          <w:p>
            <w:pPr>
              <w:jc w:val="right"/>
              <w:ind w:right="18"/>
              <w:spacing w:after="0"/>
              <w:rPr>
                <w:sz w:val="20"/>
                <w:szCs w:val="20"/>
                <w:color w:val="auto"/>
              </w:rPr>
            </w:pPr>
            <w:r>
              <w:rPr>
                <w:rFonts w:ascii="Arial" w:cs="Arial" w:eastAsia="Arial" w:hAnsi="Arial"/>
                <w:sz w:val="11"/>
                <w:szCs w:val="11"/>
                <w:b w:val="1"/>
                <w:bCs w:val="1"/>
                <w:color w:val="auto"/>
              </w:rPr>
              <w:t>($)</w:t>
            </w:r>
          </w:p>
        </w:tc>
        <w:tc>
          <w:tcPr>
            <w:tcW w:w="860" w:type="dxa"/>
            <w:vAlign w:val="bottom"/>
            <w:tcBorders>
              <w:bottom w:val="single" w:sz="8" w:color="342C82"/>
            </w:tcBorders>
            <w:gridSpan w:val="2"/>
          </w:tcPr>
          <w:p>
            <w:pPr>
              <w:jc w:val="right"/>
              <w:ind w:right="80"/>
              <w:spacing w:after="0"/>
              <w:rPr>
                <w:sz w:val="20"/>
                <w:szCs w:val="20"/>
                <w:color w:val="auto"/>
              </w:rPr>
            </w:pPr>
            <w:r>
              <w:rPr>
                <w:rFonts w:ascii="Arial" w:cs="Arial" w:eastAsia="Arial" w:hAnsi="Arial"/>
                <w:sz w:val="11"/>
                <w:szCs w:val="11"/>
                <w:b w:val="1"/>
                <w:bCs w:val="1"/>
                <w:color w:val="auto"/>
              </w:rPr>
              <w:t>($)</w:t>
            </w:r>
          </w:p>
        </w:tc>
        <w:tc>
          <w:tcPr>
            <w:tcW w:w="780" w:type="dxa"/>
            <w:vAlign w:val="bottom"/>
            <w:tcBorders>
              <w:bottom w:val="single" w:sz="8" w:color="342C82"/>
            </w:tcBorders>
          </w:tcPr>
          <w:p>
            <w:pPr>
              <w:jc w:val="right"/>
              <w:ind w:right="21"/>
              <w:spacing w:after="0"/>
              <w:rPr>
                <w:sz w:val="20"/>
                <w:szCs w:val="20"/>
                <w:color w:val="auto"/>
              </w:rPr>
            </w:pPr>
            <w:r>
              <w:rPr>
                <w:rFonts w:ascii="Arial" w:cs="Arial" w:eastAsia="Arial" w:hAnsi="Arial"/>
                <w:sz w:val="11"/>
                <w:szCs w:val="11"/>
                <w:b w:val="1"/>
                <w:bCs w:val="1"/>
                <w:color w:val="auto"/>
              </w:rPr>
              <w:t>(#)</w:t>
            </w:r>
          </w:p>
        </w:tc>
        <w:tc>
          <w:tcPr>
            <w:tcW w:w="760" w:type="dxa"/>
            <w:vAlign w:val="bottom"/>
            <w:tcBorders>
              <w:bottom w:val="single" w:sz="8" w:color="342C82"/>
            </w:tcBorders>
          </w:tcPr>
          <w:p>
            <w:pPr>
              <w:jc w:val="right"/>
              <w:ind w:right="58"/>
              <w:spacing w:after="0"/>
              <w:rPr>
                <w:sz w:val="20"/>
                <w:szCs w:val="20"/>
                <w:color w:val="auto"/>
              </w:rPr>
            </w:pPr>
            <w:r>
              <w:rPr>
                <w:rFonts w:ascii="Arial" w:cs="Arial" w:eastAsia="Arial" w:hAnsi="Arial"/>
                <w:sz w:val="11"/>
                <w:szCs w:val="11"/>
                <w:b w:val="1"/>
                <w:bCs w:val="1"/>
                <w:color w:val="auto"/>
              </w:rPr>
              <w:t>(#)</w:t>
            </w:r>
          </w:p>
        </w:tc>
        <w:tc>
          <w:tcPr>
            <w:tcW w:w="740" w:type="dxa"/>
            <w:vAlign w:val="bottom"/>
            <w:tcBorders>
              <w:bottom w:val="single" w:sz="8" w:color="342C82"/>
            </w:tcBorders>
          </w:tcPr>
          <w:p>
            <w:pPr>
              <w:jc w:val="right"/>
              <w:ind w:right="18"/>
              <w:spacing w:after="0"/>
              <w:rPr>
                <w:sz w:val="20"/>
                <w:szCs w:val="20"/>
                <w:color w:val="auto"/>
              </w:rPr>
            </w:pPr>
            <w:r>
              <w:rPr>
                <w:rFonts w:ascii="Arial" w:cs="Arial" w:eastAsia="Arial" w:hAnsi="Arial"/>
                <w:sz w:val="11"/>
                <w:szCs w:val="11"/>
                <w:b w:val="1"/>
                <w:bCs w:val="1"/>
                <w:color w:val="auto"/>
              </w:rPr>
              <w:t>(#)</w:t>
            </w:r>
          </w:p>
        </w:tc>
        <w:tc>
          <w:tcPr>
            <w:tcW w:w="760" w:type="dxa"/>
            <w:vAlign w:val="bottom"/>
            <w:tcBorders>
              <w:bottom w:val="single" w:sz="8" w:color="342C82"/>
            </w:tcBorders>
          </w:tcPr>
          <w:p>
            <w:pPr>
              <w:jc w:val="right"/>
              <w:ind w:right="23"/>
              <w:spacing w:after="0"/>
              <w:rPr>
                <w:sz w:val="20"/>
                <w:szCs w:val="20"/>
                <w:color w:val="auto"/>
              </w:rPr>
            </w:pPr>
            <w:r>
              <w:rPr>
                <w:rFonts w:ascii="Arial" w:cs="Arial" w:eastAsia="Arial" w:hAnsi="Arial"/>
                <w:sz w:val="11"/>
                <w:szCs w:val="11"/>
                <w:b w:val="1"/>
                <w:bCs w:val="1"/>
                <w:color w:val="auto"/>
              </w:rPr>
              <w:t>(#)</w:t>
            </w:r>
            <w:r>
              <w:rPr>
                <w:rFonts w:ascii="Arial" w:cs="Arial" w:eastAsia="Arial" w:hAnsi="Arial"/>
                <w:sz w:val="16"/>
                <w:szCs w:val="16"/>
                <w:b w:val="1"/>
                <w:bCs w:val="1"/>
                <w:color w:val="auto"/>
                <w:vertAlign w:val="superscript"/>
              </w:rPr>
              <w:t>(3)</w:t>
            </w:r>
          </w:p>
        </w:tc>
        <w:tc>
          <w:tcPr>
            <w:tcW w:w="860" w:type="dxa"/>
            <w:vAlign w:val="bottom"/>
            <w:tcBorders>
              <w:bottom w:val="single" w:sz="8" w:color="342C82"/>
            </w:tcBorders>
          </w:tcPr>
          <w:p>
            <w:pPr>
              <w:jc w:val="right"/>
              <w:ind w:right="21"/>
              <w:spacing w:after="0"/>
              <w:rPr>
                <w:sz w:val="20"/>
                <w:szCs w:val="20"/>
                <w:color w:val="auto"/>
              </w:rPr>
            </w:pPr>
            <w:r>
              <w:rPr>
                <w:rFonts w:ascii="Arial" w:cs="Arial" w:eastAsia="Arial" w:hAnsi="Arial"/>
                <w:sz w:val="11"/>
                <w:szCs w:val="11"/>
                <w:b w:val="1"/>
                <w:bCs w:val="1"/>
                <w:color w:val="auto"/>
              </w:rPr>
              <w:t>($)</w:t>
            </w:r>
            <w:r>
              <w:rPr>
                <w:rFonts w:ascii="Arial" w:cs="Arial" w:eastAsia="Arial" w:hAnsi="Arial"/>
                <w:sz w:val="16"/>
                <w:szCs w:val="16"/>
                <w:b w:val="1"/>
                <w:bCs w:val="1"/>
                <w:color w:val="auto"/>
                <w:vertAlign w:val="superscript"/>
              </w:rPr>
              <w:t>(4)</w:t>
            </w:r>
          </w:p>
        </w:tc>
      </w:tr>
      <w:tr>
        <w:trPr>
          <w:trHeight w:val="203"/>
        </w:trPr>
        <w:tc>
          <w:tcPr>
            <w:tcW w:w="1120" w:type="dxa"/>
            <w:vAlign w:val="bottom"/>
          </w:tcPr>
          <w:p>
            <w:pPr>
              <w:ind w:left="80"/>
              <w:spacing w:after="0"/>
              <w:rPr>
                <w:sz w:val="20"/>
                <w:szCs w:val="20"/>
                <w:color w:val="auto"/>
              </w:rPr>
            </w:pPr>
            <w:r>
              <w:rPr>
                <w:rFonts w:ascii="Arial" w:cs="Arial" w:eastAsia="Arial" w:hAnsi="Arial"/>
                <w:sz w:val="13"/>
                <w:szCs w:val="13"/>
                <w:b w:val="1"/>
                <w:bCs w:val="1"/>
                <w:color w:val="342C82"/>
              </w:rPr>
              <w:t>Dev Kurdikar</w:t>
            </w:r>
          </w:p>
        </w:tc>
        <w:tc>
          <w:tcPr>
            <w:tcW w:w="10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auto"/>
              </w:rPr>
              <w:t>571,500</w:t>
            </w:r>
          </w:p>
        </w:tc>
        <w:tc>
          <w:tcPr>
            <w:tcW w:w="840" w:type="dxa"/>
            <w:vAlign w:val="bottom"/>
          </w:tcPr>
          <w:p>
            <w:pPr>
              <w:jc w:val="right"/>
              <w:ind w:right="118"/>
              <w:spacing w:after="0"/>
              <w:rPr>
                <w:sz w:val="20"/>
                <w:szCs w:val="20"/>
                <w:color w:val="auto"/>
              </w:rPr>
            </w:pPr>
            <w:r>
              <w:rPr>
                <w:rFonts w:ascii="Arial" w:cs="Arial" w:eastAsia="Arial" w:hAnsi="Arial"/>
                <w:sz w:val="13"/>
                <w:szCs w:val="13"/>
                <w:color w:val="auto"/>
              </w:rPr>
              <w:t>1,143,000</w:t>
            </w:r>
          </w:p>
        </w:tc>
        <w:tc>
          <w:tcPr>
            <w:tcW w:w="780" w:type="dxa"/>
            <w:vAlign w:val="bottom"/>
          </w:tcPr>
          <w:p>
            <w:pPr>
              <w:jc w:val="right"/>
              <w:ind w:right="58"/>
              <w:spacing w:after="0"/>
              <w:rPr>
                <w:sz w:val="20"/>
                <w:szCs w:val="20"/>
                <w:color w:val="auto"/>
              </w:rPr>
            </w:pPr>
            <w:r>
              <w:rPr>
                <w:rFonts w:ascii="Arial" w:cs="Arial" w:eastAsia="Arial" w:hAnsi="Arial"/>
                <w:sz w:val="13"/>
                <w:szCs w:val="13"/>
                <w:color w:val="auto"/>
              </w:rPr>
              <w:t>2,286,000</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5"/>
        </w:trPr>
        <w:tc>
          <w:tcPr>
            <w:tcW w:w="1120" w:type="dxa"/>
            <w:vAlign w:val="bottom"/>
          </w:tcPr>
          <w:p>
            <w:pPr>
              <w:spacing w:after="0"/>
              <w:rPr>
                <w:sz w:val="20"/>
                <w:szCs w:val="20"/>
                <w:color w:val="auto"/>
              </w:rPr>
            </w:pPr>
          </w:p>
        </w:tc>
        <w:tc>
          <w:tcPr>
            <w:tcW w:w="1020" w:type="dxa"/>
            <w:vAlign w:val="bottom"/>
          </w:tcPr>
          <w:p>
            <w:pPr>
              <w:jc w:val="right"/>
              <w:ind w:right="116"/>
              <w:spacing w:after="0"/>
              <w:rPr>
                <w:sz w:val="20"/>
                <w:szCs w:val="20"/>
                <w:color w:val="auto"/>
              </w:rPr>
            </w:pPr>
            <w:r>
              <w:rPr>
                <w:rFonts w:ascii="Arial" w:cs="Arial" w:eastAsia="Arial" w:hAnsi="Arial"/>
                <w:sz w:val="13"/>
                <w:szCs w:val="13"/>
                <w:color w:val="auto"/>
              </w:rPr>
              <w:t>11/26/2023</w:t>
            </w:r>
          </w:p>
        </w:tc>
        <w:tc>
          <w:tcPr>
            <w:tcW w:w="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ind w:right="101"/>
              <w:spacing w:after="0"/>
              <w:rPr>
                <w:sz w:val="20"/>
                <w:szCs w:val="20"/>
                <w:color w:val="auto"/>
              </w:rPr>
            </w:pPr>
            <w:r>
              <w:rPr>
                <w:rFonts w:ascii="Arial" w:cs="Arial" w:eastAsia="Arial" w:hAnsi="Arial"/>
                <w:sz w:val="13"/>
                <w:szCs w:val="13"/>
                <w:color w:val="auto"/>
              </w:rPr>
              <w:t>89,337</w:t>
            </w:r>
          </w:p>
        </w:tc>
        <w:tc>
          <w:tcPr>
            <w:tcW w:w="760" w:type="dxa"/>
            <w:vAlign w:val="bottom"/>
          </w:tcPr>
          <w:p>
            <w:pPr>
              <w:jc w:val="right"/>
              <w:ind w:right="158"/>
              <w:spacing w:after="0"/>
              <w:rPr>
                <w:sz w:val="20"/>
                <w:szCs w:val="20"/>
                <w:color w:val="auto"/>
              </w:rPr>
            </w:pPr>
            <w:r>
              <w:rPr>
                <w:rFonts w:ascii="Arial" w:cs="Arial" w:eastAsia="Arial" w:hAnsi="Arial"/>
                <w:sz w:val="13"/>
                <w:szCs w:val="13"/>
                <w:color w:val="auto"/>
              </w:rPr>
              <w:t>178,674</w:t>
            </w:r>
          </w:p>
        </w:tc>
        <w:tc>
          <w:tcPr>
            <w:tcW w:w="740" w:type="dxa"/>
            <w:vAlign w:val="bottom"/>
          </w:tcPr>
          <w:p>
            <w:pPr>
              <w:jc w:val="right"/>
              <w:ind w:right="118"/>
              <w:spacing w:after="0"/>
              <w:rPr>
                <w:sz w:val="20"/>
                <w:szCs w:val="20"/>
                <w:color w:val="auto"/>
              </w:rPr>
            </w:pPr>
            <w:r>
              <w:rPr>
                <w:rFonts w:ascii="Arial" w:cs="Arial" w:eastAsia="Arial" w:hAnsi="Arial"/>
                <w:sz w:val="13"/>
                <w:szCs w:val="13"/>
                <w:color w:val="auto"/>
              </w:rPr>
              <w:t>357,348</w:t>
            </w:r>
          </w:p>
        </w:tc>
        <w:tc>
          <w:tcPr>
            <w:tcW w:w="760" w:type="dxa"/>
            <w:vAlign w:val="bottom"/>
          </w:tcPr>
          <w:p>
            <w:pPr>
              <w:spacing w:after="0"/>
              <w:rPr>
                <w:sz w:val="20"/>
                <w:szCs w:val="20"/>
                <w:color w:val="auto"/>
              </w:rPr>
            </w:pPr>
          </w:p>
        </w:tc>
        <w:tc>
          <w:tcPr>
            <w:tcW w:w="860" w:type="dxa"/>
            <w:vAlign w:val="bottom"/>
          </w:tcPr>
          <w:p>
            <w:pPr>
              <w:jc w:val="right"/>
              <w:ind w:right="161"/>
              <w:spacing w:after="0"/>
              <w:rPr>
                <w:sz w:val="20"/>
                <w:szCs w:val="20"/>
                <w:color w:val="auto"/>
              </w:rPr>
            </w:pPr>
            <w:r>
              <w:rPr>
                <w:rFonts w:ascii="Arial" w:cs="Arial" w:eastAsia="Arial" w:hAnsi="Arial"/>
                <w:sz w:val="13"/>
                <w:szCs w:val="13"/>
                <w:color w:val="auto"/>
              </w:rPr>
              <w:t>3,125,008</w:t>
            </w:r>
          </w:p>
        </w:tc>
      </w:tr>
      <w:tr>
        <w:trPr>
          <w:trHeight w:val="243"/>
        </w:trPr>
        <w:tc>
          <w:tcPr>
            <w:tcW w:w="1120" w:type="dxa"/>
            <w:vAlign w:val="bottom"/>
          </w:tcPr>
          <w:p>
            <w:pPr>
              <w:spacing w:after="0"/>
              <w:rPr>
                <w:sz w:val="21"/>
                <w:szCs w:val="21"/>
                <w:color w:val="auto"/>
              </w:rPr>
            </w:pPr>
          </w:p>
        </w:tc>
        <w:tc>
          <w:tcPr>
            <w:tcW w:w="1020" w:type="dxa"/>
            <w:vAlign w:val="bottom"/>
          </w:tcPr>
          <w:p>
            <w:pPr>
              <w:jc w:val="right"/>
              <w:ind w:right="116"/>
              <w:spacing w:after="0"/>
              <w:rPr>
                <w:sz w:val="20"/>
                <w:szCs w:val="20"/>
                <w:color w:val="auto"/>
              </w:rPr>
            </w:pPr>
            <w:r>
              <w:rPr>
                <w:rFonts w:ascii="Arial" w:cs="Arial" w:eastAsia="Arial" w:hAnsi="Arial"/>
                <w:sz w:val="13"/>
                <w:szCs w:val="13"/>
                <w:color w:val="auto"/>
              </w:rPr>
              <w:t>11/26/2023</w:t>
            </w:r>
          </w:p>
        </w:tc>
        <w:tc>
          <w:tcPr>
            <w:tcW w:w="6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jc w:val="right"/>
              <w:ind w:right="123"/>
              <w:spacing w:after="0"/>
              <w:rPr>
                <w:sz w:val="20"/>
                <w:szCs w:val="20"/>
                <w:color w:val="auto"/>
              </w:rPr>
            </w:pPr>
            <w:r>
              <w:rPr>
                <w:rFonts w:ascii="Arial" w:cs="Arial" w:eastAsia="Arial" w:hAnsi="Arial"/>
                <w:sz w:val="13"/>
                <w:szCs w:val="13"/>
                <w:color w:val="auto"/>
              </w:rPr>
              <w:t>178,674</w:t>
            </w:r>
          </w:p>
        </w:tc>
        <w:tc>
          <w:tcPr>
            <w:tcW w:w="860" w:type="dxa"/>
            <w:vAlign w:val="bottom"/>
          </w:tcPr>
          <w:p>
            <w:pPr>
              <w:jc w:val="right"/>
              <w:ind w:right="161"/>
              <w:spacing w:after="0"/>
              <w:rPr>
                <w:sz w:val="20"/>
                <w:szCs w:val="20"/>
                <w:color w:val="auto"/>
              </w:rPr>
            </w:pPr>
            <w:r>
              <w:rPr>
                <w:rFonts w:ascii="Arial" w:cs="Arial" w:eastAsia="Arial" w:hAnsi="Arial"/>
                <w:sz w:val="13"/>
                <w:szCs w:val="13"/>
                <w:color w:val="auto"/>
              </w:rPr>
              <w:t>3,125,008</w:t>
            </w:r>
          </w:p>
        </w:tc>
      </w:tr>
      <w:tr>
        <w:trPr>
          <w:trHeight w:val="28"/>
        </w:trPr>
        <w:tc>
          <w:tcPr>
            <w:tcW w:w="1120" w:type="dxa"/>
            <w:vAlign w:val="bottom"/>
            <w:tcBorders>
              <w:bottom w:val="single" w:sz="8" w:color="808080"/>
            </w:tcBorders>
          </w:tcPr>
          <w:p>
            <w:pPr>
              <w:spacing w:after="0"/>
              <w:rPr>
                <w:sz w:val="2"/>
                <w:szCs w:val="2"/>
                <w:color w:val="auto"/>
              </w:rPr>
            </w:pPr>
          </w:p>
        </w:tc>
        <w:tc>
          <w:tcPr>
            <w:tcW w:w="102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840" w:type="dxa"/>
            <w:vAlign w:val="bottom"/>
            <w:tcBorders>
              <w:bottom w:val="single" w:sz="8" w:color="808080"/>
            </w:tcBorders>
          </w:tcPr>
          <w:p>
            <w:pPr>
              <w:spacing w:after="0"/>
              <w:rPr>
                <w:sz w:val="2"/>
                <w:szCs w:val="2"/>
                <w:color w:val="auto"/>
              </w:rPr>
            </w:pPr>
          </w:p>
        </w:tc>
        <w:tc>
          <w:tcPr>
            <w:tcW w:w="780" w:type="dxa"/>
            <w:vAlign w:val="bottom"/>
            <w:tcBorders>
              <w:bottom w:val="single" w:sz="8" w:color="808080"/>
            </w:tcBorders>
          </w:tcPr>
          <w:p>
            <w:pPr>
              <w:spacing w:after="0"/>
              <w:rPr>
                <w:sz w:val="2"/>
                <w:szCs w:val="2"/>
                <w:color w:val="auto"/>
              </w:rPr>
            </w:pPr>
          </w:p>
        </w:tc>
        <w:tc>
          <w:tcPr>
            <w:tcW w:w="80" w:type="dxa"/>
            <w:vAlign w:val="bottom"/>
            <w:tcBorders>
              <w:bottom w:val="single" w:sz="8" w:color="808080"/>
            </w:tcBorders>
          </w:tcPr>
          <w:p>
            <w:pPr>
              <w:spacing w:after="0"/>
              <w:rPr>
                <w:sz w:val="2"/>
                <w:szCs w:val="2"/>
                <w:color w:val="auto"/>
              </w:rPr>
            </w:pPr>
          </w:p>
        </w:tc>
        <w:tc>
          <w:tcPr>
            <w:tcW w:w="780" w:type="dxa"/>
            <w:vAlign w:val="bottom"/>
            <w:tcBorders>
              <w:bottom w:val="single" w:sz="8" w:color="808080"/>
            </w:tcBorders>
          </w:tcPr>
          <w:p>
            <w:pPr>
              <w:spacing w:after="0"/>
              <w:rPr>
                <w:sz w:val="2"/>
                <w:szCs w:val="2"/>
                <w:color w:val="auto"/>
              </w:rPr>
            </w:pPr>
          </w:p>
        </w:tc>
        <w:tc>
          <w:tcPr>
            <w:tcW w:w="760" w:type="dxa"/>
            <w:vAlign w:val="bottom"/>
            <w:tcBorders>
              <w:bottom w:val="single" w:sz="8" w:color="808080"/>
            </w:tcBorders>
          </w:tcPr>
          <w:p>
            <w:pPr>
              <w:spacing w:after="0"/>
              <w:rPr>
                <w:sz w:val="2"/>
                <w:szCs w:val="2"/>
                <w:color w:val="auto"/>
              </w:rPr>
            </w:pPr>
          </w:p>
        </w:tc>
        <w:tc>
          <w:tcPr>
            <w:tcW w:w="740" w:type="dxa"/>
            <w:vAlign w:val="bottom"/>
            <w:tcBorders>
              <w:bottom w:val="single" w:sz="8" w:color="808080"/>
            </w:tcBorders>
          </w:tcPr>
          <w:p>
            <w:pPr>
              <w:spacing w:after="0"/>
              <w:rPr>
                <w:sz w:val="2"/>
                <w:szCs w:val="2"/>
                <w:color w:val="auto"/>
              </w:rPr>
            </w:pPr>
          </w:p>
        </w:tc>
        <w:tc>
          <w:tcPr>
            <w:tcW w:w="760" w:type="dxa"/>
            <w:vAlign w:val="bottom"/>
            <w:tcBorders>
              <w:bottom w:val="single" w:sz="8" w:color="808080"/>
            </w:tcBorders>
          </w:tcPr>
          <w:p>
            <w:pPr>
              <w:spacing w:after="0"/>
              <w:rPr>
                <w:sz w:val="2"/>
                <w:szCs w:val="2"/>
                <w:color w:val="auto"/>
              </w:rPr>
            </w:pPr>
          </w:p>
        </w:tc>
        <w:tc>
          <w:tcPr>
            <w:tcW w:w="860" w:type="dxa"/>
            <w:vAlign w:val="bottom"/>
            <w:tcBorders>
              <w:bottom w:val="single" w:sz="8" w:color="808080"/>
            </w:tcBorders>
          </w:tcPr>
          <w:p>
            <w:pPr>
              <w:spacing w:after="0"/>
              <w:rPr>
                <w:sz w:val="2"/>
                <w:szCs w:val="2"/>
                <w:color w:val="auto"/>
              </w:rPr>
            </w:pPr>
          </w:p>
        </w:tc>
      </w:tr>
      <w:tr>
        <w:trPr>
          <w:trHeight w:val="204"/>
        </w:trPr>
        <w:tc>
          <w:tcPr>
            <w:tcW w:w="1120" w:type="dxa"/>
            <w:vAlign w:val="bottom"/>
          </w:tcPr>
          <w:p>
            <w:pPr>
              <w:ind w:left="80"/>
              <w:spacing w:after="0"/>
              <w:rPr>
                <w:sz w:val="20"/>
                <w:szCs w:val="20"/>
                <w:color w:val="auto"/>
              </w:rPr>
            </w:pPr>
            <w:r>
              <w:rPr>
                <w:rFonts w:ascii="Arial" w:cs="Arial" w:eastAsia="Arial" w:hAnsi="Arial"/>
                <w:sz w:val="13"/>
                <w:szCs w:val="13"/>
                <w:b w:val="1"/>
                <w:bCs w:val="1"/>
                <w:color w:val="342C82"/>
              </w:rPr>
              <w:t>Jake Elguicze</w:t>
            </w:r>
          </w:p>
        </w:tc>
        <w:tc>
          <w:tcPr>
            <w:tcW w:w="10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auto"/>
              </w:rPr>
              <w:t>203,000</w:t>
            </w:r>
          </w:p>
        </w:tc>
        <w:tc>
          <w:tcPr>
            <w:tcW w:w="840" w:type="dxa"/>
            <w:vAlign w:val="bottom"/>
          </w:tcPr>
          <w:p>
            <w:pPr>
              <w:jc w:val="right"/>
              <w:ind w:right="118"/>
              <w:spacing w:after="0"/>
              <w:rPr>
                <w:sz w:val="20"/>
                <w:szCs w:val="20"/>
                <w:color w:val="auto"/>
              </w:rPr>
            </w:pPr>
            <w:r>
              <w:rPr>
                <w:rFonts w:ascii="Arial" w:cs="Arial" w:eastAsia="Arial" w:hAnsi="Arial"/>
                <w:sz w:val="13"/>
                <w:szCs w:val="13"/>
                <w:color w:val="auto"/>
              </w:rPr>
              <w:t>406,000</w:t>
            </w:r>
          </w:p>
        </w:tc>
        <w:tc>
          <w:tcPr>
            <w:tcW w:w="780" w:type="dxa"/>
            <w:vAlign w:val="bottom"/>
          </w:tcPr>
          <w:p>
            <w:pPr>
              <w:jc w:val="right"/>
              <w:ind w:right="58"/>
              <w:spacing w:after="0"/>
              <w:rPr>
                <w:sz w:val="20"/>
                <w:szCs w:val="20"/>
                <w:color w:val="auto"/>
              </w:rPr>
            </w:pPr>
            <w:r>
              <w:rPr>
                <w:rFonts w:ascii="Arial" w:cs="Arial" w:eastAsia="Arial" w:hAnsi="Arial"/>
                <w:sz w:val="13"/>
                <w:szCs w:val="13"/>
                <w:color w:val="auto"/>
              </w:rPr>
              <w:t>812,000</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5"/>
        </w:trPr>
        <w:tc>
          <w:tcPr>
            <w:tcW w:w="1120" w:type="dxa"/>
            <w:vAlign w:val="bottom"/>
          </w:tcPr>
          <w:p>
            <w:pPr>
              <w:spacing w:after="0"/>
              <w:rPr>
                <w:sz w:val="20"/>
                <w:szCs w:val="20"/>
                <w:color w:val="auto"/>
              </w:rPr>
            </w:pPr>
          </w:p>
        </w:tc>
        <w:tc>
          <w:tcPr>
            <w:tcW w:w="1020" w:type="dxa"/>
            <w:vAlign w:val="bottom"/>
          </w:tcPr>
          <w:p>
            <w:pPr>
              <w:jc w:val="right"/>
              <w:ind w:right="116"/>
              <w:spacing w:after="0"/>
              <w:rPr>
                <w:sz w:val="20"/>
                <w:szCs w:val="20"/>
                <w:color w:val="auto"/>
              </w:rPr>
            </w:pPr>
            <w:r>
              <w:rPr>
                <w:rFonts w:ascii="Arial" w:cs="Arial" w:eastAsia="Arial" w:hAnsi="Arial"/>
                <w:sz w:val="13"/>
                <w:szCs w:val="13"/>
                <w:color w:val="auto"/>
              </w:rPr>
              <w:t>11/26/2023</w:t>
            </w:r>
          </w:p>
        </w:tc>
        <w:tc>
          <w:tcPr>
            <w:tcW w:w="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ind w:right="101"/>
              <w:spacing w:after="0"/>
              <w:rPr>
                <w:sz w:val="20"/>
                <w:szCs w:val="20"/>
                <w:color w:val="auto"/>
              </w:rPr>
            </w:pPr>
            <w:r>
              <w:rPr>
                <w:rFonts w:ascii="Arial" w:cs="Arial" w:eastAsia="Arial" w:hAnsi="Arial"/>
                <w:sz w:val="13"/>
                <w:szCs w:val="13"/>
                <w:color w:val="auto"/>
              </w:rPr>
              <w:t>28,588</w:t>
            </w:r>
          </w:p>
        </w:tc>
        <w:tc>
          <w:tcPr>
            <w:tcW w:w="760" w:type="dxa"/>
            <w:vAlign w:val="bottom"/>
          </w:tcPr>
          <w:p>
            <w:pPr>
              <w:jc w:val="right"/>
              <w:ind w:right="158"/>
              <w:spacing w:after="0"/>
              <w:rPr>
                <w:sz w:val="20"/>
                <w:szCs w:val="20"/>
                <w:color w:val="auto"/>
              </w:rPr>
            </w:pPr>
            <w:r>
              <w:rPr>
                <w:rFonts w:ascii="Arial" w:cs="Arial" w:eastAsia="Arial" w:hAnsi="Arial"/>
                <w:sz w:val="13"/>
                <w:szCs w:val="13"/>
                <w:color w:val="auto"/>
              </w:rPr>
              <w:t>57,176</w:t>
            </w:r>
          </w:p>
        </w:tc>
        <w:tc>
          <w:tcPr>
            <w:tcW w:w="740" w:type="dxa"/>
            <w:vAlign w:val="bottom"/>
          </w:tcPr>
          <w:p>
            <w:pPr>
              <w:jc w:val="right"/>
              <w:ind w:right="118"/>
              <w:spacing w:after="0"/>
              <w:rPr>
                <w:sz w:val="20"/>
                <w:szCs w:val="20"/>
                <w:color w:val="auto"/>
              </w:rPr>
            </w:pPr>
            <w:r>
              <w:rPr>
                <w:rFonts w:ascii="Arial" w:cs="Arial" w:eastAsia="Arial" w:hAnsi="Arial"/>
                <w:sz w:val="13"/>
                <w:szCs w:val="13"/>
                <w:color w:val="auto"/>
              </w:rPr>
              <w:t>114,352</w:t>
            </w:r>
          </w:p>
        </w:tc>
        <w:tc>
          <w:tcPr>
            <w:tcW w:w="760" w:type="dxa"/>
            <w:vAlign w:val="bottom"/>
          </w:tcPr>
          <w:p>
            <w:pPr>
              <w:spacing w:after="0"/>
              <w:rPr>
                <w:sz w:val="20"/>
                <w:szCs w:val="20"/>
                <w:color w:val="auto"/>
              </w:rPr>
            </w:pPr>
          </w:p>
        </w:tc>
        <w:tc>
          <w:tcPr>
            <w:tcW w:w="860" w:type="dxa"/>
            <w:vAlign w:val="bottom"/>
          </w:tcPr>
          <w:p>
            <w:pPr>
              <w:jc w:val="right"/>
              <w:ind w:right="161"/>
              <w:spacing w:after="0"/>
              <w:rPr>
                <w:sz w:val="20"/>
                <w:szCs w:val="20"/>
                <w:color w:val="auto"/>
              </w:rPr>
            </w:pPr>
            <w:r>
              <w:rPr>
                <w:rFonts w:ascii="Arial" w:cs="Arial" w:eastAsia="Arial" w:hAnsi="Arial"/>
                <w:sz w:val="13"/>
                <w:szCs w:val="13"/>
                <w:color w:val="auto"/>
              </w:rPr>
              <w:t>1,000,008</w:t>
            </w:r>
          </w:p>
        </w:tc>
      </w:tr>
      <w:tr>
        <w:trPr>
          <w:trHeight w:val="243"/>
        </w:trPr>
        <w:tc>
          <w:tcPr>
            <w:tcW w:w="1120" w:type="dxa"/>
            <w:vAlign w:val="bottom"/>
          </w:tcPr>
          <w:p>
            <w:pPr>
              <w:spacing w:after="0"/>
              <w:rPr>
                <w:sz w:val="21"/>
                <w:szCs w:val="21"/>
                <w:color w:val="auto"/>
              </w:rPr>
            </w:pPr>
          </w:p>
        </w:tc>
        <w:tc>
          <w:tcPr>
            <w:tcW w:w="1020" w:type="dxa"/>
            <w:vAlign w:val="bottom"/>
          </w:tcPr>
          <w:p>
            <w:pPr>
              <w:jc w:val="right"/>
              <w:ind w:right="116"/>
              <w:spacing w:after="0"/>
              <w:rPr>
                <w:sz w:val="20"/>
                <w:szCs w:val="20"/>
                <w:color w:val="auto"/>
              </w:rPr>
            </w:pPr>
            <w:r>
              <w:rPr>
                <w:rFonts w:ascii="Arial" w:cs="Arial" w:eastAsia="Arial" w:hAnsi="Arial"/>
                <w:sz w:val="13"/>
                <w:szCs w:val="13"/>
                <w:color w:val="auto"/>
              </w:rPr>
              <w:t>11/26/2023</w:t>
            </w:r>
          </w:p>
        </w:tc>
        <w:tc>
          <w:tcPr>
            <w:tcW w:w="6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jc w:val="right"/>
              <w:ind w:right="123"/>
              <w:spacing w:after="0"/>
              <w:rPr>
                <w:sz w:val="20"/>
                <w:szCs w:val="20"/>
                <w:color w:val="auto"/>
              </w:rPr>
            </w:pPr>
            <w:r>
              <w:rPr>
                <w:rFonts w:ascii="Arial" w:cs="Arial" w:eastAsia="Arial" w:hAnsi="Arial"/>
                <w:sz w:val="13"/>
                <w:szCs w:val="13"/>
                <w:color w:val="auto"/>
              </w:rPr>
              <w:t>57,176</w:t>
            </w:r>
          </w:p>
        </w:tc>
        <w:tc>
          <w:tcPr>
            <w:tcW w:w="860" w:type="dxa"/>
            <w:vAlign w:val="bottom"/>
          </w:tcPr>
          <w:p>
            <w:pPr>
              <w:jc w:val="right"/>
              <w:ind w:right="161"/>
              <w:spacing w:after="0"/>
              <w:rPr>
                <w:sz w:val="20"/>
                <w:szCs w:val="20"/>
                <w:color w:val="auto"/>
              </w:rPr>
            </w:pPr>
            <w:r>
              <w:rPr>
                <w:rFonts w:ascii="Arial" w:cs="Arial" w:eastAsia="Arial" w:hAnsi="Arial"/>
                <w:sz w:val="13"/>
                <w:szCs w:val="13"/>
                <w:color w:val="auto"/>
              </w:rPr>
              <w:t>1,000,008</w:t>
            </w:r>
          </w:p>
        </w:tc>
      </w:tr>
      <w:tr>
        <w:trPr>
          <w:trHeight w:val="28"/>
        </w:trPr>
        <w:tc>
          <w:tcPr>
            <w:tcW w:w="1120" w:type="dxa"/>
            <w:vAlign w:val="bottom"/>
            <w:tcBorders>
              <w:bottom w:val="single" w:sz="8" w:color="808080"/>
            </w:tcBorders>
          </w:tcPr>
          <w:p>
            <w:pPr>
              <w:spacing w:after="0"/>
              <w:rPr>
                <w:sz w:val="2"/>
                <w:szCs w:val="2"/>
                <w:color w:val="auto"/>
              </w:rPr>
            </w:pPr>
          </w:p>
        </w:tc>
        <w:tc>
          <w:tcPr>
            <w:tcW w:w="102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840" w:type="dxa"/>
            <w:vAlign w:val="bottom"/>
            <w:tcBorders>
              <w:bottom w:val="single" w:sz="8" w:color="808080"/>
            </w:tcBorders>
          </w:tcPr>
          <w:p>
            <w:pPr>
              <w:spacing w:after="0"/>
              <w:rPr>
                <w:sz w:val="2"/>
                <w:szCs w:val="2"/>
                <w:color w:val="auto"/>
              </w:rPr>
            </w:pPr>
          </w:p>
        </w:tc>
        <w:tc>
          <w:tcPr>
            <w:tcW w:w="780" w:type="dxa"/>
            <w:vAlign w:val="bottom"/>
            <w:tcBorders>
              <w:bottom w:val="single" w:sz="8" w:color="808080"/>
            </w:tcBorders>
          </w:tcPr>
          <w:p>
            <w:pPr>
              <w:spacing w:after="0"/>
              <w:rPr>
                <w:sz w:val="2"/>
                <w:szCs w:val="2"/>
                <w:color w:val="auto"/>
              </w:rPr>
            </w:pPr>
          </w:p>
        </w:tc>
        <w:tc>
          <w:tcPr>
            <w:tcW w:w="80" w:type="dxa"/>
            <w:vAlign w:val="bottom"/>
            <w:tcBorders>
              <w:bottom w:val="single" w:sz="8" w:color="808080"/>
            </w:tcBorders>
          </w:tcPr>
          <w:p>
            <w:pPr>
              <w:spacing w:after="0"/>
              <w:rPr>
                <w:sz w:val="2"/>
                <w:szCs w:val="2"/>
                <w:color w:val="auto"/>
              </w:rPr>
            </w:pPr>
          </w:p>
        </w:tc>
        <w:tc>
          <w:tcPr>
            <w:tcW w:w="780" w:type="dxa"/>
            <w:vAlign w:val="bottom"/>
            <w:tcBorders>
              <w:bottom w:val="single" w:sz="8" w:color="808080"/>
            </w:tcBorders>
          </w:tcPr>
          <w:p>
            <w:pPr>
              <w:spacing w:after="0"/>
              <w:rPr>
                <w:sz w:val="2"/>
                <w:szCs w:val="2"/>
                <w:color w:val="auto"/>
              </w:rPr>
            </w:pPr>
          </w:p>
        </w:tc>
        <w:tc>
          <w:tcPr>
            <w:tcW w:w="760" w:type="dxa"/>
            <w:vAlign w:val="bottom"/>
            <w:tcBorders>
              <w:bottom w:val="single" w:sz="8" w:color="808080"/>
            </w:tcBorders>
          </w:tcPr>
          <w:p>
            <w:pPr>
              <w:spacing w:after="0"/>
              <w:rPr>
                <w:sz w:val="2"/>
                <w:szCs w:val="2"/>
                <w:color w:val="auto"/>
              </w:rPr>
            </w:pPr>
          </w:p>
        </w:tc>
        <w:tc>
          <w:tcPr>
            <w:tcW w:w="740" w:type="dxa"/>
            <w:vAlign w:val="bottom"/>
            <w:tcBorders>
              <w:bottom w:val="single" w:sz="8" w:color="808080"/>
            </w:tcBorders>
          </w:tcPr>
          <w:p>
            <w:pPr>
              <w:spacing w:after="0"/>
              <w:rPr>
                <w:sz w:val="2"/>
                <w:szCs w:val="2"/>
                <w:color w:val="auto"/>
              </w:rPr>
            </w:pPr>
          </w:p>
        </w:tc>
        <w:tc>
          <w:tcPr>
            <w:tcW w:w="760" w:type="dxa"/>
            <w:vAlign w:val="bottom"/>
            <w:tcBorders>
              <w:bottom w:val="single" w:sz="8" w:color="808080"/>
            </w:tcBorders>
          </w:tcPr>
          <w:p>
            <w:pPr>
              <w:spacing w:after="0"/>
              <w:rPr>
                <w:sz w:val="2"/>
                <w:szCs w:val="2"/>
                <w:color w:val="auto"/>
              </w:rPr>
            </w:pPr>
          </w:p>
        </w:tc>
        <w:tc>
          <w:tcPr>
            <w:tcW w:w="860" w:type="dxa"/>
            <w:vAlign w:val="bottom"/>
            <w:tcBorders>
              <w:bottom w:val="single" w:sz="8" w:color="808080"/>
            </w:tcBorders>
          </w:tcPr>
          <w:p>
            <w:pPr>
              <w:spacing w:after="0"/>
              <w:rPr>
                <w:sz w:val="2"/>
                <w:szCs w:val="2"/>
                <w:color w:val="auto"/>
              </w:rPr>
            </w:pPr>
          </w:p>
        </w:tc>
      </w:tr>
      <w:tr>
        <w:trPr>
          <w:trHeight w:val="204"/>
        </w:trPr>
        <w:tc>
          <w:tcPr>
            <w:tcW w:w="1120" w:type="dxa"/>
            <w:vAlign w:val="bottom"/>
          </w:tcPr>
          <w:p>
            <w:pPr>
              <w:ind w:left="80"/>
              <w:spacing w:after="0"/>
              <w:rPr>
                <w:sz w:val="20"/>
                <w:szCs w:val="20"/>
                <w:color w:val="auto"/>
              </w:rPr>
            </w:pPr>
            <w:r>
              <w:rPr>
                <w:rFonts w:ascii="Arial" w:cs="Arial" w:eastAsia="Arial" w:hAnsi="Arial"/>
                <w:sz w:val="13"/>
                <w:szCs w:val="13"/>
                <w:b w:val="1"/>
                <w:bCs w:val="1"/>
                <w:color w:val="342C82"/>
              </w:rPr>
              <w:t>Shaun Curtis</w:t>
            </w:r>
          </w:p>
        </w:tc>
        <w:tc>
          <w:tcPr>
            <w:tcW w:w="10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auto"/>
              </w:rPr>
              <w:t>156,286</w:t>
            </w:r>
          </w:p>
        </w:tc>
        <w:tc>
          <w:tcPr>
            <w:tcW w:w="840" w:type="dxa"/>
            <w:vAlign w:val="bottom"/>
          </w:tcPr>
          <w:p>
            <w:pPr>
              <w:jc w:val="right"/>
              <w:ind w:right="118"/>
              <w:spacing w:after="0"/>
              <w:rPr>
                <w:sz w:val="20"/>
                <w:szCs w:val="20"/>
                <w:color w:val="auto"/>
              </w:rPr>
            </w:pPr>
            <w:r>
              <w:rPr>
                <w:rFonts w:ascii="Arial" w:cs="Arial" w:eastAsia="Arial" w:hAnsi="Arial"/>
                <w:sz w:val="13"/>
                <w:szCs w:val="13"/>
                <w:color w:val="auto"/>
              </w:rPr>
              <w:t>312,573</w:t>
            </w:r>
          </w:p>
        </w:tc>
        <w:tc>
          <w:tcPr>
            <w:tcW w:w="780" w:type="dxa"/>
            <w:vAlign w:val="bottom"/>
          </w:tcPr>
          <w:p>
            <w:pPr>
              <w:jc w:val="right"/>
              <w:ind w:right="58"/>
              <w:spacing w:after="0"/>
              <w:rPr>
                <w:sz w:val="20"/>
                <w:szCs w:val="20"/>
                <w:color w:val="auto"/>
              </w:rPr>
            </w:pPr>
            <w:r>
              <w:rPr>
                <w:rFonts w:ascii="Arial" w:cs="Arial" w:eastAsia="Arial" w:hAnsi="Arial"/>
                <w:sz w:val="13"/>
                <w:szCs w:val="13"/>
                <w:color w:val="auto"/>
              </w:rPr>
              <w:t>625,145</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5"/>
        </w:trPr>
        <w:tc>
          <w:tcPr>
            <w:tcW w:w="1120" w:type="dxa"/>
            <w:vAlign w:val="bottom"/>
          </w:tcPr>
          <w:p>
            <w:pPr>
              <w:spacing w:after="0"/>
              <w:rPr>
                <w:sz w:val="20"/>
                <w:szCs w:val="20"/>
                <w:color w:val="auto"/>
              </w:rPr>
            </w:pPr>
          </w:p>
        </w:tc>
        <w:tc>
          <w:tcPr>
            <w:tcW w:w="1020" w:type="dxa"/>
            <w:vAlign w:val="bottom"/>
          </w:tcPr>
          <w:p>
            <w:pPr>
              <w:jc w:val="right"/>
              <w:ind w:right="116"/>
              <w:spacing w:after="0"/>
              <w:rPr>
                <w:sz w:val="20"/>
                <w:szCs w:val="20"/>
                <w:color w:val="auto"/>
              </w:rPr>
            </w:pPr>
            <w:r>
              <w:rPr>
                <w:rFonts w:ascii="Arial" w:cs="Arial" w:eastAsia="Arial" w:hAnsi="Arial"/>
                <w:sz w:val="13"/>
                <w:szCs w:val="13"/>
                <w:color w:val="auto"/>
              </w:rPr>
              <w:t>11/26/2023</w:t>
            </w:r>
          </w:p>
        </w:tc>
        <w:tc>
          <w:tcPr>
            <w:tcW w:w="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ind w:right="101"/>
              <w:spacing w:after="0"/>
              <w:rPr>
                <w:sz w:val="20"/>
                <w:szCs w:val="20"/>
                <w:color w:val="auto"/>
              </w:rPr>
            </w:pPr>
            <w:r>
              <w:rPr>
                <w:rFonts w:ascii="Arial" w:cs="Arial" w:eastAsia="Arial" w:hAnsi="Arial"/>
                <w:sz w:val="13"/>
                <w:szCs w:val="13"/>
                <w:color w:val="auto"/>
              </w:rPr>
              <w:t>9,292</w:t>
            </w:r>
          </w:p>
        </w:tc>
        <w:tc>
          <w:tcPr>
            <w:tcW w:w="760" w:type="dxa"/>
            <w:vAlign w:val="bottom"/>
          </w:tcPr>
          <w:p>
            <w:pPr>
              <w:jc w:val="right"/>
              <w:ind w:right="158"/>
              <w:spacing w:after="0"/>
              <w:rPr>
                <w:sz w:val="20"/>
                <w:szCs w:val="20"/>
                <w:color w:val="auto"/>
              </w:rPr>
            </w:pPr>
            <w:r>
              <w:rPr>
                <w:rFonts w:ascii="Arial" w:cs="Arial" w:eastAsia="Arial" w:hAnsi="Arial"/>
                <w:sz w:val="13"/>
                <w:szCs w:val="13"/>
                <w:color w:val="auto"/>
              </w:rPr>
              <w:t>18,583</w:t>
            </w:r>
          </w:p>
        </w:tc>
        <w:tc>
          <w:tcPr>
            <w:tcW w:w="740" w:type="dxa"/>
            <w:vAlign w:val="bottom"/>
          </w:tcPr>
          <w:p>
            <w:pPr>
              <w:jc w:val="right"/>
              <w:ind w:right="118"/>
              <w:spacing w:after="0"/>
              <w:rPr>
                <w:sz w:val="20"/>
                <w:szCs w:val="20"/>
                <w:color w:val="auto"/>
              </w:rPr>
            </w:pPr>
            <w:r>
              <w:rPr>
                <w:rFonts w:ascii="Arial" w:cs="Arial" w:eastAsia="Arial" w:hAnsi="Arial"/>
                <w:sz w:val="13"/>
                <w:szCs w:val="13"/>
                <w:color w:val="auto"/>
              </w:rPr>
              <w:t>37,166</w:t>
            </w:r>
          </w:p>
        </w:tc>
        <w:tc>
          <w:tcPr>
            <w:tcW w:w="760" w:type="dxa"/>
            <w:vAlign w:val="bottom"/>
          </w:tcPr>
          <w:p>
            <w:pPr>
              <w:spacing w:after="0"/>
              <w:rPr>
                <w:sz w:val="20"/>
                <w:szCs w:val="20"/>
                <w:color w:val="auto"/>
              </w:rPr>
            </w:pPr>
          </w:p>
        </w:tc>
        <w:tc>
          <w:tcPr>
            <w:tcW w:w="860" w:type="dxa"/>
            <w:vAlign w:val="bottom"/>
          </w:tcPr>
          <w:p>
            <w:pPr>
              <w:jc w:val="right"/>
              <w:ind w:right="161"/>
              <w:spacing w:after="0"/>
              <w:rPr>
                <w:sz w:val="20"/>
                <w:szCs w:val="20"/>
                <w:color w:val="auto"/>
              </w:rPr>
            </w:pPr>
            <w:r>
              <w:rPr>
                <w:rFonts w:ascii="Arial" w:cs="Arial" w:eastAsia="Arial" w:hAnsi="Arial"/>
                <w:sz w:val="13"/>
                <w:szCs w:val="13"/>
                <w:color w:val="auto"/>
              </w:rPr>
              <w:t>325,017</w:t>
            </w:r>
          </w:p>
        </w:tc>
      </w:tr>
      <w:tr>
        <w:trPr>
          <w:trHeight w:val="243"/>
        </w:trPr>
        <w:tc>
          <w:tcPr>
            <w:tcW w:w="1120" w:type="dxa"/>
            <w:vAlign w:val="bottom"/>
          </w:tcPr>
          <w:p>
            <w:pPr>
              <w:spacing w:after="0"/>
              <w:rPr>
                <w:sz w:val="21"/>
                <w:szCs w:val="21"/>
                <w:color w:val="auto"/>
              </w:rPr>
            </w:pPr>
          </w:p>
        </w:tc>
        <w:tc>
          <w:tcPr>
            <w:tcW w:w="1020" w:type="dxa"/>
            <w:vAlign w:val="bottom"/>
          </w:tcPr>
          <w:p>
            <w:pPr>
              <w:jc w:val="right"/>
              <w:ind w:right="116"/>
              <w:spacing w:after="0"/>
              <w:rPr>
                <w:sz w:val="20"/>
                <w:szCs w:val="20"/>
                <w:color w:val="auto"/>
              </w:rPr>
            </w:pPr>
            <w:r>
              <w:rPr>
                <w:rFonts w:ascii="Arial" w:cs="Arial" w:eastAsia="Arial" w:hAnsi="Arial"/>
                <w:sz w:val="13"/>
                <w:szCs w:val="13"/>
                <w:color w:val="auto"/>
              </w:rPr>
              <w:t>11/26/2023</w:t>
            </w:r>
          </w:p>
        </w:tc>
        <w:tc>
          <w:tcPr>
            <w:tcW w:w="6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jc w:val="right"/>
              <w:ind w:right="123"/>
              <w:spacing w:after="0"/>
              <w:rPr>
                <w:sz w:val="20"/>
                <w:szCs w:val="20"/>
                <w:color w:val="auto"/>
              </w:rPr>
            </w:pPr>
            <w:r>
              <w:rPr>
                <w:rFonts w:ascii="Arial" w:cs="Arial" w:eastAsia="Arial" w:hAnsi="Arial"/>
                <w:sz w:val="13"/>
                <w:szCs w:val="13"/>
                <w:color w:val="auto"/>
              </w:rPr>
              <w:t>18,583</w:t>
            </w:r>
          </w:p>
        </w:tc>
        <w:tc>
          <w:tcPr>
            <w:tcW w:w="860" w:type="dxa"/>
            <w:vAlign w:val="bottom"/>
          </w:tcPr>
          <w:p>
            <w:pPr>
              <w:jc w:val="right"/>
              <w:ind w:right="161"/>
              <w:spacing w:after="0"/>
              <w:rPr>
                <w:sz w:val="20"/>
                <w:szCs w:val="20"/>
                <w:color w:val="auto"/>
              </w:rPr>
            </w:pPr>
            <w:r>
              <w:rPr>
                <w:rFonts w:ascii="Arial" w:cs="Arial" w:eastAsia="Arial" w:hAnsi="Arial"/>
                <w:sz w:val="13"/>
                <w:szCs w:val="13"/>
                <w:color w:val="auto"/>
              </w:rPr>
              <w:t>325,017</w:t>
            </w:r>
          </w:p>
        </w:tc>
      </w:tr>
      <w:tr>
        <w:trPr>
          <w:trHeight w:val="28"/>
        </w:trPr>
        <w:tc>
          <w:tcPr>
            <w:tcW w:w="1120" w:type="dxa"/>
            <w:vAlign w:val="bottom"/>
            <w:tcBorders>
              <w:bottom w:val="single" w:sz="8" w:color="808080"/>
            </w:tcBorders>
          </w:tcPr>
          <w:p>
            <w:pPr>
              <w:spacing w:after="0"/>
              <w:rPr>
                <w:sz w:val="2"/>
                <w:szCs w:val="2"/>
                <w:color w:val="auto"/>
              </w:rPr>
            </w:pPr>
          </w:p>
        </w:tc>
        <w:tc>
          <w:tcPr>
            <w:tcW w:w="102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840" w:type="dxa"/>
            <w:vAlign w:val="bottom"/>
            <w:tcBorders>
              <w:bottom w:val="single" w:sz="8" w:color="808080"/>
            </w:tcBorders>
          </w:tcPr>
          <w:p>
            <w:pPr>
              <w:spacing w:after="0"/>
              <w:rPr>
                <w:sz w:val="2"/>
                <w:szCs w:val="2"/>
                <w:color w:val="auto"/>
              </w:rPr>
            </w:pPr>
          </w:p>
        </w:tc>
        <w:tc>
          <w:tcPr>
            <w:tcW w:w="780" w:type="dxa"/>
            <w:vAlign w:val="bottom"/>
            <w:tcBorders>
              <w:bottom w:val="single" w:sz="8" w:color="808080"/>
            </w:tcBorders>
          </w:tcPr>
          <w:p>
            <w:pPr>
              <w:spacing w:after="0"/>
              <w:rPr>
                <w:sz w:val="2"/>
                <w:szCs w:val="2"/>
                <w:color w:val="auto"/>
              </w:rPr>
            </w:pPr>
          </w:p>
        </w:tc>
        <w:tc>
          <w:tcPr>
            <w:tcW w:w="80" w:type="dxa"/>
            <w:vAlign w:val="bottom"/>
            <w:tcBorders>
              <w:bottom w:val="single" w:sz="8" w:color="808080"/>
            </w:tcBorders>
          </w:tcPr>
          <w:p>
            <w:pPr>
              <w:spacing w:after="0"/>
              <w:rPr>
                <w:sz w:val="2"/>
                <w:szCs w:val="2"/>
                <w:color w:val="auto"/>
              </w:rPr>
            </w:pPr>
          </w:p>
        </w:tc>
        <w:tc>
          <w:tcPr>
            <w:tcW w:w="780" w:type="dxa"/>
            <w:vAlign w:val="bottom"/>
            <w:tcBorders>
              <w:bottom w:val="single" w:sz="8" w:color="808080"/>
            </w:tcBorders>
          </w:tcPr>
          <w:p>
            <w:pPr>
              <w:spacing w:after="0"/>
              <w:rPr>
                <w:sz w:val="2"/>
                <w:szCs w:val="2"/>
                <w:color w:val="auto"/>
              </w:rPr>
            </w:pPr>
          </w:p>
        </w:tc>
        <w:tc>
          <w:tcPr>
            <w:tcW w:w="760" w:type="dxa"/>
            <w:vAlign w:val="bottom"/>
            <w:tcBorders>
              <w:bottom w:val="single" w:sz="8" w:color="808080"/>
            </w:tcBorders>
          </w:tcPr>
          <w:p>
            <w:pPr>
              <w:spacing w:after="0"/>
              <w:rPr>
                <w:sz w:val="2"/>
                <w:szCs w:val="2"/>
                <w:color w:val="auto"/>
              </w:rPr>
            </w:pPr>
          </w:p>
        </w:tc>
        <w:tc>
          <w:tcPr>
            <w:tcW w:w="740" w:type="dxa"/>
            <w:vAlign w:val="bottom"/>
            <w:tcBorders>
              <w:bottom w:val="single" w:sz="8" w:color="808080"/>
            </w:tcBorders>
          </w:tcPr>
          <w:p>
            <w:pPr>
              <w:spacing w:after="0"/>
              <w:rPr>
                <w:sz w:val="2"/>
                <w:szCs w:val="2"/>
                <w:color w:val="auto"/>
              </w:rPr>
            </w:pPr>
          </w:p>
        </w:tc>
        <w:tc>
          <w:tcPr>
            <w:tcW w:w="760" w:type="dxa"/>
            <w:vAlign w:val="bottom"/>
            <w:tcBorders>
              <w:bottom w:val="single" w:sz="8" w:color="808080"/>
            </w:tcBorders>
          </w:tcPr>
          <w:p>
            <w:pPr>
              <w:spacing w:after="0"/>
              <w:rPr>
                <w:sz w:val="2"/>
                <w:szCs w:val="2"/>
                <w:color w:val="auto"/>
              </w:rPr>
            </w:pPr>
          </w:p>
        </w:tc>
        <w:tc>
          <w:tcPr>
            <w:tcW w:w="860" w:type="dxa"/>
            <w:vAlign w:val="bottom"/>
            <w:tcBorders>
              <w:bottom w:val="single" w:sz="8" w:color="808080"/>
            </w:tcBorders>
          </w:tcPr>
          <w:p>
            <w:pPr>
              <w:spacing w:after="0"/>
              <w:rPr>
                <w:sz w:val="2"/>
                <w:szCs w:val="2"/>
                <w:color w:val="auto"/>
              </w:rPr>
            </w:pPr>
          </w:p>
        </w:tc>
      </w:tr>
      <w:tr>
        <w:trPr>
          <w:trHeight w:val="204"/>
        </w:trPr>
        <w:tc>
          <w:tcPr>
            <w:tcW w:w="1120" w:type="dxa"/>
            <w:vAlign w:val="bottom"/>
          </w:tcPr>
          <w:p>
            <w:pPr>
              <w:ind w:left="80"/>
              <w:spacing w:after="0"/>
              <w:rPr>
                <w:sz w:val="20"/>
                <w:szCs w:val="20"/>
                <w:color w:val="auto"/>
              </w:rPr>
            </w:pPr>
            <w:r>
              <w:rPr>
                <w:rFonts w:ascii="Arial" w:cs="Arial" w:eastAsia="Arial" w:hAnsi="Arial"/>
                <w:sz w:val="13"/>
                <w:szCs w:val="13"/>
                <w:b w:val="1"/>
                <w:bCs w:val="1"/>
                <w:color w:val="342C82"/>
              </w:rPr>
              <w:t>Jeff Mann</w:t>
            </w:r>
          </w:p>
        </w:tc>
        <w:tc>
          <w:tcPr>
            <w:tcW w:w="10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auto"/>
              </w:rPr>
              <w:t>171,000</w:t>
            </w:r>
          </w:p>
        </w:tc>
        <w:tc>
          <w:tcPr>
            <w:tcW w:w="840" w:type="dxa"/>
            <w:vAlign w:val="bottom"/>
          </w:tcPr>
          <w:p>
            <w:pPr>
              <w:jc w:val="right"/>
              <w:ind w:right="118"/>
              <w:spacing w:after="0"/>
              <w:rPr>
                <w:sz w:val="20"/>
                <w:szCs w:val="20"/>
                <w:color w:val="auto"/>
              </w:rPr>
            </w:pPr>
            <w:r>
              <w:rPr>
                <w:rFonts w:ascii="Arial" w:cs="Arial" w:eastAsia="Arial" w:hAnsi="Arial"/>
                <w:sz w:val="13"/>
                <w:szCs w:val="13"/>
                <w:color w:val="auto"/>
              </w:rPr>
              <w:t>342,000</w:t>
            </w:r>
          </w:p>
        </w:tc>
        <w:tc>
          <w:tcPr>
            <w:tcW w:w="780" w:type="dxa"/>
            <w:vAlign w:val="bottom"/>
          </w:tcPr>
          <w:p>
            <w:pPr>
              <w:jc w:val="right"/>
              <w:ind w:right="58"/>
              <w:spacing w:after="0"/>
              <w:rPr>
                <w:sz w:val="20"/>
                <w:szCs w:val="20"/>
                <w:color w:val="auto"/>
              </w:rPr>
            </w:pPr>
            <w:r>
              <w:rPr>
                <w:rFonts w:ascii="Arial" w:cs="Arial" w:eastAsia="Arial" w:hAnsi="Arial"/>
                <w:sz w:val="13"/>
                <w:szCs w:val="13"/>
                <w:color w:val="auto"/>
              </w:rPr>
              <w:t>684,000</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5"/>
        </w:trPr>
        <w:tc>
          <w:tcPr>
            <w:tcW w:w="1120" w:type="dxa"/>
            <w:vAlign w:val="bottom"/>
          </w:tcPr>
          <w:p>
            <w:pPr>
              <w:spacing w:after="0"/>
              <w:rPr>
                <w:sz w:val="20"/>
                <w:szCs w:val="20"/>
                <w:color w:val="auto"/>
              </w:rPr>
            </w:pPr>
          </w:p>
        </w:tc>
        <w:tc>
          <w:tcPr>
            <w:tcW w:w="1020" w:type="dxa"/>
            <w:vAlign w:val="bottom"/>
          </w:tcPr>
          <w:p>
            <w:pPr>
              <w:jc w:val="right"/>
              <w:ind w:right="116"/>
              <w:spacing w:after="0"/>
              <w:rPr>
                <w:sz w:val="20"/>
                <w:szCs w:val="20"/>
                <w:color w:val="auto"/>
              </w:rPr>
            </w:pPr>
            <w:r>
              <w:rPr>
                <w:rFonts w:ascii="Arial" w:cs="Arial" w:eastAsia="Arial" w:hAnsi="Arial"/>
                <w:sz w:val="13"/>
                <w:szCs w:val="13"/>
                <w:color w:val="auto"/>
              </w:rPr>
              <w:t>11/26/2023</w:t>
            </w:r>
          </w:p>
        </w:tc>
        <w:tc>
          <w:tcPr>
            <w:tcW w:w="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ind w:right="101"/>
              <w:spacing w:after="0"/>
              <w:rPr>
                <w:sz w:val="20"/>
                <w:szCs w:val="20"/>
                <w:color w:val="auto"/>
              </w:rPr>
            </w:pPr>
            <w:r>
              <w:rPr>
                <w:rFonts w:ascii="Arial" w:cs="Arial" w:eastAsia="Arial" w:hAnsi="Arial"/>
                <w:sz w:val="13"/>
                <w:szCs w:val="13"/>
                <w:color w:val="auto"/>
              </w:rPr>
              <w:t>22,871</w:t>
            </w:r>
          </w:p>
        </w:tc>
        <w:tc>
          <w:tcPr>
            <w:tcW w:w="760" w:type="dxa"/>
            <w:vAlign w:val="bottom"/>
          </w:tcPr>
          <w:p>
            <w:pPr>
              <w:jc w:val="right"/>
              <w:ind w:right="158"/>
              <w:spacing w:after="0"/>
              <w:rPr>
                <w:sz w:val="20"/>
                <w:szCs w:val="20"/>
                <w:color w:val="auto"/>
              </w:rPr>
            </w:pPr>
            <w:r>
              <w:rPr>
                <w:rFonts w:ascii="Arial" w:cs="Arial" w:eastAsia="Arial" w:hAnsi="Arial"/>
                <w:sz w:val="13"/>
                <w:szCs w:val="13"/>
                <w:color w:val="auto"/>
              </w:rPr>
              <w:t>45,741</w:t>
            </w:r>
          </w:p>
        </w:tc>
        <w:tc>
          <w:tcPr>
            <w:tcW w:w="740" w:type="dxa"/>
            <w:vAlign w:val="bottom"/>
          </w:tcPr>
          <w:p>
            <w:pPr>
              <w:jc w:val="right"/>
              <w:ind w:right="118"/>
              <w:spacing w:after="0"/>
              <w:rPr>
                <w:sz w:val="20"/>
                <w:szCs w:val="20"/>
                <w:color w:val="auto"/>
              </w:rPr>
            </w:pPr>
            <w:r>
              <w:rPr>
                <w:rFonts w:ascii="Arial" w:cs="Arial" w:eastAsia="Arial" w:hAnsi="Arial"/>
                <w:sz w:val="13"/>
                <w:szCs w:val="13"/>
                <w:color w:val="auto"/>
              </w:rPr>
              <w:t>91,482</w:t>
            </w:r>
          </w:p>
        </w:tc>
        <w:tc>
          <w:tcPr>
            <w:tcW w:w="760" w:type="dxa"/>
            <w:vAlign w:val="bottom"/>
          </w:tcPr>
          <w:p>
            <w:pPr>
              <w:spacing w:after="0"/>
              <w:rPr>
                <w:sz w:val="20"/>
                <w:szCs w:val="20"/>
                <w:color w:val="auto"/>
              </w:rPr>
            </w:pPr>
          </w:p>
        </w:tc>
        <w:tc>
          <w:tcPr>
            <w:tcW w:w="860" w:type="dxa"/>
            <w:vAlign w:val="bottom"/>
          </w:tcPr>
          <w:p>
            <w:pPr>
              <w:jc w:val="right"/>
              <w:ind w:right="161"/>
              <w:spacing w:after="0"/>
              <w:rPr>
                <w:sz w:val="20"/>
                <w:szCs w:val="20"/>
                <w:color w:val="auto"/>
              </w:rPr>
            </w:pPr>
            <w:r>
              <w:rPr>
                <w:rFonts w:ascii="Arial" w:cs="Arial" w:eastAsia="Arial" w:hAnsi="Arial"/>
                <w:sz w:val="13"/>
                <w:szCs w:val="13"/>
                <w:color w:val="auto"/>
              </w:rPr>
              <w:t>800,010</w:t>
            </w:r>
          </w:p>
        </w:tc>
      </w:tr>
      <w:tr>
        <w:trPr>
          <w:trHeight w:val="243"/>
        </w:trPr>
        <w:tc>
          <w:tcPr>
            <w:tcW w:w="1120" w:type="dxa"/>
            <w:vAlign w:val="bottom"/>
          </w:tcPr>
          <w:p>
            <w:pPr>
              <w:spacing w:after="0"/>
              <w:rPr>
                <w:sz w:val="21"/>
                <w:szCs w:val="21"/>
                <w:color w:val="auto"/>
              </w:rPr>
            </w:pPr>
          </w:p>
        </w:tc>
        <w:tc>
          <w:tcPr>
            <w:tcW w:w="1020" w:type="dxa"/>
            <w:vAlign w:val="bottom"/>
          </w:tcPr>
          <w:p>
            <w:pPr>
              <w:jc w:val="right"/>
              <w:ind w:right="116"/>
              <w:spacing w:after="0"/>
              <w:rPr>
                <w:sz w:val="20"/>
                <w:szCs w:val="20"/>
                <w:color w:val="auto"/>
              </w:rPr>
            </w:pPr>
            <w:r>
              <w:rPr>
                <w:rFonts w:ascii="Arial" w:cs="Arial" w:eastAsia="Arial" w:hAnsi="Arial"/>
                <w:sz w:val="13"/>
                <w:szCs w:val="13"/>
                <w:color w:val="auto"/>
              </w:rPr>
              <w:t>11/26/2023</w:t>
            </w:r>
          </w:p>
        </w:tc>
        <w:tc>
          <w:tcPr>
            <w:tcW w:w="6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jc w:val="right"/>
              <w:ind w:right="123"/>
              <w:spacing w:after="0"/>
              <w:rPr>
                <w:sz w:val="20"/>
                <w:szCs w:val="20"/>
                <w:color w:val="auto"/>
              </w:rPr>
            </w:pPr>
            <w:r>
              <w:rPr>
                <w:rFonts w:ascii="Arial" w:cs="Arial" w:eastAsia="Arial" w:hAnsi="Arial"/>
                <w:sz w:val="13"/>
                <w:szCs w:val="13"/>
                <w:color w:val="auto"/>
              </w:rPr>
              <w:t>45,741</w:t>
            </w:r>
          </w:p>
        </w:tc>
        <w:tc>
          <w:tcPr>
            <w:tcW w:w="860" w:type="dxa"/>
            <w:vAlign w:val="bottom"/>
          </w:tcPr>
          <w:p>
            <w:pPr>
              <w:jc w:val="right"/>
              <w:ind w:right="161"/>
              <w:spacing w:after="0"/>
              <w:rPr>
                <w:sz w:val="20"/>
                <w:szCs w:val="20"/>
                <w:color w:val="auto"/>
              </w:rPr>
            </w:pPr>
            <w:r>
              <w:rPr>
                <w:rFonts w:ascii="Arial" w:cs="Arial" w:eastAsia="Arial" w:hAnsi="Arial"/>
                <w:sz w:val="13"/>
                <w:szCs w:val="13"/>
                <w:color w:val="auto"/>
              </w:rPr>
              <w:t>800,010</w:t>
            </w:r>
          </w:p>
        </w:tc>
      </w:tr>
      <w:tr>
        <w:trPr>
          <w:trHeight w:val="28"/>
        </w:trPr>
        <w:tc>
          <w:tcPr>
            <w:tcW w:w="1120" w:type="dxa"/>
            <w:vAlign w:val="bottom"/>
            <w:tcBorders>
              <w:bottom w:val="single" w:sz="8" w:color="808080"/>
            </w:tcBorders>
          </w:tcPr>
          <w:p>
            <w:pPr>
              <w:spacing w:after="0"/>
              <w:rPr>
                <w:sz w:val="2"/>
                <w:szCs w:val="2"/>
                <w:color w:val="auto"/>
              </w:rPr>
            </w:pPr>
          </w:p>
        </w:tc>
        <w:tc>
          <w:tcPr>
            <w:tcW w:w="102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840" w:type="dxa"/>
            <w:vAlign w:val="bottom"/>
            <w:tcBorders>
              <w:bottom w:val="single" w:sz="8" w:color="808080"/>
            </w:tcBorders>
          </w:tcPr>
          <w:p>
            <w:pPr>
              <w:spacing w:after="0"/>
              <w:rPr>
                <w:sz w:val="2"/>
                <w:szCs w:val="2"/>
                <w:color w:val="auto"/>
              </w:rPr>
            </w:pPr>
          </w:p>
        </w:tc>
        <w:tc>
          <w:tcPr>
            <w:tcW w:w="780" w:type="dxa"/>
            <w:vAlign w:val="bottom"/>
            <w:tcBorders>
              <w:bottom w:val="single" w:sz="8" w:color="808080"/>
            </w:tcBorders>
          </w:tcPr>
          <w:p>
            <w:pPr>
              <w:spacing w:after="0"/>
              <w:rPr>
                <w:sz w:val="2"/>
                <w:szCs w:val="2"/>
                <w:color w:val="auto"/>
              </w:rPr>
            </w:pPr>
          </w:p>
        </w:tc>
        <w:tc>
          <w:tcPr>
            <w:tcW w:w="80" w:type="dxa"/>
            <w:vAlign w:val="bottom"/>
            <w:tcBorders>
              <w:bottom w:val="single" w:sz="8" w:color="808080"/>
            </w:tcBorders>
          </w:tcPr>
          <w:p>
            <w:pPr>
              <w:spacing w:after="0"/>
              <w:rPr>
                <w:sz w:val="2"/>
                <w:szCs w:val="2"/>
                <w:color w:val="auto"/>
              </w:rPr>
            </w:pPr>
          </w:p>
        </w:tc>
        <w:tc>
          <w:tcPr>
            <w:tcW w:w="780" w:type="dxa"/>
            <w:vAlign w:val="bottom"/>
            <w:tcBorders>
              <w:bottom w:val="single" w:sz="8" w:color="808080"/>
            </w:tcBorders>
          </w:tcPr>
          <w:p>
            <w:pPr>
              <w:spacing w:after="0"/>
              <w:rPr>
                <w:sz w:val="2"/>
                <w:szCs w:val="2"/>
                <w:color w:val="auto"/>
              </w:rPr>
            </w:pPr>
          </w:p>
        </w:tc>
        <w:tc>
          <w:tcPr>
            <w:tcW w:w="760" w:type="dxa"/>
            <w:vAlign w:val="bottom"/>
            <w:tcBorders>
              <w:bottom w:val="single" w:sz="8" w:color="808080"/>
            </w:tcBorders>
          </w:tcPr>
          <w:p>
            <w:pPr>
              <w:spacing w:after="0"/>
              <w:rPr>
                <w:sz w:val="2"/>
                <w:szCs w:val="2"/>
                <w:color w:val="auto"/>
              </w:rPr>
            </w:pPr>
          </w:p>
        </w:tc>
        <w:tc>
          <w:tcPr>
            <w:tcW w:w="740" w:type="dxa"/>
            <w:vAlign w:val="bottom"/>
            <w:tcBorders>
              <w:bottom w:val="single" w:sz="8" w:color="808080"/>
            </w:tcBorders>
          </w:tcPr>
          <w:p>
            <w:pPr>
              <w:spacing w:after="0"/>
              <w:rPr>
                <w:sz w:val="2"/>
                <w:szCs w:val="2"/>
                <w:color w:val="auto"/>
              </w:rPr>
            </w:pPr>
          </w:p>
        </w:tc>
        <w:tc>
          <w:tcPr>
            <w:tcW w:w="760" w:type="dxa"/>
            <w:vAlign w:val="bottom"/>
            <w:tcBorders>
              <w:bottom w:val="single" w:sz="8" w:color="808080"/>
            </w:tcBorders>
          </w:tcPr>
          <w:p>
            <w:pPr>
              <w:spacing w:after="0"/>
              <w:rPr>
                <w:sz w:val="2"/>
                <w:szCs w:val="2"/>
                <w:color w:val="auto"/>
              </w:rPr>
            </w:pPr>
          </w:p>
        </w:tc>
        <w:tc>
          <w:tcPr>
            <w:tcW w:w="860" w:type="dxa"/>
            <w:vAlign w:val="bottom"/>
            <w:tcBorders>
              <w:bottom w:val="single" w:sz="8" w:color="808080"/>
            </w:tcBorders>
          </w:tcPr>
          <w:p>
            <w:pPr>
              <w:spacing w:after="0"/>
              <w:rPr>
                <w:sz w:val="2"/>
                <w:szCs w:val="2"/>
                <w:color w:val="auto"/>
              </w:rPr>
            </w:pPr>
          </w:p>
        </w:tc>
      </w:tr>
      <w:tr>
        <w:trPr>
          <w:trHeight w:val="203"/>
        </w:trPr>
        <w:tc>
          <w:tcPr>
            <w:tcW w:w="1120" w:type="dxa"/>
            <w:vAlign w:val="bottom"/>
          </w:tcPr>
          <w:p>
            <w:pPr>
              <w:ind w:left="80"/>
              <w:spacing w:after="0"/>
              <w:rPr>
                <w:sz w:val="20"/>
                <w:szCs w:val="20"/>
                <w:color w:val="auto"/>
              </w:rPr>
            </w:pPr>
            <w:r>
              <w:rPr>
                <w:rFonts w:ascii="Arial" w:cs="Arial" w:eastAsia="Arial" w:hAnsi="Arial"/>
                <w:sz w:val="13"/>
                <w:szCs w:val="13"/>
                <w:b w:val="1"/>
                <w:bCs w:val="1"/>
                <w:color w:val="342C82"/>
              </w:rPr>
              <w:t>Jean Casner</w:t>
            </w:r>
          </w:p>
        </w:tc>
        <w:tc>
          <w:tcPr>
            <w:tcW w:w="10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auto"/>
              </w:rPr>
              <w:t>139,500</w:t>
            </w:r>
          </w:p>
        </w:tc>
        <w:tc>
          <w:tcPr>
            <w:tcW w:w="840" w:type="dxa"/>
            <w:vAlign w:val="bottom"/>
          </w:tcPr>
          <w:p>
            <w:pPr>
              <w:jc w:val="right"/>
              <w:ind w:right="118"/>
              <w:spacing w:after="0"/>
              <w:rPr>
                <w:sz w:val="20"/>
                <w:szCs w:val="20"/>
                <w:color w:val="auto"/>
              </w:rPr>
            </w:pPr>
            <w:r>
              <w:rPr>
                <w:rFonts w:ascii="Arial" w:cs="Arial" w:eastAsia="Arial" w:hAnsi="Arial"/>
                <w:sz w:val="13"/>
                <w:szCs w:val="13"/>
                <w:color w:val="auto"/>
              </w:rPr>
              <w:t>279,000</w:t>
            </w:r>
          </w:p>
        </w:tc>
        <w:tc>
          <w:tcPr>
            <w:tcW w:w="780" w:type="dxa"/>
            <w:vAlign w:val="bottom"/>
          </w:tcPr>
          <w:p>
            <w:pPr>
              <w:jc w:val="right"/>
              <w:ind w:right="58"/>
              <w:spacing w:after="0"/>
              <w:rPr>
                <w:sz w:val="20"/>
                <w:szCs w:val="20"/>
                <w:color w:val="auto"/>
              </w:rPr>
            </w:pPr>
            <w:r>
              <w:rPr>
                <w:rFonts w:ascii="Arial" w:cs="Arial" w:eastAsia="Arial" w:hAnsi="Arial"/>
                <w:sz w:val="13"/>
                <w:szCs w:val="13"/>
                <w:color w:val="auto"/>
              </w:rPr>
              <w:t>558,000</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5"/>
        </w:trPr>
        <w:tc>
          <w:tcPr>
            <w:tcW w:w="1120" w:type="dxa"/>
            <w:vAlign w:val="bottom"/>
          </w:tcPr>
          <w:p>
            <w:pPr>
              <w:spacing w:after="0"/>
              <w:rPr>
                <w:sz w:val="20"/>
                <w:szCs w:val="20"/>
                <w:color w:val="auto"/>
              </w:rPr>
            </w:pPr>
          </w:p>
        </w:tc>
        <w:tc>
          <w:tcPr>
            <w:tcW w:w="1020" w:type="dxa"/>
            <w:vAlign w:val="bottom"/>
          </w:tcPr>
          <w:p>
            <w:pPr>
              <w:jc w:val="right"/>
              <w:ind w:right="116"/>
              <w:spacing w:after="0"/>
              <w:rPr>
                <w:sz w:val="20"/>
                <w:szCs w:val="20"/>
                <w:color w:val="auto"/>
              </w:rPr>
            </w:pPr>
            <w:r>
              <w:rPr>
                <w:rFonts w:ascii="Arial" w:cs="Arial" w:eastAsia="Arial" w:hAnsi="Arial"/>
                <w:sz w:val="13"/>
                <w:szCs w:val="13"/>
                <w:color w:val="auto"/>
              </w:rPr>
              <w:t>11/26/2023</w:t>
            </w:r>
          </w:p>
        </w:tc>
        <w:tc>
          <w:tcPr>
            <w:tcW w:w="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ind w:right="101"/>
              <w:spacing w:after="0"/>
              <w:rPr>
                <w:sz w:val="20"/>
                <w:szCs w:val="20"/>
                <w:color w:val="auto"/>
              </w:rPr>
            </w:pPr>
            <w:r>
              <w:rPr>
                <w:rFonts w:ascii="Arial" w:cs="Arial" w:eastAsia="Arial" w:hAnsi="Arial"/>
                <w:sz w:val="13"/>
                <w:szCs w:val="13"/>
                <w:color w:val="auto"/>
              </w:rPr>
              <w:t>7,576</w:t>
            </w:r>
          </w:p>
        </w:tc>
        <w:tc>
          <w:tcPr>
            <w:tcW w:w="760" w:type="dxa"/>
            <w:vAlign w:val="bottom"/>
          </w:tcPr>
          <w:p>
            <w:pPr>
              <w:jc w:val="right"/>
              <w:ind w:right="158"/>
              <w:spacing w:after="0"/>
              <w:rPr>
                <w:sz w:val="20"/>
                <w:szCs w:val="20"/>
                <w:color w:val="auto"/>
              </w:rPr>
            </w:pPr>
            <w:r>
              <w:rPr>
                <w:rFonts w:ascii="Arial" w:cs="Arial" w:eastAsia="Arial" w:hAnsi="Arial"/>
                <w:sz w:val="13"/>
                <w:szCs w:val="13"/>
                <w:color w:val="auto"/>
              </w:rPr>
              <w:t>15,152</w:t>
            </w:r>
          </w:p>
        </w:tc>
        <w:tc>
          <w:tcPr>
            <w:tcW w:w="740" w:type="dxa"/>
            <w:vAlign w:val="bottom"/>
          </w:tcPr>
          <w:p>
            <w:pPr>
              <w:jc w:val="right"/>
              <w:ind w:right="118"/>
              <w:spacing w:after="0"/>
              <w:rPr>
                <w:sz w:val="20"/>
                <w:szCs w:val="20"/>
                <w:color w:val="auto"/>
              </w:rPr>
            </w:pPr>
            <w:r>
              <w:rPr>
                <w:rFonts w:ascii="Arial" w:cs="Arial" w:eastAsia="Arial" w:hAnsi="Arial"/>
                <w:sz w:val="13"/>
                <w:szCs w:val="13"/>
                <w:color w:val="auto"/>
              </w:rPr>
              <w:t>30,304</w:t>
            </w:r>
          </w:p>
        </w:tc>
        <w:tc>
          <w:tcPr>
            <w:tcW w:w="760" w:type="dxa"/>
            <w:vAlign w:val="bottom"/>
          </w:tcPr>
          <w:p>
            <w:pPr>
              <w:spacing w:after="0"/>
              <w:rPr>
                <w:sz w:val="20"/>
                <w:szCs w:val="20"/>
                <w:color w:val="auto"/>
              </w:rPr>
            </w:pPr>
          </w:p>
        </w:tc>
        <w:tc>
          <w:tcPr>
            <w:tcW w:w="860" w:type="dxa"/>
            <w:vAlign w:val="bottom"/>
          </w:tcPr>
          <w:p>
            <w:pPr>
              <w:jc w:val="right"/>
              <w:ind w:right="161"/>
              <w:spacing w:after="0"/>
              <w:rPr>
                <w:sz w:val="20"/>
                <w:szCs w:val="20"/>
                <w:color w:val="auto"/>
              </w:rPr>
            </w:pPr>
            <w:r>
              <w:rPr>
                <w:rFonts w:ascii="Arial" w:cs="Arial" w:eastAsia="Arial" w:hAnsi="Arial"/>
                <w:sz w:val="13"/>
                <w:szCs w:val="13"/>
                <w:color w:val="auto"/>
              </w:rPr>
              <w:t>265,008</w:t>
            </w:r>
          </w:p>
        </w:tc>
      </w:tr>
      <w:tr>
        <w:trPr>
          <w:trHeight w:val="250"/>
        </w:trPr>
        <w:tc>
          <w:tcPr>
            <w:tcW w:w="1120" w:type="dxa"/>
            <w:vAlign w:val="bottom"/>
            <w:tcBorders>
              <w:bottom w:val="single" w:sz="8" w:color="342C82"/>
            </w:tcBorders>
          </w:tcPr>
          <w:p>
            <w:pPr>
              <w:spacing w:after="0"/>
              <w:rPr>
                <w:sz w:val="21"/>
                <w:szCs w:val="21"/>
                <w:color w:val="auto"/>
              </w:rPr>
            </w:pPr>
          </w:p>
        </w:tc>
        <w:tc>
          <w:tcPr>
            <w:tcW w:w="1020" w:type="dxa"/>
            <w:vAlign w:val="bottom"/>
            <w:tcBorders>
              <w:bottom w:val="single" w:sz="8" w:color="342C82"/>
            </w:tcBorders>
          </w:tcPr>
          <w:p>
            <w:pPr>
              <w:jc w:val="right"/>
              <w:ind w:right="116"/>
              <w:spacing w:after="0"/>
              <w:rPr>
                <w:sz w:val="20"/>
                <w:szCs w:val="20"/>
                <w:color w:val="auto"/>
              </w:rPr>
            </w:pPr>
            <w:r>
              <w:rPr>
                <w:rFonts w:ascii="Arial" w:cs="Arial" w:eastAsia="Arial" w:hAnsi="Arial"/>
                <w:sz w:val="13"/>
                <w:szCs w:val="13"/>
                <w:color w:val="auto"/>
              </w:rPr>
              <w:t>11/26/2023</w:t>
            </w:r>
          </w:p>
        </w:tc>
        <w:tc>
          <w:tcPr>
            <w:tcW w:w="680" w:type="dxa"/>
            <w:vAlign w:val="bottom"/>
            <w:tcBorders>
              <w:bottom w:val="single" w:sz="8" w:color="342C82"/>
            </w:tcBorders>
          </w:tcPr>
          <w:p>
            <w:pPr>
              <w:spacing w:after="0"/>
              <w:rPr>
                <w:sz w:val="21"/>
                <w:szCs w:val="21"/>
                <w:color w:val="auto"/>
              </w:rPr>
            </w:pPr>
          </w:p>
        </w:tc>
        <w:tc>
          <w:tcPr>
            <w:tcW w:w="840" w:type="dxa"/>
            <w:vAlign w:val="bottom"/>
            <w:tcBorders>
              <w:bottom w:val="single" w:sz="8" w:color="342C82"/>
            </w:tcBorders>
          </w:tcPr>
          <w:p>
            <w:pPr>
              <w:spacing w:after="0"/>
              <w:rPr>
                <w:sz w:val="21"/>
                <w:szCs w:val="21"/>
                <w:color w:val="auto"/>
              </w:rPr>
            </w:pPr>
          </w:p>
        </w:tc>
        <w:tc>
          <w:tcPr>
            <w:tcW w:w="780" w:type="dxa"/>
            <w:vAlign w:val="bottom"/>
            <w:tcBorders>
              <w:bottom w:val="single" w:sz="8" w:color="342C82"/>
            </w:tcBorders>
          </w:tcPr>
          <w:p>
            <w:pPr>
              <w:spacing w:after="0"/>
              <w:rPr>
                <w:sz w:val="21"/>
                <w:szCs w:val="21"/>
                <w:color w:val="auto"/>
              </w:rPr>
            </w:pPr>
          </w:p>
        </w:tc>
        <w:tc>
          <w:tcPr>
            <w:tcW w:w="80" w:type="dxa"/>
            <w:vAlign w:val="bottom"/>
            <w:tcBorders>
              <w:bottom w:val="single" w:sz="8" w:color="342C82"/>
            </w:tcBorders>
          </w:tcPr>
          <w:p>
            <w:pPr>
              <w:spacing w:after="0"/>
              <w:rPr>
                <w:sz w:val="21"/>
                <w:szCs w:val="21"/>
                <w:color w:val="auto"/>
              </w:rPr>
            </w:pPr>
          </w:p>
        </w:tc>
        <w:tc>
          <w:tcPr>
            <w:tcW w:w="780" w:type="dxa"/>
            <w:vAlign w:val="bottom"/>
            <w:tcBorders>
              <w:bottom w:val="single" w:sz="8" w:color="342C82"/>
            </w:tcBorders>
          </w:tcPr>
          <w:p>
            <w:pPr>
              <w:spacing w:after="0"/>
              <w:rPr>
                <w:sz w:val="21"/>
                <w:szCs w:val="21"/>
                <w:color w:val="auto"/>
              </w:rPr>
            </w:pPr>
          </w:p>
        </w:tc>
        <w:tc>
          <w:tcPr>
            <w:tcW w:w="760" w:type="dxa"/>
            <w:vAlign w:val="bottom"/>
            <w:tcBorders>
              <w:bottom w:val="single" w:sz="8" w:color="342C82"/>
            </w:tcBorders>
          </w:tcPr>
          <w:p>
            <w:pPr>
              <w:spacing w:after="0"/>
              <w:rPr>
                <w:sz w:val="21"/>
                <w:szCs w:val="21"/>
                <w:color w:val="auto"/>
              </w:rPr>
            </w:pPr>
          </w:p>
        </w:tc>
        <w:tc>
          <w:tcPr>
            <w:tcW w:w="740" w:type="dxa"/>
            <w:vAlign w:val="bottom"/>
            <w:tcBorders>
              <w:bottom w:val="single" w:sz="8" w:color="342C82"/>
            </w:tcBorders>
          </w:tcPr>
          <w:p>
            <w:pPr>
              <w:spacing w:after="0"/>
              <w:rPr>
                <w:sz w:val="21"/>
                <w:szCs w:val="21"/>
                <w:color w:val="auto"/>
              </w:rPr>
            </w:pPr>
          </w:p>
        </w:tc>
        <w:tc>
          <w:tcPr>
            <w:tcW w:w="760" w:type="dxa"/>
            <w:vAlign w:val="bottom"/>
            <w:tcBorders>
              <w:bottom w:val="single" w:sz="8" w:color="342C82"/>
            </w:tcBorders>
          </w:tcPr>
          <w:p>
            <w:pPr>
              <w:jc w:val="right"/>
              <w:ind w:right="123"/>
              <w:spacing w:after="0"/>
              <w:rPr>
                <w:sz w:val="20"/>
                <w:szCs w:val="20"/>
                <w:color w:val="auto"/>
              </w:rPr>
            </w:pPr>
            <w:r>
              <w:rPr>
                <w:rFonts w:ascii="Arial" w:cs="Arial" w:eastAsia="Arial" w:hAnsi="Arial"/>
                <w:sz w:val="13"/>
                <w:szCs w:val="13"/>
                <w:color w:val="auto"/>
              </w:rPr>
              <w:t>15,152</w:t>
            </w:r>
          </w:p>
        </w:tc>
        <w:tc>
          <w:tcPr>
            <w:tcW w:w="860" w:type="dxa"/>
            <w:vAlign w:val="bottom"/>
            <w:tcBorders>
              <w:bottom w:val="single" w:sz="8" w:color="342C82"/>
            </w:tcBorders>
          </w:tcPr>
          <w:p>
            <w:pPr>
              <w:jc w:val="right"/>
              <w:ind w:right="161"/>
              <w:spacing w:after="0"/>
              <w:rPr>
                <w:sz w:val="20"/>
                <w:szCs w:val="20"/>
                <w:color w:val="auto"/>
              </w:rPr>
            </w:pPr>
            <w:r>
              <w:rPr>
                <w:rFonts w:ascii="Arial" w:cs="Arial" w:eastAsia="Arial" w:hAnsi="Arial"/>
                <w:sz w:val="13"/>
                <w:szCs w:val="13"/>
                <w:color w:val="auto"/>
              </w:rPr>
              <w:t>265,008</w:t>
            </w:r>
          </w:p>
        </w:tc>
      </w:tr>
    </w:tbl>
    <w:p>
      <w:pPr>
        <w:spacing w:after="0" w:line="166" w:lineRule="exact"/>
        <w:rPr>
          <w:sz w:val="20"/>
          <w:szCs w:val="20"/>
          <w:color w:val="auto"/>
        </w:rPr>
      </w:pPr>
    </w:p>
    <w:p>
      <w:pPr>
        <w:ind w:left="580" w:right="319" w:hanging="288"/>
        <w:spacing w:after="0" w:line="226" w:lineRule="auto"/>
        <w:tabs>
          <w:tab w:leader="none" w:pos="580" w:val="left"/>
        </w:tabs>
        <w:numPr>
          <w:ilvl w:val="0"/>
          <w:numId w:val="39"/>
        </w:numPr>
        <w:rPr>
          <w:rFonts w:ascii="Arial" w:cs="Arial" w:eastAsia="Arial" w:hAnsi="Arial"/>
          <w:sz w:val="22"/>
          <w:szCs w:val="22"/>
          <w:color w:val="auto"/>
          <w:vertAlign w:val="superscript"/>
        </w:rPr>
      </w:pPr>
      <w:r>
        <w:rPr>
          <w:rFonts w:ascii="Arial" w:cs="Arial" w:eastAsia="Arial" w:hAnsi="Arial"/>
          <w:sz w:val="14"/>
          <w:szCs w:val="14"/>
          <w:color w:val="auto"/>
        </w:rPr>
        <w:t>The amounts shown represent the range of possible payouts that the NEOs could have earned under the Bonus Plan, based on certain assumptions and, for Mr. Curtis, the conversion from Euro to USD based on an exchange rate of 1.12 as of September 30, 2024. The amount of the actual payments to the NEOs under the Bonus Plan are reflected in the “Non-Equity Incentive Plan Compensation” column of the Summary Compensation Table. The amount in the “Threshold” column assumes Embecta achieved the minimum threshold performance levels for each performance measure, resulting in available funding for awards at 50% of target, and that the NEO received a payment equal to 50% of the NEO’s award target.</w:t>
      </w:r>
    </w:p>
    <w:p>
      <w:pPr>
        <w:spacing w:after="0" w:line="29" w:lineRule="exact"/>
        <w:rPr>
          <w:rFonts w:ascii="Arial" w:cs="Arial" w:eastAsia="Arial" w:hAnsi="Arial"/>
          <w:sz w:val="22"/>
          <w:szCs w:val="22"/>
          <w:color w:val="auto"/>
          <w:vertAlign w:val="superscript"/>
        </w:rPr>
      </w:pPr>
    </w:p>
    <w:p>
      <w:pPr>
        <w:ind w:left="580" w:right="539" w:hanging="288"/>
        <w:spacing w:after="0" w:line="214" w:lineRule="auto"/>
        <w:tabs>
          <w:tab w:leader="none" w:pos="580" w:val="left"/>
        </w:tabs>
        <w:numPr>
          <w:ilvl w:val="0"/>
          <w:numId w:val="39"/>
        </w:numPr>
        <w:rPr>
          <w:rFonts w:ascii="Arial" w:cs="Arial" w:eastAsia="Arial" w:hAnsi="Arial"/>
          <w:sz w:val="22"/>
          <w:szCs w:val="22"/>
          <w:color w:val="auto"/>
          <w:vertAlign w:val="superscript"/>
        </w:rPr>
      </w:pPr>
      <w:r>
        <w:rPr>
          <w:rFonts w:ascii="Arial" w:cs="Arial" w:eastAsia="Arial" w:hAnsi="Arial"/>
          <w:sz w:val="14"/>
          <w:szCs w:val="14"/>
          <w:color w:val="auto"/>
        </w:rPr>
        <w:t>The amounts shown represent the range of shares that can potentially be earned under the PSU awards. The PSUs will cliff-vest three years from the date of grant, subject to the achievement of performance measures relating to Adjusted Constant Currency Revenue Growth Percentage (weighted 60%) and Adjusted Operating Income Dollars (weighted 40%).</w:t>
      </w:r>
    </w:p>
    <w:p>
      <w:pPr>
        <w:spacing w:after="0" w:line="27" w:lineRule="exact"/>
        <w:rPr>
          <w:rFonts w:ascii="Arial" w:cs="Arial" w:eastAsia="Arial" w:hAnsi="Arial"/>
          <w:sz w:val="22"/>
          <w:szCs w:val="22"/>
          <w:color w:val="auto"/>
          <w:vertAlign w:val="superscript"/>
        </w:rPr>
      </w:pPr>
    </w:p>
    <w:p>
      <w:pPr>
        <w:ind w:left="580" w:right="719" w:hanging="288"/>
        <w:spacing w:after="0" w:line="204" w:lineRule="auto"/>
        <w:tabs>
          <w:tab w:leader="none" w:pos="580" w:val="left"/>
        </w:tabs>
        <w:numPr>
          <w:ilvl w:val="0"/>
          <w:numId w:val="39"/>
        </w:numPr>
        <w:rPr>
          <w:rFonts w:ascii="Arial" w:cs="Arial" w:eastAsia="Arial" w:hAnsi="Arial"/>
          <w:sz w:val="22"/>
          <w:szCs w:val="22"/>
          <w:color w:val="auto"/>
          <w:vertAlign w:val="superscript"/>
        </w:rPr>
      </w:pPr>
      <w:r>
        <w:rPr>
          <w:rFonts w:ascii="Arial" w:cs="Arial" w:eastAsia="Arial" w:hAnsi="Arial"/>
          <w:sz w:val="14"/>
          <w:szCs w:val="14"/>
          <w:color w:val="auto"/>
        </w:rPr>
        <w:t>The amounts shown represent the number of shares subject to the TVU awards. The TVUs will vest in three equal annual installments beginning one year from the grant date, subject to continued employment through such date.</w:t>
      </w:r>
    </w:p>
    <w:p>
      <w:pPr>
        <w:spacing w:after="0" w:line="26" w:lineRule="exact"/>
        <w:rPr>
          <w:rFonts w:ascii="Arial" w:cs="Arial" w:eastAsia="Arial" w:hAnsi="Arial"/>
          <w:sz w:val="22"/>
          <w:szCs w:val="22"/>
          <w:color w:val="auto"/>
          <w:vertAlign w:val="superscript"/>
        </w:rPr>
      </w:pPr>
    </w:p>
    <w:p>
      <w:pPr>
        <w:ind w:left="580" w:right="379" w:hanging="288"/>
        <w:spacing w:after="0"/>
        <w:tabs>
          <w:tab w:leader="none" w:pos="580" w:val="left"/>
        </w:tabs>
        <w:numPr>
          <w:ilvl w:val="0"/>
          <w:numId w:val="39"/>
        </w:numPr>
        <w:rPr>
          <w:rFonts w:ascii="Arial" w:cs="Arial" w:eastAsia="Arial" w:hAnsi="Arial"/>
          <w:sz w:val="22"/>
          <w:szCs w:val="22"/>
          <w:color w:val="auto"/>
          <w:vertAlign w:val="superscript"/>
        </w:rPr>
      </w:pPr>
      <w:r>
        <w:rPr>
          <w:rFonts w:ascii="Arial" w:cs="Arial" w:eastAsia="Arial" w:hAnsi="Arial"/>
          <w:sz w:val="14"/>
          <w:szCs w:val="14"/>
          <w:color w:val="auto"/>
        </w:rPr>
        <w:t>For all awards except PSUs, the amounts shown reflect the grant date fair value of the awards under FASB ASC Topic 718 used by Embecta for financial statement reporting purposes (disregarding estimated forfeitures). For a discussion of the assumptions made to determine the grant date fair value of these awards, see Note 10 to the consolidated financial statements contained in our Annual Report on Form 10-K for the fiscal year ended September 30, 2024. For the PSUs, since the service inception date precedes the grant date of the award, and the grant date fair value is not determinable at this time, the amount reported is the fair value of the PSUs at the service inception date (November 26, 2023), based upon the then-probable outcome of the performance conditions. See the “Accounting Considerations” section of this proxy statement for additional details.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123825</wp:posOffset>
            </wp:positionV>
            <wp:extent cx="699516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5" w:name="page66"/>
    <w:bookmarkEnd w:id="6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5660"/>
        <w:spacing w:after="0"/>
        <w:rPr>
          <w:sz w:val="20"/>
          <w:szCs w:val="20"/>
          <w:color w:val="auto"/>
        </w:rPr>
      </w:pPr>
      <w:r>
        <w:rPr>
          <w:rFonts w:ascii="Arial" w:cs="Arial" w:eastAsia="Arial" w:hAnsi="Arial"/>
          <w:sz w:val="16"/>
          <w:szCs w:val="16"/>
          <w:color w:val="342C82"/>
        </w:rPr>
        <w:t>Compensation of named executive officers</w:t>
      </w:r>
    </w:p>
    <w:p>
      <w:pPr>
        <w:spacing w:after="0" w:line="176" w:lineRule="exact"/>
        <w:rPr>
          <w:sz w:val="20"/>
          <w:szCs w:val="20"/>
          <w:color w:val="auto"/>
        </w:rPr>
      </w:pPr>
    </w:p>
    <w:p>
      <w:pPr>
        <w:ind w:left="300" w:right="339"/>
        <w:spacing w:after="0" w:line="276" w:lineRule="auto"/>
        <w:rPr>
          <w:sz w:val="20"/>
          <w:szCs w:val="20"/>
          <w:color w:val="auto"/>
        </w:rPr>
      </w:pPr>
      <w:r>
        <w:rPr>
          <w:rFonts w:ascii="Arial" w:cs="Arial" w:eastAsia="Arial" w:hAnsi="Arial"/>
          <w:sz w:val="29"/>
          <w:szCs w:val="29"/>
          <w:color w:val="342C82"/>
        </w:rPr>
        <w:t>Narrative disclosure to Summary Compensation Table and Grants of Plan-Based Awards Table</w:t>
      </w:r>
    </w:p>
    <w:p>
      <w:pPr>
        <w:spacing w:after="0" w:line="34" w:lineRule="exact"/>
        <w:rPr>
          <w:sz w:val="20"/>
          <w:szCs w:val="20"/>
          <w:color w:val="auto"/>
        </w:rPr>
      </w:pPr>
    </w:p>
    <w:p>
      <w:pPr>
        <w:ind w:left="300" w:right="459"/>
        <w:spacing w:after="0" w:line="266" w:lineRule="auto"/>
        <w:rPr>
          <w:sz w:val="20"/>
          <w:szCs w:val="20"/>
          <w:color w:val="auto"/>
        </w:rPr>
      </w:pPr>
      <w:r>
        <w:rPr>
          <w:rFonts w:ascii="Arial" w:cs="Arial" w:eastAsia="Arial" w:hAnsi="Arial"/>
          <w:sz w:val="16"/>
          <w:szCs w:val="16"/>
          <w:color w:val="auto"/>
        </w:rPr>
        <w:t>See the “Compensation Discussion and Analysis” section of this proxy statement for a description of the annual incentive and equity compensation awards granted in fiscal year 2024 and the performance targets established with respect to the annual incentives.</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Embecta 2022 Employee and Director Equity-Based Compensation Plan</w:t>
      </w:r>
    </w:p>
    <w:p>
      <w:pPr>
        <w:spacing w:after="0" w:line="165" w:lineRule="exact"/>
        <w:rPr>
          <w:sz w:val="20"/>
          <w:szCs w:val="20"/>
          <w:color w:val="auto"/>
        </w:rPr>
      </w:pPr>
    </w:p>
    <w:p>
      <w:pPr>
        <w:ind w:left="300" w:right="299"/>
        <w:spacing w:after="0" w:line="249" w:lineRule="auto"/>
        <w:rPr>
          <w:sz w:val="20"/>
          <w:szCs w:val="20"/>
          <w:color w:val="auto"/>
        </w:rPr>
      </w:pPr>
      <w:r>
        <w:rPr>
          <w:rFonts w:ascii="Arial" w:cs="Arial" w:eastAsia="Arial" w:hAnsi="Arial"/>
          <w:sz w:val="16"/>
          <w:szCs w:val="16"/>
          <w:color w:val="auto"/>
        </w:rPr>
        <w:t>In connection with the Separation, Embecta adopted the 2022 Plan. BD, as Embecta’s sole stockholder prior to the Separation, approved the 2022 Plan prior to the Separation and the 2022 Plan became effective as of the date of the Separation. The 2022 Plan was implemented to provide for the grant of equity awards to employees and non-employee directors. Under the 2022 Plan, the Company may grant awards of options, SARs, restricted stock, restricted stock units, performance units and other stock-based awards. The 2022 Plan is administered by the Compensation Committee, which has the sole discretion to grant to eligible participants one or more equity awards and to determine the type, number or amount of any award to be granted. The Compensation Committee also has the authority to, among other things, interpret any provision of the 2022 Plan, adopt rules and regulations for administering the 2022 Plan and delegate any administrative responsibilities under the 2022 Plan. A maximum of 10,189,000 Embecta shares are available for issuance under the 2022 Plan, including shares subject to all BD equity-based compensation awards that were converted into Embecta equity-based awards upon the Separation. The Board may amend, discontinue or terminate the 2022 Plan or any portion of the 2022 Plan at any time, but no amendment, suspension or termination will be effective without the approval of Embecta’s stockholders if such approval is required under applicable laws, rules and regulations, including the Nasdaq listing rules.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123825</wp:posOffset>
            </wp:positionV>
            <wp:extent cx="699516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6" w:name="page67"/>
    <w:bookmarkEnd w:id="6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6"/>
          <w:szCs w:val="16"/>
          <w:color w:val="342C82"/>
        </w:rPr>
        <w:t>Compensation of named executive officers</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29"/>
          <w:szCs w:val="29"/>
          <w:color w:val="342C82"/>
        </w:rPr>
        <w:t>Outstanding equity awards at 2024 fiscal year-end</w:t>
      </w:r>
    </w:p>
    <w:p>
      <w:pPr>
        <w:spacing w:after="0" w:line="13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following table sets forth the outstanding equity awards held by the NEOs at the end of fiscal year 2024.</w:t>
      </w:r>
    </w:p>
    <w:p>
      <w:pPr>
        <w:spacing w:after="0" w:line="195" w:lineRule="exact"/>
        <w:rPr>
          <w:sz w:val="20"/>
          <w:szCs w:val="20"/>
          <w:color w:val="auto"/>
        </w:rPr>
      </w:pPr>
    </w:p>
    <w:tbl>
      <w:tblPr>
        <w:tblLayout w:type="fixed"/>
        <w:tblInd w:w="300" w:type="dxa"/>
        <w:tblCellMar>
          <w:top w:w="0" w:type="dxa"/>
          <w:left w:w="0" w:type="dxa"/>
          <w:bottom w:w="0" w:type="dxa"/>
          <w:right w:w="0" w:type="dxa"/>
        </w:tblCellMar>
      </w:tblPr>
      <w:tr>
        <w:trPr>
          <w:trHeight w:val="148"/>
        </w:trPr>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b w:val="1"/>
                <w:bCs w:val="1"/>
                <w:color w:val="auto"/>
              </w:rPr>
              <w:t>Option Awards</w:t>
            </w: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rPr>
              <w:t>Stock Awards</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
        </w:trPr>
        <w:tc>
          <w:tcPr>
            <w:tcW w:w="8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0" w:type="dxa"/>
            <w:vAlign w:val="bottom"/>
            <w:tcBorders>
              <w:bottom w:val="single" w:sz="8" w:color="342C82"/>
            </w:tcBorders>
          </w:tcPr>
          <w:p>
            <w:pPr>
              <w:spacing w:after="0"/>
              <w:rPr>
                <w:sz w:val="3"/>
                <w:szCs w:val="3"/>
                <w:color w:val="auto"/>
              </w:rPr>
            </w:pPr>
          </w:p>
        </w:tc>
        <w:tc>
          <w:tcPr>
            <w:tcW w:w="1120" w:type="dxa"/>
            <w:vAlign w:val="bottom"/>
            <w:tcBorders>
              <w:bottom w:val="single" w:sz="8" w:color="342C82"/>
            </w:tcBorders>
          </w:tcPr>
          <w:p>
            <w:pPr>
              <w:spacing w:after="0"/>
              <w:rPr>
                <w:sz w:val="3"/>
                <w:szCs w:val="3"/>
                <w:color w:val="auto"/>
              </w:rPr>
            </w:pPr>
          </w:p>
        </w:tc>
        <w:tc>
          <w:tcPr>
            <w:tcW w:w="520" w:type="dxa"/>
            <w:vAlign w:val="bottom"/>
            <w:tcBorders>
              <w:bottom w:val="single" w:sz="8" w:color="342C82"/>
            </w:tcBorders>
          </w:tcPr>
          <w:p>
            <w:pPr>
              <w:spacing w:after="0"/>
              <w:rPr>
                <w:sz w:val="3"/>
                <w:szCs w:val="3"/>
                <w:color w:val="auto"/>
              </w:rPr>
            </w:pPr>
          </w:p>
        </w:tc>
        <w:tc>
          <w:tcPr>
            <w:tcW w:w="800" w:type="dxa"/>
            <w:vAlign w:val="bottom"/>
            <w:tcBorders>
              <w:bottom w:val="single" w:sz="8" w:color="342C82"/>
            </w:tcBorders>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Borders>
              <w:bottom w:val="single" w:sz="8" w:color="342C82"/>
            </w:tcBorders>
          </w:tcPr>
          <w:p>
            <w:pPr>
              <w:spacing w:after="0"/>
              <w:rPr>
                <w:sz w:val="3"/>
                <w:szCs w:val="3"/>
                <w:color w:val="auto"/>
              </w:rPr>
            </w:pPr>
          </w:p>
        </w:tc>
        <w:tc>
          <w:tcPr>
            <w:tcW w:w="800" w:type="dxa"/>
            <w:vAlign w:val="bottom"/>
            <w:tcBorders>
              <w:bottom w:val="single" w:sz="8" w:color="342C82"/>
            </w:tcBorders>
          </w:tcPr>
          <w:p>
            <w:pPr>
              <w:spacing w:after="0"/>
              <w:rPr>
                <w:sz w:val="3"/>
                <w:szCs w:val="3"/>
                <w:color w:val="auto"/>
              </w:rPr>
            </w:pPr>
          </w:p>
        </w:tc>
        <w:tc>
          <w:tcPr>
            <w:tcW w:w="800" w:type="dxa"/>
            <w:vAlign w:val="bottom"/>
            <w:tcBorders>
              <w:bottom w:val="single" w:sz="8" w:color="342C82"/>
            </w:tcBorders>
          </w:tcPr>
          <w:p>
            <w:pPr>
              <w:spacing w:after="0"/>
              <w:rPr>
                <w:sz w:val="3"/>
                <w:szCs w:val="3"/>
                <w:color w:val="auto"/>
              </w:rPr>
            </w:pPr>
          </w:p>
        </w:tc>
        <w:tc>
          <w:tcPr>
            <w:tcW w:w="840" w:type="dxa"/>
            <w:vAlign w:val="bottom"/>
            <w:tcBorders>
              <w:bottom w:val="single" w:sz="8" w:color="342C82"/>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jc w:val="right"/>
              <w:ind w:right="40"/>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22"/>
        </w:trPr>
        <w:tc>
          <w:tcPr>
            <w:tcW w:w="8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40" w:type="dxa"/>
            <w:vAlign w:val="bottom"/>
          </w:tcPr>
          <w:p>
            <w:pPr>
              <w:jc w:val="right"/>
              <w:ind w:right="40"/>
              <w:spacing w:after="0" w:line="122" w:lineRule="exact"/>
              <w:rPr>
                <w:sz w:val="20"/>
                <w:szCs w:val="20"/>
                <w:color w:val="auto"/>
              </w:rPr>
            </w:pPr>
            <w:r>
              <w:rPr>
                <w:rFonts w:ascii="Arial" w:cs="Arial" w:eastAsia="Arial" w:hAnsi="Arial"/>
                <w:sz w:val="11"/>
                <w:szCs w:val="11"/>
                <w:b w:val="1"/>
                <w:bCs w:val="1"/>
                <w:color w:val="auto"/>
              </w:rPr>
              <w:t>Incentive</w:t>
            </w:r>
          </w:p>
        </w:tc>
        <w:tc>
          <w:tcPr>
            <w:tcW w:w="0" w:type="dxa"/>
            <w:vAlign w:val="bottom"/>
          </w:tcPr>
          <w:p>
            <w:pPr>
              <w:spacing w:after="0"/>
              <w:rPr>
                <w:sz w:val="1"/>
                <w:szCs w:val="1"/>
                <w:color w:val="auto"/>
              </w:rPr>
            </w:pPr>
          </w:p>
        </w:tc>
      </w:tr>
      <w:tr>
        <w:trPr>
          <w:trHeight w:val="122"/>
        </w:trPr>
        <w:tc>
          <w:tcPr>
            <w:tcW w:w="8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jc w:val="right"/>
              <w:ind w:right="40"/>
              <w:spacing w:after="0" w:line="122" w:lineRule="exact"/>
              <w:rPr>
                <w:sz w:val="20"/>
                <w:szCs w:val="20"/>
                <w:color w:val="auto"/>
              </w:rPr>
            </w:pPr>
            <w:r>
              <w:rPr>
                <w:rFonts w:ascii="Arial" w:cs="Arial" w:eastAsia="Arial" w:hAnsi="Arial"/>
                <w:sz w:val="11"/>
                <w:szCs w:val="11"/>
                <w:b w:val="1"/>
                <w:bCs w:val="1"/>
                <w:color w:val="auto"/>
              </w:rPr>
              <w:t>Equity</w:t>
            </w:r>
          </w:p>
        </w:tc>
        <w:tc>
          <w:tcPr>
            <w:tcW w:w="840" w:type="dxa"/>
            <w:vAlign w:val="bottom"/>
          </w:tcPr>
          <w:p>
            <w:pPr>
              <w:jc w:val="right"/>
              <w:ind w:right="40"/>
              <w:spacing w:after="0" w:line="122" w:lineRule="exact"/>
              <w:rPr>
                <w:sz w:val="20"/>
                <w:szCs w:val="20"/>
                <w:color w:val="auto"/>
              </w:rPr>
            </w:pPr>
            <w:r>
              <w:rPr>
                <w:rFonts w:ascii="Arial" w:cs="Arial" w:eastAsia="Arial" w:hAnsi="Arial"/>
                <w:sz w:val="11"/>
                <w:szCs w:val="11"/>
                <w:b w:val="1"/>
                <w:bCs w:val="1"/>
                <w:color w:val="auto"/>
              </w:rPr>
              <w:t>Plan</w:t>
            </w:r>
          </w:p>
        </w:tc>
        <w:tc>
          <w:tcPr>
            <w:tcW w:w="0" w:type="dxa"/>
            <w:vAlign w:val="bottom"/>
          </w:tcPr>
          <w:p>
            <w:pPr>
              <w:spacing w:after="0"/>
              <w:rPr>
                <w:sz w:val="1"/>
                <w:szCs w:val="1"/>
                <w:color w:val="auto"/>
              </w:rPr>
            </w:pPr>
          </w:p>
        </w:tc>
      </w:tr>
      <w:tr>
        <w:trPr>
          <w:trHeight w:val="121"/>
        </w:trPr>
        <w:tc>
          <w:tcPr>
            <w:tcW w:w="8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jc w:val="right"/>
              <w:ind w:right="40"/>
              <w:spacing w:after="0" w:line="122" w:lineRule="exact"/>
              <w:rPr>
                <w:sz w:val="20"/>
                <w:szCs w:val="20"/>
                <w:color w:val="auto"/>
              </w:rPr>
            </w:pPr>
            <w:r>
              <w:rPr>
                <w:rFonts w:ascii="Arial" w:cs="Arial" w:eastAsia="Arial" w:hAnsi="Arial"/>
                <w:sz w:val="11"/>
                <w:szCs w:val="11"/>
                <w:b w:val="1"/>
                <w:bCs w:val="1"/>
                <w:color w:val="auto"/>
              </w:rPr>
              <w:t>Incentive</w:t>
            </w:r>
          </w:p>
        </w:tc>
        <w:tc>
          <w:tcPr>
            <w:tcW w:w="840" w:type="dxa"/>
            <w:vAlign w:val="bottom"/>
          </w:tcPr>
          <w:p>
            <w:pPr>
              <w:jc w:val="right"/>
              <w:ind w:right="40"/>
              <w:spacing w:after="0" w:line="122" w:lineRule="exact"/>
              <w:rPr>
                <w:sz w:val="20"/>
                <w:szCs w:val="20"/>
                <w:color w:val="auto"/>
              </w:rPr>
            </w:pPr>
            <w:r>
              <w:rPr>
                <w:rFonts w:ascii="Arial" w:cs="Arial" w:eastAsia="Arial" w:hAnsi="Arial"/>
                <w:sz w:val="11"/>
                <w:szCs w:val="11"/>
                <w:b w:val="1"/>
                <w:bCs w:val="1"/>
                <w:color w:val="auto"/>
              </w:rPr>
              <w:t>Awards:</w:t>
            </w:r>
          </w:p>
        </w:tc>
        <w:tc>
          <w:tcPr>
            <w:tcW w:w="0" w:type="dxa"/>
            <w:vAlign w:val="bottom"/>
          </w:tcPr>
          <w:p>
            <w:pPr>
              <w:spacing w:after="0"/>
              <w:rPr>
                <w:sz w:val="1"/>
                <w:szCs w:val="1"/>
                <w:color w:val="auto"/>
              </w:rPr>
            </w:pPr>
          </w:p>
        </w:tc>
      </w:tr>
      <w:tr>
        <w:trPr>
          <w:trHeight w:val="122"/>
        </w:trPr>
        <w:tc>
          <w:tcPr>
            <w:tcW w:w="8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jc w:val="right"/>
              <w:ind w:right="40"/>
              <w:spacing w:after="0" w:line="122" w:lineRule="exact"/>
              <w:rPr>
                <w:sz w:val="20"/>
                <w:szCs w:val="20"/>
                <w:color w:val="auto"/>
              </w:rPr>
            </w:pPr>
            <w:r>
              <w:rPr>
                <w:rFonts w:ascii="Arial" w:cs="Arial" w:eastAsia="Arial" w:hAnsi="Arial"/>
                <w:sz w:val="11"/>
                <w:szCs w:val="11"/>
                <w:b w:val="1"/>
                <w:bCs w:val="1"/>
                <w:color w:val="auto"/>
              </w:rPr>
              <w:t>Plan</w:t>
            </w:r>
          </w:p>
        </w:tc>
        <w:tc>
          <w:tcPr>
            <w:tcW w:w="840" w:type="dxa"/>
            <w:vAlign w:val="bottom"/>
          </w:tcPr>
          <w:p>
            <w:pPr>
              <w:jc w:val="right"/>
              <w:ind w:right="40"/>
              <w:spacing w:after="0" w:line="122" w:lineRule="exact"/>
              <w:rPr>
                <w:sz w:val="20"/>
                <w:szCs w:val="20"/>
                <w:color w:val="auto"/>
              </w:rPr>
            </w:pPr>
            <w:r>
              <w:rPr>
                <w:rFonts w:ascii="Arial" w:cs="Arial" w:eastAsia="Arial" w:hAnsi="Arial"/>
                <w:sz w:val="11"/>
                <w:szCs w:val="11"/>
                <w:b w:val="1"/>
                <w:bCs w:val="1"/>
                <w:color w:val="auto"/>
              </w:rPr>
              <w:t>Market or</w:t>
            </w:r>
          </w:p>
        </w:tc>
        <w:tc>
          <w:tcPr>
            <w:tcW w:w="0" w:type="dxa"/>
            <w:vAlign w:val="bottom"/>
          </w:tcPr>
          <w:p>
            <w:pPr>
              <w:spacing w:after="0"/>
              <w:rPr>
                <w:sz w:val="1"/>
                <w:szCs w:val="1"/>
                <w:color w:val="auto"/>
              </w:rPr>
            </w:pPr>
          </w:p>
        </w:tc>
      </w:tr>
      <w:tr>
        <w:trPr>
          <w:trHeight w:val="122"/>
        </w:trPr>
        <w:tc>
          <w:tcPr>
            <w:tcW w:w="8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jc w:val="right"/>
              <w:ind w:right="40"/>
              <w:spacing w:after="0" w:line="122" w:lineRule="exact"/>
              <w:rPr>
                <w:sz w:val="20"/>
                <w:szCs w:val="20"/>
                <w:color w:val="auto"/>
              </w:rPr>
            </w:pPr>
            <w:r>
              <w:rPr>
                <w:rFonts w:ascii="Arial" w:cs="Arial" w:eastAsia="Arial" w:hAnsi="Arial"/>
                <w:sz w:val="11"/>
                <w:szCs w:val="11"/>
                <w:b w:val="1"/>
                <w:bCs w:val="1"/>
                <w:color w:val="auto"/>
              </w:rPr>
              <w:t>Awards:</w:t>
            </w:r>
          </w:p>
        </w:tc>
        <w:tc>
          <w:tcPr>
            <w:tcW w:w="840" w:type="dxa"/>
            <w:vAlign w:val="bottom"/>
          </w:tcPr>
          <w:p>
            <w:pPr>
              <w:jc w:val="right"/>
              <w:ind w:right="40"/>
              <w:spacing w:after="0" w:line="122" w:lineRule="exact"/>
              <w:rPr>
                <w:sz w:val="20"/>
                <w:szCs w:val="20"/>
                <w:color w:val="auto"/>
              </w:rPr>
            </w:pPr>
            <w:r>
              <w:rPr>
                <w:rFonts w:ascii="Arial" w:cs="Arial" w:eastAsia="Arial" w:hAnsi="Arial"/>
                <w:sz w:val="11"/>
                <w:szCs w:val="11"/>
                <w:b w:val="1"/>
                <w:bCs w:val="1"/>
                <w:color w:val="auto"/>
              </w:rPr>
              <w:t>Payout</w:t>
            </w:r>
          </w:p>
        </w:tc>
        <w:tc>
          <w:tcPr>
            <w:tcW w:w="0" w:type="dxa"/>
            <w:vAlign w:val="bottom"/>
          </w:tcPr>
          <w:p>
            <w:pPr>
              <w:spacing w:after="0"/>
              <w:rPr>
                <w:sz w:val="1"/>
                <w:szCs w:val="1"/>
                <w:color w:val="auto"/>
              </w:rPr>
            </w:pPr>
          </w:p>
        </w:tc>
      </w:tr>
      <w:tr>
        <w:trPr>
          <w:trHeight w:val="122"/>
        </w:trPr>
        <w:tc>
          <w:tcPr>
            <w:tcW w:w="8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jc w:val="right"/>
              <w:ind w:right="40"/>
              <w:spacing w:after="0" w:line="122" w:lineRule="exact"/>
              <w:rPr>
                <w:sz w:val="20"/>
                <w:szCs w:val="20"/>
                <w:color w:val="auto"/>
              </w:rPr>
            </w:pPr>
            <w:r>
              <w:rPr>
                <w:rFonts w:ascii="Arial" w:cs="Arial" w:eastAsia="Arial" w:hAnsi="Arial"/>
                <w:sz w:val="11"/>
                <w:szCs w:val="11"/>
                <w:b w:val="1"/>
                <w:bCs w:val="1"/>
                <w:color w:val="auto"/>
              </w:rPr>
              <w:t>Number of</w:t>
            </w:r>
          </w:p>
        </w:tc>
        <w:tc>
          <w:tcPr>
            <w:tcW w:w="840" w:type="dxa"/>
            <w:vAlign w:val="bottom"/>
          </w:tcPr>
          <w:p>
            <w:pPr>
              <w:jc w:val="right"/>
              <w:ind w:right="40"/>
              <w:spacing w:after="0" w:line="122" w:lineRule="exact"/>
              <w:rPr>
                <w:sz w:val="20"/>
                <w:szCs w:val="20"/>
                <w:color w:val="auto"/>
              </w:rPr>
            </w:pPr>
            <w:r>
              <w:rPr>
                <w:rFonts w:ascii="Arial" w:cs="Arial" w:eastAsia="Arial" w:hAnsi="Arial"/>
                <w:sz w:val="11"/>
                <w:szCs w:val="11"/>
                <w:b w:val="1"/>
                <w:bCs w:val="1"/>
                <w:color w:val="auto"/>
              </w:rPr>
              <w:t>Value of</w:t>
            </w:r>
          </w:p>
        </w:tc>
        <w:tc>
          <w:tcPr>
            <w:tcW w:w="0" w:type="dxa"/>
            <w:vAlign w:val="bottom"/>
          </w:tcPr>
          <w:p>
            <w:pPr>
              <w:spacing w:after="0"/>
              <w:rPr>
                <w:sz w:val="1"/>
                <w:szCs w:val="1"/>
                <w:color w:val="auto"/>
              </w:rPr>
            </w:pPr>
          </w:p>
        </w:tc>
      </w:tr>
      <w:tr>
        <w:trPr>
          <w:trHeight w:val="122"/>
        </w:trPr>
        <w:tc>
          <w:tcPr>
            <w:tcW w:w="8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ind w:right="39"/>
              <w:spacing w:after="0" w:line="122" w:lineRule="exact"/>
              <w:rPr>
                <w:sz w:val="20"/>
                <w:szCs w:val="20"/>
                <w:color w:val="auto"/>
              </w:rPr>
            </w:pPr>
            <w:r>
              <w:rPr>
                <w:rFonts w:ascii="Arial" w:cs="Arial" w:eastAsia="Arial" w:hAnsi="Arial"/>
                <w:sz w:val="11"/>
                <w:szCs w:val="11"/>
                <w:b w:val="1"/>
                <w:bCs w:val="1"/>
                <w:color w:val="auto"/>
              </w:rPr>
              <w:t>Number</w:t>
            </w:r>
          </w:p>
        </w:tc>
        <w:tc>
          <w:tcPr>
            <w:tcW w:w="800" w:type="dxa"/>
            <w:vAlign w:val="bottom"/>
          </w:tcPr>
          <w:p>
            <w:pPr>
              <w:jc w:val="right"/>
              <w:ind w:right="59"/>
              <w:spacing w:after="0" w:line="122" w:lineRule="exact"/>
              <w:rPr>
                <w:sz w:val="20"/>
                <w:szCs w:val="20"/>
                <w:color w:val="auto"/>
              </w:rPr>
            </w:pPr>
            <w:r>
              <w:rPr>
                <w:rFonts w:ascii="Arial" w:cs="Arial" w:eastAsia="Arial" w:hAnsi="Arial"/>
                <w:sz w:val="11"/>
                <w:szCs w:val="11"/>
                <w:b w:val="1"/>
                <w:bCs w:val="1"/>
                <w:color w:val="auto"/>
              </w:rPr>
              <w:t>Market</w:t>
            </w:r>
          </w:p>
        </w:tc>
        <w:tc>
          <w:tcPr>
            <w:tcW w:w="800" w:type="dxa"/>
            <w:vAlign w:val="bottom"/>
          </w:tcPr>
          <w:p>
            <w:pPr>
              <w:jc w:val="right"/>
              <w:ind w:right="40"/>
              <w:spacing w:after="0" w:line="122" w:lineRule="exact"/>
              <w:rPr>
                <w:sz w:val="20"/>
                <w:szCs w:val="20"/>
                <w:color w:val="auto"/>
              </w:rPr>
            </w:pPr>
            <w:r>
              <w:rPr>
                <w:rFonts w:ascii="Arial" w:cs="Arial" w:eastAsia="Arial" w:hAnsi="Arial"/>
                <w:sz w:val="11"/>
                <w:szCs w:val="11"/>
                <w:b w:val="1"/>
                <w:bCs w:val="1"/>
                <w:color w:val="auto"/>
              </w:rPr>
              <w:t>Unearned</w:t>
            </w:r>
          </w:p>
        </w:tc>
        <w:tc>
          <w:tcPr>
            <w:tcW w:w="840" w:type="dxa"/>
            <w:vAlign w:val="bottom"/>
          </w:tcPr>
          <w:p>
            <w:pPr>
              <w:jc w:val="right"/>
              <w:ind w:right="40"/>
              <w:spacing w:after="0" w:line="122" w:lineRule="exact"/>
              <w:rPr>
                <w:sz w:val="20"/>
                <w:szCs w:val="20"/>
                <w:color w:val="auto"/>
              </w:rPr>
            </w:pPr>
            <w:r>
              <w:rPr>
                <w:rFonts w:ascii="Arial" w:cs="Arial" w:eastAsia="Arial" w:hAnsi="Arial"/>
                <w:sz w:val="11"/>
                <w:szCs w:val="11"/>
                <w:b w:val="1"/>
                <w:bCs w:val="1"/>
                <w:color w:val="auto"/>
              </w:rPr>
              <w:t>Unearned</w:t>
            </w:r>
          </w:p>
        </w:tc>
        <w:tc>
          <w:tcPr>
            <w:tcW w:w="0" w:type="dxa"/>
            <w:vAlign w:val="bottom"/>
          </w:tcPr>
          <w:p>
            <w:pPr>
              <w:spacing w:after="0"/>
              <w:rPr>
                <w:sz w:val="1"/>
                <w:szCs w:val="1"/>
                <w:color w:val="auto"/>
              </w:rPr>
            </w:pPr>
          </w:p>
        </w:tc>
      </w:tr>
      <w:tr>
        <w:trPr>
          <w:trHeight w:val="121"/>
        </w:trPr>
        <w:tc>
          <w:tcPr>
            <w:tcW w:w="8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ind w:right="39"/>
              <w:spacing w:after="0" w:line="122" w:lineRule="exact"/>
              <w:rPr>
                <w:sz w:val="20"/>
                <w:szCs w:val="20"/>
                <w:color w:val="auto"/>
              </w:rPr>
            </w:pPr>
            <w:r>
              <w:rPr>
                <w:rFonts w:ascii="Arial" w:cs="Arial" w:eastAsia="Arial" w:hAnsi="Arial"/>
                <w:sz w:val="11"/>
                <w:szCs w:val="11"/>
                <w:b w:val="1"/>
                <w:bCs w:val="1"/>
                <w:color w:val="auto"/>
              </w:rPr>
              <w:t>of Shares</w:t>
            </w:r>
          </w:p>
        </w:tc>
        <w:tc>
          <w:tcPr>
            <w:tcW w:w="800" w:type="dxa"/>
            <w:vAlign w:val="bottom"/>
          </w:tcPr>
          <w:p>
            <w:pPr>
              <w:jc w:val="right"/>
              <w:ind w:right="59"/>
              <w:spacing w:after="0" w:line="122" w:lineRule="exact"/>
              <w:rPr>
                <w:sz w:val="20"/>
                <w:szCs w:val="20"/>
                <w:color w:val="auto"/>
              </w:rPr>
            </w:pPr>
            <w:r>
              <w:rPr>
                <w:rFonts w:ascii="Arial" w:cs="Arial" w:eastAsia="Arial" w:hAnsi="Arial"/>
                <w:sz w:val="11"/>
                <w:szCs w:val="11"/>
                <w:b w:val="1"/>
                <w:bCs w:val="1"/>
                <w:color w:val="auto"/>
              </w:rPr>
              <w:t>Value of</w:t>
            </w:r>
          </w:p>
        </w:tc>
        <w:tc>
          <w:tcPr>
            <w:tcW w:w="800" w:type="dxa"/>
            <w:vAlign w:val="bottom"/>
          </w:tcPr>
          <w:p>
            <w:pPr>
              <w:jc w:val="right"/>
              <w:ind w:right="40"/>
              <w:spacing w:after="0" w:line="122" w:lineRule="exact"/>
              <w:rPr>
                <w:sz w:val="20"/>
                <w:szCs w:val="20"/>
                <w:color w:val="auto"/>
              </w:rPr>
            </w:pPr>
            <w:r>
              <w:rPr>
                <w:rFonts w:ascii="Arial" w:cs="Arial" w:eastAsia="Arial" w:hAnsi="Arial"/>
                <w:sz w:val="11"/>
                <w:szCs w:val="11"/>
                <w:b w:val="1"/>
                <w:bCs w:val="1"/>
                <w:color w:val="auto"/>
              </w:rPr>
              <w:t>Shares,</w:t>
            </w:r>
          </w:p>
        </w:tc>
        <w:tc>
          <w:tcPr>
            <w:tcW w:w="840" w:type="dxa"/>
            <w:vAlign w:val="bottom"/>
          </w:tcPr>
          <w:p>
            <w:pPr>
              <w:jc w:val="right"/>
              <w:ind w:right="40"/>
              <w:spacing w:after="0" w:line="122" w:lineRule="exact"/>
              <w:rPr>
                <w:sz w:val="20"/>
                <w:szCs w:val="20"/>
                <w:color w:val="auto"/>
              </w:rPr>
            </w:pPr>
            <w:r>
              <w:rPr>
                <w:rFonts w:ascii="Arial" w:cs="Arial" w:eastAsia="Arial" w:hAnsi="Arial"/>
                <w:sz w:val="11"/>
                <w:szCs w:val="11"/>
                <w:b w:val="1"/>
                <w:bCs w:val="1"/>
                <w:color w:val="auto"/>
              </w:rPr>
              <w:t>Shares,</w:t>
            </w:r>
          </w:p>
        </w:tc>
        <w:tc>
          <w:tcPr>
            <w:tcW w:w="0" w:type="dxa"/>
            <w:vAlign w:val="bottom"/>
          </w:tcPr>
          <w:p>
            <w:pPr>
              <w:spacing w:after="0"/>
              <w:rPr>
                <w:sz w:val="1"/>
                <w:szCs w:val="1"/>
                <w:color w:val="auto"/>
              </w:rPr>
            </w:pPr>
          </w:p>
        </w:tc>
      </w:tr>
      <w:tr>
        <w:trPr>
          <w:trHeight w:val="122"/>
        </w:trPr>
        <w:tc>
          <w:tcPr>
            <w:tcW w:w="8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0" w:type="dxa"/>
            <w:vAlign w:val="bottom"/>
          </w:tcPr>
          <w:p>
            <w:pPr>
              <w:jc w:val="right"/>
              <w:ind w:right="118"/>
              <w:spacing w:after="0" w:line="122" w:lineRule="exact"/>
              <w:rPr>
                <w:sz w:val="20"/>
                <w:szCs w:val="20"/>
                <w:color w:val="auto"/>
              </w:rPr>
            </w:pPr>
            <w:r>
              <w:rPr>
                <w:rFonts w:ascii="Arial" w:cs="Arial" w:eastAsia="Arial" w:hAnsi="Arial"/>
                <w:sz w:val="11"/>
                <w:szCs w:val="11"/>
                <w:b w:val="1"/>
                <w:bCs w:val="1"/>
                <w:color w:val="auto"/>
              </w:rPr>
              <w:t>Number of</w:t>
            </w:r>
          </w:p>
        </w:tc>
        <w:tc>
          <w:tcPr>
            <w:tcW w:w="1120" w:type="dxa"/>
            <w:vAlign w:val="bottom"/>
          </w:tcPr>
          <w:p>
            <w:pPr>
              <w:jc w:val="right"/>
              <w:ind w:right="119"/>
              <w:spacing w:after="0" w:line="122" w:lineRule="exact"/>
              <w:rPr>
                <w:sz w:val="20"/>
                <w:szCs w:val="20"/>
                <w:color w:val="auto"/>
              </w:rPr>
            </w:pPr>
            <w:r>
              <w:rPr>
                <w:rFonts w:ascii="Arial" w:cs="Arial" w:eastAsia="Arial" w:hAnsi="Arial"/>
                <w:sz w:val="11"/>
                <w:szCs w:val="11"/>
                <w:b w:val="1"/>
                <w:bCs w:val="1"/>
                <w:color w:val="auto"/>
              </w:rPr>
              <w:t>Number of</w:t>
            </w:r>
          </w:p>
        </w:tc>
        <w:tc>
          <w:tcPr>
            <w:tcW w:w="5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ind w:right="39"/>
              <w:spacing w:after="0" w:line="122" w:lineRule="exact"/>
              <w:rPr>
                <w:sz w:val="20"/>
                <w:szCs w:val="20"/>
                <w:color w:val="auto"/>
              </w:rPr>
            </w:pPr>
            <w:r>
              <w:rPr>
                <w:rFonts w:ascii="Arial" w:cs="Arial" w:eastAsia="Arial" w:hAnsi="Arial"/>
                <w:sz w:val="11"/>
                <w:szCs w:val="11"/>
                <w:b w:val="1"/>
                <w:bCs w:val="1"/>
                <w:color w:val="auto"/>
              </w:rPr>
              <w:t>or Units</w:t>
            </w:r>
          </w:p>
        </w:tc>
        <w:tc>
          <w:tcPr>
            <w:tcW w:w="800" w:type="dxa"/>
            <w:vAlign w:val="bottom"/>
          </w:tcPr>
          <w:p>
            <w:pPr>
              <w:jc w:val="right"/>
              <w:ind w:right="59"/>
              <w:spacing w:after="0" w:line="122" w:lineRule="exact"/>
              <w:rPr>
                <w:sz w:val="20"/>
                <w:szCs w:val="20"/>
                <w:color w:val="auto"/>
              </w:rPr>
            </w:pPr>
            <w:r>
              <w:rPr>
                <w:rFonts w:ascii="Arial" w:cs="Arial" w:eastAsia="Arial" w:hAnsi="Arial"/>
                <w:sz w:val="11"/>
                <w:szCs w:val="11"/>
                <w:b w:val="1"/>
                <w:bCs w:val="1"/>
                <w:color w:val="auto"/>
              </w:rPr>
              <w:t>Shares or</w:t>
            </w:r>
          </w:p>
        </w:tc>
        <w:tc>
          <w:tcPr>
            <w:tcW w:w="800" w:type="dxa"/>
            <w:vAlign w:val="bottom"/>
          </w:tcPr>
          <w:p>
            <w:pPr>
              <w:jc w:val="right"/>
              <w:ind w:right="40"/>
              <w:spacing w:after="0" w:line="122" w:lineRule="exact"/>
              <w:rPr>
                <w:sz w:val="20"/>
                <w:szCs w:val="20"/>
                <w:color w:val="auto"/>
              </w:rPr>
            </w:pPr>
            <w:r>
              <w:rPr>
                <w:rFonts w:ascii="Arial" w:cs="Arial" w:eastAsia="Arial" w:hAnsi="Arial"/>
                <w:sz w:val="11"/>
                <w:szCs w:val="11"/>
                <w:b w:val="1"/>
                <w:bCs w:val="1"/>
                <w:color w:val="auto"/>
              </w:rPr>
              <w:t>Units or</w:t>
            </w:r>
          </w:p>
        </w:tc>
        <w:tc>
          <w:tcPr>
            <w:tcW w:w="840" w:type="dxa"/>
            <w:vAlign w:val="bottom"/>
          </w:tcPr>
          <w:p>
            <w:pPr>
              <w:jc w:val="right"/>
              <w:ind w:right="40"/>
              <w:spacing w:after="0" w:line="122" w:lineRule="exact"/>
              <w:rPr>
                <w:sz w:val="20"/>
                <w:szCs w:val="20"/>
                <w:color w:val="auto"/>
              </w:rPr>
            </w:pPr>
            <w:r>
              <w:rPr>
                <w:rFonts w:ascii="Arial" w:cs="Arial" w:eastAsia="Arial" w:hAnsi="Arial"/>
                <w:sz w:val="11"/>
                <w:szCs w:val="11"/>
                <w:b w:val="1"/>
                <w:bCs w:val="1"/>
                <w:color w:val="auto"/>
              </w:rPr>
              <w:t>Units or</w:t>
            </w:r>
          </w:p>
        </w:tc>
        <w:tc>
          <w:tcPr>
            <w:tcW w:w="0" w:type="dxa"/>
            <w:vAlign w:val="bottom"/>
          </w:tcPr>
          <w:p>
            <w:pPr>
              <w:spacing w:after="0"/>
              <w:rPr>
                <w:sz w:val="1"/>
                <w:szCs w:val="1"/>
                <w:color w:val="auto"/>
              </w:rPr>
            </w:pPr>
          </w:p>
        </w:tc>
      </w:tr>
      <w:tr>
        <w:trPr>
          <w:trHeight w:val="122"/>
        </w:trPr>
        <w:tc>
          <w:tcPr>
            <w:tcW w:w="8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0" w:type="dxa"/>
            <w:vAlign w:val="bottom"/>
          </w:tcPr>
          <w:p>
            <w:pPr>
              <w:jc w:val="right"/>
              <w:ind w:right="118"/>
              <w:spacing w:after="0" w:line="122" w:lineRule="exact"/>
              <w:rPr>
                <w:sz w:val="20"/>
                <w:szCs w:val="20"/>
                <w:color w:val="auto"/>
              </w:rPr>
            </w:pPr>
            <w:r>
              <w:rPr>
                <w:rFonts w:ascii="Arial" w:cs="Arial" w:eastAsia="Arial" w:hAnsi="Arial"/>
                <w:sz w:val="11"/>
                <w:szCs w:val="11"/>
                <w:b w:val="1"/>
                <w:bCs w:val="1"/>
                <w:color w:val="auto"/>
              </w:rPr>
              <w:t>Securities</w:t>
            </w:r>
          </w:p>
        </w:tc>
        <w:tc>
          <w:tcPr>
            <w:tcW w:w="1120" w:type="dxa"/>
            <w:vAlign w:val="bottom"/>
          </w:tcPr>
          <w:p>
            <w:pPr>
              <w:jc w:val="right"/>
              <w:ind w:right="119"/>
              <w:spacing w:after="0" w:line="122"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ind w:right="39"/>
              <w:spacing w:after="0" w:line="122" w:lineRule="exact"/>
              <w:rPr>
                <w:sz w:val="20"/>
                <w:szCs w:val="20"/>
                <w:color w:val="auto"/>
              </w:rPr>
            </w:pPr>
            <w:r>
              <w:rPr>
                <w:rFonts w:ascii="Arial" w:cs="Arial" w:eastAsia="Arial" w:hAnsi="Arial"/>
                <w:sz w:val="11"/>
                <w:szCs w:val="11"/>
                <w:b w:val="1"/>
                <w:bCs w:val="1"/>
                <w:color w:val="auto"/>
              </w:rPr>
              <w:t>of Stock</w:t>
            </w:r>
          </w:p>
        </w:tc>
        <w:tc>
          <w:tcPr>
            <w:tcW w:w="800" w:type="dxa"/>
            <w:vAlign w:val="bottom"/>
          </w:tcPr>
          <w:p>
            <w:pPr>
              <w:jc w:val="right"/>
              <w:ind w:right="59"/>
              <w:spacing w:after="0" w:line="122" w:lineRule="exact"/>
              <w:rPr>
                <w:sz w:val="20"/>
                <w:szCs w:val="20"/>
                <w:color w:val="auto"/>
              </w:rPr>
            </w:pPr>
            <w:r>
              <w:rPr>
                <w:rFonts w:ascii="Arial" w:cs="Arial" w:eastAsia="Arial" w:hAnsi="Arial"/>
                <w:sz w:val="11"/>
                <w:szCs w:val="11"/>
                <w:b w:val="1"/>
                <w:bCs w:val="1"/>
                <w:color w:val="auto"/>
              </w:rPr>
              <w:t>Units of</w:t>
            </w:r>
          </w:p>
        </w:tc>
        <w:tc>
          <w:tcPr>
            <w:tcW w:w="800" w:type="dxa"/>
            <w:vAlign w:val="bottom"/>
          </w:tcPr>
          <w:p>
            <w:pPr>
              <w:jc w:val="right"/>
              <w:ind w:right="40"/>
              <w:spacing w:after="0" w:line="122" w:lineRule="exact"/>
              <w:rPr>
                <w:sz w:val="20"/>
                <w:szCs w:val="20"/>
                <w:color w:val="auto"/>
              </w:rPr>
            </w:pPr>
            <w:r>
              <w:rPr>
                <w:rFonts w:ascii="Arial" w:cs="Arial" w:eastAsia="Arial" w:hAnsi="Arial"/>
                <w:sz w:val="11"/>
                <w:szCs w:val="11"/>
                <w:b w:val="1"/>
                <w:bCs w:val="1"/>
                <w:color w:val="auto"/>
              </w:rPr>
              <w:t>Other</w:t>
            </w:r>
          </w:p>
        </w:tc>
        <w:tc>
          <w:tcPr>
            <w:tcW w:w="840" w:type="dxa"/>
            <w:vAlign w:val="bottom"/>
          </w:tcPr>
          <w:p>
            <w:pPr>
              <w:jc w:val="right"/>
              <w:ind w:right="40"/>
              <w:spacing w:after="0" w:line="122" w:lineRule="exact"/>
              <w:rPr>
                <w:sz w:val="20"/>
                <w:szCs w:val="20"/>
                <w:color w:val="auto"/>
              </w:rPr>
            </w:pPr>
            <w:r>
              <w:rPr>
                <w:rFonts w:ascii="Arial" w:cs="Arial" w:eastAsia="Arial" w:hAnsi="Arial"/>
                <w:sz w:val="11"/>
                <w:szCs w:val="11"/>
                <w:b w:val="1"/>
                <w:bCs w:val="1"/>
                <w:color w:val="auto"/>
              </w:rPr>
              <w:t>Other</w:t>
            </w:r>
          </w:p>
        </w:tc>
        <w:tc>
          <w:tcPr>
            <w:tcW w:w="0" w:type="dxa"/>
            <w:vAlign w:val="bottom"/>
          </w:tcPr>
          <w:p>
            <w:pPr>
              <w:spacing w:after="0"/>
              <w:rPr>
                <w:sz w:val="1"/>
                <w:szCs w:val="1"/>
                <w:color w:val="auto"/>
              </w:rPr>
            </w:pPr>
          </w:p>
        </w:tc>
      </w:tr>
      <w:tr>
        <w:trPr>
          <w:trHeight w:val="122"/>
        </w:trPr>
        <w:tc>
          <w:tcPr>
            <w:tcW w:w="8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0" w:type="dxa"/>
            <w:vAlign w:val="bottom"/>
          </w:tcPr>
          <w:p>
            <w:pPr>
              <w:jc w:val="right"/>
              <w:ind w:right="118"/>
              <w:spacing w:after="0" w:line="122" w:lineRule="exact"/>
              <w:rPr>
                <w:sz w:val="20"/>
                <w:szCs w:val="20"/>
                <w:color w:val="auto"/>
              </w:rPr>
            </w:pPr>
            <w:r>
              <w:rPr>
                <w:rFonts w:ascii="Arial" w:cs="Arial" w:eastAsia="Arial" w:hAnsi="Arial"/>
                <w:sz w:val="11"/>
                <w:szCs w:val="11"/>
                <w:b w:val="1"/>
                <w:bCs w:val="1"/>
                <w:color w:val="auto"/>
              </w:rPr>
              <w:t>Underlying</w:t>
            </w:r>
          </w:p>
        </w:tc>
        <w:tc>
          <w:tcPr>
            <w:tcW w:w="1120" w:type="dxa"/>
            <w:vAlign w:val="bottom"/>
          </w:tcPr>
          <w:p>
            <w:pPr>
              <w:jc w:val="right"/>
              <w:ind w:right="119"/>
              <w:spacing w:after="0" w:line="122" w:lineRule="exact"/>
              <w:rPr>
                <w:sz w:val="20"/>
                <w:szCs w:val="20"/>
                <w:color w:val="auto"/>
              </w:rPr>
            </w:pPr>
            <w:r>
              <w:rPr>
                <w:rFonts w:ascii="Arial" w:cs="Arial" w:eastAsia="Arial" w:hAnsi="Arial"/>
                <w:sz w:val="11"/>
                <w:szCs w:val="11"/>
                <w:b w:val="1"/>
                <w:bCs w:val="1"/>
                <w:color w:val="auto"/>
              </w:rPr>
              <w:t>Underlying</w:t>
            </w:r>
          </w:p>
        </w:tc>
        <w:tc>
          <w:tcPr>
            <w:tcW w:w="520" w:type="dxa"/>
            <w:vAlign w:val="bottom"/>
          </w:tcPr>
          <w:p>
            <w:pPr>
              <w:jc w:val="right"/>
              <w:ind w:right="18"/>
              <w:spacing w:after="0" w:line="122" w:lineRule="exact"/>
              <w:rPr>
                <w:sz w:val="20"/>
                <w:szCs w:val="20"/>
                <w:color w:val="auto"/>
              </w:rPr>
            </w:pPr>
            <w:r>
              <w:rPr>
                <w:rFonts w:ascii="Arial" w:cs="Arial" w:eastAsia="Arial" w:hAnsi="Arial"/>
                <w:sz w:val="11"/>
                <w:szCs w:val="11"/>
                <w:b w:val="1"/>
                <w:bCs w:val="1"/>
                <w:color w:val="auto"/>
              </w:rPr>
              <w:t>Option</w:t>
            </w: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ind w:right="39"/>
              <w:spacing w:after="0" w:line="122" w:lineRule="exact"/>
              <w:rPr>
                <w:sz w:val="20"/>
                <w:szCs w:val="20"/>
                <w:color w:val="auto"/>
              </w:rPr>
            </w:pPr>
            <w:r>
              <w:rPr>
                <w:rFonts w:ascii="Arial" w:cs="Arial" w:eastAsia="Arial" w:hAnsi="Arial"/>
                <w:sz w:val="11"/>
                <w:szCs w:val="11"/>
                <w:b w:val="1"/>
                <w:bCs w:val="1"/>
                <w:color w:val="auto"/>
              </w:rPr>
              <w:t>That</w:t>
            </w:r>
          </w:p>
        </w:tc>
        <w:tc>
          <w:tcPr>
            <w:tcW w:w="800" w:type="dxa"/>
            <w:vAlign w:val="bottom"/>
          </w:tcPr>
          <w:p>
            <w:pPr>
              <w:jc w:val="right"/>
              <w:ind w:right="59"/>
              <w:spacing w:after="0" w:line="122" w:lineRule="exact"/>
              <w:rPr>
                <w:sz w:val="20"/>
                <w:szCs w:val="20"/>
                <w:color w:val="auto"/>
              </w:rPr>
            </w:pPr>
            <w:r>
              <w:rPr>
                <w:rFonts w:ascii="Arial" w:cs="Arial" w:eastAsia="Arial" w:hAnsi="Arial"/>
                <w:sz w:val="11"/>
                <w:szCs w:val="11"/>
                <w:b w:val="1"/>
                <w:bCs w:val="1"/>
                <w:color w:val="auto"/>
              </w:rPr>
              <w:t>Stock That</w:t>
            </w:r>
          </w:p>
        </w:tc>
        <w:tc>
          <w:tcPr>
            <w:tcW w:w="800" w:type="dxa"/>
            <w:vAlign w:val="bottom"/>
          </w:tcPr>
          <w:p>
            <w:pPr>
              <w:jc w:val="right"/>
              <w:ind w:right="40"/>
              <w:spacing w:after="0" w:line="122" w:lineRule="exact"/>
              <w:rPr>
                <w:sz w:val="20"/>
                <w:szCs w:val="20"/>
                <w:color w:val="auto"/>
              </w:rPr>
            </w:pPr>
            <w:r>
              <w:rPr>
                <w:rFonts w:ascii="Arial" w:cs="Arial" w:eastAsia="Arial" w:hAnsi="Arial"/>
                <w:sz w:val="11"/>
                <w:szCs w:val="11"/>
                <w:b w:val="1"/>
                <w:bCs w:val="1"/>
                <w:color w:val="auto"/>
              </w:rPr>
              <w:t>Rights That</w:t>
            </w:r>
          </w:p>
        </w:tc>
        <w:tc>
          <w:tcPr>
            <w:tcW w:w="840" w:type="dxa"/>
            <w:vAlign w:val="bottom"/>
          </w:tcPr>
          <w:p>
            <w:pPr>
              <w:jc w:val="right"/>
              <w:ind w:right="40"/>
              <w:spacing w:after="0" w:line="122" w:lineRule="exact"/>
              <w:rPr>
                <w:sz w:val="20"/>
                <w:szCs w:val="20"/>
                <w:color w:val="auto"/>
              </w:rPr>
            </w:pPr>
            <w:r>
              <w:rPr>
                <w:rFonts w:ascii="Arial" w:cs="Arial" w:eastAsia="Arial" w:hAnsi="Arial"/>
                <w:sz w:val="11"/>
                <w:szCs w:val="11"/>
                <w:b w:val="1"/>
                <w:bCs w:val="1"/>
                <w:color w:val="auto"/>
              </w:rPr>
              <w:t>Rights That</w:t>
            </w:r>
          </w:p>
        </w:tc>
        <w:tc>
          <w:tcPr>
            <w:tcW w:w="0" w:type="dxa"/>
            <w:vAlign w:val="bottom"/>
          </w:tcPr>
          <w:p>
            <w:pPr>
              <w:spacing w:after="0"/>
              <w:rPr>
                <w:sz w:val="1"/>
                <w:szCs w:val="1"/>
                <w:color w:val="auto"/>
              </w:rPr>
            </w:pPr>
          </w:p>
        </w:tc>
      </w:tr>
      <w:tr>
        <w:trPr>
          <w:trHeight w:val="122"/>
        </w:trPr>
        <w:tc>
          <w:tcPr>
            <w:tcW w:w="8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0" w:type="dxa"/>
            <w:vAlign w:val="bottom"/>
          </w:tcPr>
          <w:p>
            <w:pPr>
              <w:jc w:val="right"/>
              <w:ind w:right="118"/>
              <w:spacing w:after="0" w:line="122" w:lineRule="exact"/>
              <w:rPr>
                <w:sz w:val="20"/>
                <w:szCs w:val="20"/>
                <w:color w:val="auto"/>
              </w:rPr>
            </w:pPr>
            <w:r>
              <w:rPr>
                <w:rFonts w:ascii="Arial" w:cs="Arial" w:eastAsia="Arial" w:hAnsi="Arial"/>
                <w:sz w:val="11"/>
                <w:szCs w:val="11"/>
                <w:b w:val="1"/>
                <w:bCs w:val="1"/>
                <w:color w:val="auto"/>
              </w:rPr>
              <w:t>Unexercised</w:t>
            </w:r>
          </w:p>
        </w:tc>
        <w:tc>
          <w:tcPr>
            <w:tcW w:w="1120" w:type="dxa"/>
            <w:vAlign w:val="bottom"/>
          </w:tcPr>
          <w:p>
            <w:pPr>
              <w:jc w:val="right"/>
              <w:ind w:right="119"/>
              <w:spacing w:after="0" w:line="122" w:lineRule="exact"/>
              <w:rPr>
                <w:sz w:val="20"/>
                <w:szCs w:val="20"/>
                <w:color w:val="auto"/>
              </w:rPr>
            </w:pPr>
            <w:r>
              <w:rPr>
                <w:rFonts w:ascii="Arial" w:cs="Arial" w:eastAsia="Arial" w:hAnsi="Arial"/>
                <w:sz w:val="11"/>
                <w:szCs w:val="11"/>
                <w:b w:val="1"/>
                <w:bCs w:val="1"/>
                <w:color w:val="auto"/>
              </w:rPr>
              <w:t>Unexercised</w:t>
            </w:r>
          </w:p>
        </w:tc>
        <w:tc>
          <w:tcPr>
            <w:tcW w:w="520" w:type="dxa"/>
            <w:vAlign w:val="bottom"/>
          </w:tcPr>
          <w:p>
            <w:pPr>
              <w:jc w:val="right"/>
              <w:ind w:right="18"/>
              <w:spacing w:after="0" w:line="122" w:lineRule="exact"/>
              <w:rPr>
                <w:sz w:val="20"/>
                <w:szCs w:val="20"/>
                <w:color w:val="auto"/>
              </w:rPr>
            </w:pPr>
            <w:r>
              <w:rPr>
                <w:rFonts w:ascii="Arial" w:cs="Arial" w:eastAsia="Arial" w:hAnsi="Arial"/>
                <w:sz w:val="11"/>
                <w:szCs w:val="11"/>
                <w:b w:val="1"/>
                <w:bCs w:val="1"/>
                <w:color w:val="auto"/>
                <w:w w:val="92"/>
              </w:rPr>
              <w:t>Exercise</w:t>
            </w:r>
          </w:p>
        </w:tc>
        <w:tc>
          <w:tcPr>
            <w:tcW w:w="860" w:type="dxa"/>
            <w:vAlign w:val="bottom"/>
            <w:gridSpan w:val="2"/>
          </w:tcPr>
          <w:p>
            <w:pPr>
              <w:jc w:val="right"/>
              <w:ind w:right="80"/>
              <w:spacing w:after="0" w:line="122" w:lineRule="exact"/>
              <w:rPr>
                <w:sz w:val="20"/>
                <w:szCs w:val="20"/>
                <w:color w:val="auto"/>
              </w:rPr>
            </w:pPr>
            <w:r>
              <w:rPr>
                <w:rFonts w:ascii="Arial" w:cs="Arial" w:eastAsia="Arial" w:hAnsi="Arial"/>
                <w:sz w:val="11"/>
                <w:szCs w:val="11"/>
                <w:b w:val="1"/>
                <w:bCs w:val="1"/>
                <w:color w:val="auto"/>
              </w:rPr>
              <w:t>Option</w:t>
            </w:r>
          </w:p>
        </w:tc>
        <w:tc>
          <w:tcPr>
            <w:tcW w:w="700" w:type="dxa"/>
            <w:vAlign w:val="bottom"/>
          </w:tcPr>
          <w:p>
            <w:pPr>
              <w:jc w:val="right"/>
              <w:ind w:right="39"/>
              <w:spacing w:after="0" w:line="122" w:lineRule="exact"/>
              <w:rPr>
                <w:sz w:val="20"/>
                <w:szCs w:val="20"/>
                <w:color w:val="auto"/>
              </w:rPr>
            </w:pPr>
            <w:r>
              <w:rPr>
                <w:rFonts w:ascii="Arial" w:cs="Arial" w:eastAsia="Arial" w:hAnsi="Arial"/>
                <w:sz w:val="11"/>
                <w:szCs w:val="11"/>
                <w:b w:val="1"/>
                <w:bCs w:val="1"/>
                <w:color w:val="auto"/>
              </w:rPr>
              <w:t>Have Not</w:t>
            </w:r>
          </w:p>
        </w:tc>
        <w:tc>
          <w:tcPr>
            <w:tcW w:w="800" w:type="dxa"/>
            <w:vAlign w:val="bottom"/>
          </w:tcPr>
          <w:p>
            <w:pPr>
              <w:jc w:val="right"/>
              <w:ind w:right="59"/>
              <w:spacing w:after="0" w:line="122" w:lineRule="exact"/>
              <w:rPr>
                <w:sz w:val="20"/>
                <w:szCs w:val="20"/>
                <w:color w:val="auto"/>
              </w:rPr>
            </w:pPr>
            <w:r>
              <w:rPr>
                <w:rFonts w:ascii="Arial" w:cs="Arial" w:eastAsia="Arial" w:hAnsi="Arial"/>
                <w:sz w:val="11"/>
                <w:szCs w:val="11"/>
                <w:b w:val="1"/>
                <w:bCs w:val="1"/>
                <w:color w:val="auto"/>
              </w:rPr>
              <w:t>Have Not</w:t>
            </w:r>
          </w:p>
        </w:tc>
        <w:tc>
          <w:tcPr>
            <w:tcW w:w="800" w:type="dxa"/>
            <w:vAlign w:val="bottom"/>
          </w:tcPr>
          <w:p>
            <w:pPr>
              <w:jc w:val="right"/>
              <w:ind w:right="40"/>
              <w:spacing w:after="0" w:line="122" w:lineRule="exact"/>
              <w:rPr>
                <w:sz w:val="20"/>
                <w:szCs w:val="20"/>
                <w:color w:val="auto"/>
              </w:rPr>
            </w:pPr>
            <w:r>
              <w:rPr>
                <w:rFonts w:ascii="Arial" w:cs="Arial" w:eastAsia="Arial" w:hAnsi="Arial"/>
                <w:sz w:val="11"/>
                <w:szCs w:val="11"/>
                <w:b w:val="1"/>
                <w:bCs w:val="1"/>
                <w:color w:val="auto"/>
              </w:rPr>
              <w:t>Have Not</w:t>
            </w:r>
          </w:p>
        </w:tc>
        <w:tc>
          <w:tcPr>
            <w:tcW w:w="840" w:type="dxa"/>
            <w:vAlign w:val="bottom"/>
          </w:tcPr>
          <w:p>
            <w:pPr>
              <w:jc w:val="right"/>
              <w:ind w:right="40"/>
              <w:spacing w:after="0" w:line="122" w:lineRule="exact"/>
              <w:rPr>
                <w:sz w:val="20"/>
                <w:szCs w:val="20"/>
                <w:color w:val="auto"/>
              </w:rPr>
            </w:pPr>
            <w:r>
              <w:rPr>
                <w:rFonts w:ascii="Arial" w:cs="Arial" w:eastAsia="Arial" w:hAnsi="Arial"/>
                <w:sz w:val="11"/>
                <w:szCs w:val="11"/>
                <w:b w:val="1"/>
                <w:bCs w:val="1"/>
                <w:color w:val="auto"/>
              </w:rPr>
              <w:t>Have Not</w:t>
            </w:r>
          </w:p>
        </w:tc>
        <w:tc>
          <w:tcPr>
            <w:tcW w:w="0" w:type="dxa"/>
            <w:vAlign w:val="bottom"/>
          </w:tcPr>
          <w:p>
            <w:pPr>
              <w:spacing w:after="0"/>
              <w:rPr>
                <w:sz w:val="1"/>
                <w:szCs w:val="1"/>
                <w:color w:val="auto"/>
              </w:rPr>
            </w:pPr>
          </w:p>
        </w:tc>
      </w:tr>
      <w:tr>
        <w:trPr>
          <w:trHeight w:val="108"/>
        </w:trPr>
        <w:tc>
          <w:tcPr>
            <w:tcW w:w="860" w:type="dxa"/>
            <w:vAlign w:val="bottom"/>
          </w:tcPr>
          <w:p>
            <w:pPr>
              <w:spacing w:after="0"/>
              <w:rPr>
                <w:sz w:val="9"/>
                <w:szCs w:val="9"/>
                <w:color w:val="auto"/>
              </w:rPr>
            </w:pPr>
          </w:p>
        </w:tc>
        <w:tc>
          <w:tcPr>
            <w:tcW w:w="920" w:type="dxa"/>
            <w:vAlign w:val="bottom"/>
          </w:tcPr>
          <w:p>
            <w:pPr>
              <w:jc w:val="right"/>
              <w:ind w:right="78"/>
              <w:spacing w:after="0" w:line="108" w:lineRule="exact"/>
              <w:rPr>
                <w:sz w:val="20"/>
                <w:szCs w:val="20"/>
                <w:color w:val="auto"/>
              </w:rPr>
            </w:pPr>
            <w:r>
              <w:rPr>
                <w:rFonts w:ascii="Arial" w:cs="Arial" w:eastAsia="Arial" w:hAnsi="Arial"/>
                <w:sz w:val="11"/>
                <w:szCs w:val="11"/>
                <w:b w:val="1"/>
                <w:bCs w:val="1"/>
                <w:color w:val="auto"/>
              </w:rPr>
              <w:t>Grant</w:t>
            </w:r>
          </w:p>
        </w:tc>
        <w:tc>
          <w:tcPr>
            <w:tcW w:w="1000" w:type="dxa"/>
            <w:vAlign w:val="bottom"/>
          </w:tcPr>
          <w:p>
            <w:pPr>
              <w:jc w:val="right"/>
              <w:ind w:right="118"/>
              <w:spacing w:after="0" w:line="108" w:lineRule="exact"/>
              <w:rPr>
                <w:sz w:val="20"/>
                <w:szCs w:val="20"/>
                <w:color w:val="auto"/>
              </w:rPr>
            </w:pPr>
            <w:r>
              <w:rPr>
                <w:rFonts w:ascii="Arial" w:cs="Arial" w:eastAsia="Arial" w:hAnsi="Arial"/>
                <w:sz w:val="11"/>
                <w:szCs w:val="11"/>
                <w:b w:val="1"/>
                <w:bCs w:val="1"/>
                <w:color w:val="auto"/>
              </w:rPr>
              <w:t>Options (#)</w:t>
            </w:r>
          </w:p>
        </w:tc>
        <w:tc>
          <w:tcPr>
            <w:tcW w:w="1120" w:type="dxa"/>
            <w:vAlign w:val="bottom"/>
          </w:tcPr>
          <w:p>
            <w:pPr>
              <w:jc w:val="right"/>
              <w:ind w:right="119"/>
              <w:spacing w:after="0" w:line="108" w:lineRule="exact"/>
              <w:rPr>
                <w:sz w:val="20"/>
                <w:szCs w:val="20"/>
                <w:color w:val="auto"/>
              </w:rPr>
            </w:pPr>
            <w:r>
              <w:rPr>
                <w:rFonts w:ascii="Arial" w:cs="Arial" w:eastAsia="Arial" w:hAnsi="Arial"/>
                <w:sz w:val="11"/>
                <w:szCs w:val="11"/>
                <w:b w:val="1"/>
                <w:bCs w:val="1"/>
                <w:color w:val="auto"/>
              </w:rPr>
              <w:t>Options (#)</w:t>
            </w:r>
          </w:p>
        </w:tc>
        <w:tc>
          <w:tcPr>
            <w:tcW w:w="520" w:type="dxa"/>
            <w:vAlign w:val="bottom"/>
          </w:tcPr>
          <w:p>
            <w:pPr>
              <w:jc w:val="right"/>
              <w:ind w:right="18"/>
              <w:spacing w:after="0" w:line="108" w:lineRule="exact"/>
              <w:rPr>
                <w:sz w:val="20"/>
                <w:szCs w:val="20"/>
                <w:color w:val="auto"/>
              </w:rPr>
            </w:pPr>
            <w:r>
              <w:rPr>
                <w:rFonts w:ascii="Arial" w:cs="Arial" w:eastAsia="Arial" w:hAnsi="Arial"/>
                <w:sz w:val="11"/>
                <w:szCs w:val="11"/>
                <w:b w:val="1"/>
                <w:bCs w:val="1"/>
                <w:color w:val="auto"/>
              </w:rPr>
              <w:t>Price</w:t>
            </w:r>
          </w:p>
        </w:tc>
        <w:tc>
          <w:tcPr>
            <w:tcW w:w="860" w:type="dxa"/>
            <w:vAlign w:val="bottom"/>
            <w:gridSpan w:val="2"/>
          </w:tcPr>
          <w:p>
            <w:pPr>
              <w:jc w:val="right"/>
              <w:ind w:right="80"/>
              <w:spacing w:after="0" w:line="108" w:lineRule="exact"/>
              <w:rPr>
                <w:sz w:val="20"/>
                <w:szCs w:val="20"/>
                <w:color w:val="auto"/>
              </w:rPr>
            </w:pPr>
            <w:r>
              <w:rPr>
                <w:rFonts w:ascii="Arial" w:cs="Arial" w:eastAsia="Arial" w:hAnsi="Arial"/>
                <w:sz w:val="11"/>
                <w:szCs w:val="11"/>
                <w:b w:val="1"/>
                <w:bCs w:val="1"/>
                <w:color w:val="auto"/>
              </w:rPr>
              <w:t>Expiration</w:t>
            </w:r>
          </w:p>
        </w:tc>
        <w:tc>
          <w:tcPr>
            <w:tcW w:w="700" w:type="dxa"/>
            <w:vAlign w:val="bottom"/>
          </w:tcPr>
          <w:p>
            <w:pPr>
              <w:jc w:val="right"/>
              <w:ind w:right="39"/>
              <w:spacing w:after="0" w:line="108" w:lineRule="exact"/>
              <w:rPr>
                <w:sz w:val="20"/>
                <w:szCs w:val="20"/>
                <w:color w:val="auto"/>
              </w:rPr>
            </w:pPr>
            <w:r>
              <w:rPr>
                <w:rFonts w:ascii="Arial" w:cs="Arial" w:eastAsia="Arial" w:hAnsi="Arial"/>
                <w:sz w:val="11"/>
                <w:szCs w:val="11"/>
                <w:b w:val="1"/>
                <w:bCs w:val="1"/>
                <w:color w:val="auto"/>
              </w:rPr>
              <w:t>Vested</w:t>
            </w:r>
          </w:p>
        </w:tc>
        <w:tc>
          <w:tcPr>
            <w:tcW w:w="800" w:type="dxa"/>
            <w:vAlign w:val="bottom"/>
          </w:tcPr>
          <w:p>
            <w:pPr>
              <w:jc w:val="right"/>
              <w:ind w:right="59"/>
              <w:spacing w:after="0" w:line="108" w:lineRule="exact"/>
              <w:rPr>
                <w:sz w:val="20"/>
                <w:szCs w:val="20"/>
                <w:color w:val="auto"/>
              </w:rPr>
            </w:pPr>
            <w:r>
              <w:rPr>
                <w:rFonts w:ascii="Arial" w:cs="Arial" w:eastAsia="Arial" w:hAnsi="Arial"/>
                <w:sz w:val="11"/>
                <w:szCs w:val="11"/>
                <w:b w:val="1"/>
                <w:bCs w:val="1"/>
                <w:color w:val="auto"/>
              </w:rPr>
              <w:t>Vested</w:t>
            </w:r>
          </w:p>
        </w:tc>
        <w:tc>
          <w:tcPr>
            <w:tcW w:w="800" w:type="dxa"/>
            <w:vAlign w:val="bottom"/>
          </w:tcPr>
          <w:p>
            <w:pPr>
              <w:jc w:val="right"/>
              <w:ind w:right="40"/>
              <w:spacing w:after="0" w:line="108" w:lineRule="exact"/>
              <w:rPr>
                <w:sz w:val="20"/>
                <w:szCs w:val="20"/>
                <w:color w:val="auto"/>
              </w:rPr>
            </w:pPr>
            <w:r>
              <w:rPr>
                <w:rFonts w:ascii="Arial" w:cs="Arial" w:eastAsia="Arial" w:hAnsi="Arial"/>
                <w:sz w:val="11"/>
                <w:szCs w:val="11"/>
                <w:b w:val="1"/>
                <w:bCs w:val="1"/>
                <w:color w:val="auto"/>
              </w:rPr>
              <w:t>Vested</w:t>
            </w:r>
          </w:p>
        </w:tc>
        <w:tc>
          <w:tcPr>
            <w:tcW w:w="840" w:type="dxa"/>
            <w:vAlign w:val="bottom"/>
          </w:tcPr>
          <w:p>
            <w:pPr>
              <w:jc w:val="right"/>
              <w:ind w:right="40"/>
              <w:spacing w:after="0" w:line="108" w:lineRule="exact"/>
              <w:rPr>
                <w:sz w:val="20"/>
                <w:szCs w:val="20"/>
                <w:color w:val="auto"/>
              </w:rPr>
            </w:pPr>
            <w:r>
              <w:rPr>
                <w:rFonts w:ascii="Arial" w:cs="Arial" w:eastAsia="Arial" w:hAnsi="Arial"/>
                <w:sz w:val="11"/>
                <w:szCs w:val="11"/>
                <w:b w:val="1"/>
                <w:bCs w:val="1"/>
                <w:color w:val="auto"/>
              </w:rPr>
              <w:t>Vested</w:t>
            </w:r>
          </w:p>
        </w:tc>
        <w:tc>
          <w:tcPr>
            <w:tcW w:w="0" w:type="dxa"/>
            <w:vAlign w:val="bottom"/>
          </w:tcPr>
          <w:p>
            <w:pPr>
              <w:spacing w:after="0"/>
              <w:rPr>
                <w:sz w:val="1"/>
                <w:szCs w:val="1"/>
                <w:color w:val="auto"/>
              </w:rPr>
            </w:pPr>
          </w:p>
        </w:tc>
      </w:tr>
      <w:tr>
        <w:trPr>
          <w:trHeight w:val="203"/>
        </w:trPr>
        <w:tc>
          <w:tcPr>
            <w:tcW w:w="860" w:type="dxa"/>
            <w:vAlign w:val="bottom"/>
            <w:tcBorders>
              <w:bottom w:val="single" w:sz="8" w:color="342C82"/>
            </w:tcBorders>
          </w:tcPr>
          <w:p>
            <w:pPr>
              <w:ind w:left="80"/>
              <w:spacing w:after="0"/>
              <w:rPr>
                <w:sz w:val="20"/>
                <w:szCs w:val="20"/>
                <w:color w:val="auto"/>
              </w:rPr>
            </w:pPr>
            <w:r>
              <w:rPr>
                <w:rFonts w:ascii="Arial" w:cs="Arial" w:eastAsia="Arial" w:hAnsi="Arial"/>
                <w:sz w:val="11"/>
                <w:szCs w:val="11"/>
                <w:b w:val="1"/>
                <w:bCs w:val="1"/>
                <w:color w:val="auto"/>
              </w:rPr>
              <w:t>Name</w:t>
            </w:r>
          </w:p>
        </w:tc>
        <w:tc>
          <w:tcPr>
            <w:tcW w:w="920" w:type="dxa"/>
            <w:vAlign w:val="bottom"/>
            <w:tcBorders>
              <w:bottom w:val="single" w:sz="8" w:color="342C82"/>
            </w:tcBorders>
          </w:tcPr>
          <w:p>
            <w:pPr>
              <w:jc w:val="right"/>
              <w:ind w:right="38"/>
              <w:spacing w:after="0"/>
              <w:rPr>
                <w:sz w:val="20"/>
                <w:szCs w:val="20"/>
                <w:color w:val="auto"/>
              </w:rPr>
            </w:pPr>
            <w:r>
              <w:rPr>
                <w:rFonts w:ascii="Arial" w:cs="Arial" w:eastAsia="Arial" w:hAnsi="Arial"/>
                <w:sz w:val="11"/>
                <w:szCs w:val="11"/>
                <w:b w:val="1"/>
                <w:bCs w:val="1"/>
                <w:color w:val="auto"/>
              </w:rPr>
              <w:t>Date</w:t>
            </w:r>
          </w:p>
        </w:tc>
        <w:tc>
          <w:tcPr>
            <w:tcW w:w="1000" w:type="dxa"/>
            <w:vAlign w:val="bottom"/>
            <w:tcBorders>
              <w:bottom w:val="single" w:sz="8" w:color="342C82"/>
            </w:tcBorders>
          </w:tcPr>
          <w:p>
            <w:pPr>
              <w:jc w:val="right"/>
              <w:ind w:right="78"/>
              <w:spacing w:after="0"/>
              <w:rPr>
                <w:sz w:val="20"/>
                <w:szCs w:val="20"/>
                <w:color w:val="auto"/>
              </w:rPr>
            </w:pPr>
            <w:r>
              <w:rPr>
                <w:rFonts w:ascii="Arial" w:cs="Arial" w:eastAsia="Arial" w:hAnsi="Arial"/>
                <w:sz w:val="11"/>
                <w:szCs w:val="11"/>
                <w:b w:val="1"/>
                <w:bCs w:val="1"/>
                <w:color w:val="auto"/>
              </w:rPr>
              <w:t>Exercisable</w:t>
            </w:r>
            <w:r>
              <w:rPr>
                <w:rFonts w:ascii="Arial" w:cs="Arial" w:eastAsia="Arial" w:hAnsi="Arial"/>
                <w:sz w:val="16"/>
                <w:szCs w:val="16"/>
                <w:b w:val="1"/>
                <w:bCs w:val="1"/>
                <w:color w:val="auto"/>
                <w:vertAlign w:val="superscript"/>
              </w:rPr>
              <w:t>(1)</w:t>
            </w:r>
          </w:p>
        </w:tc>
        <w:tc>
          <w:tcPr>
            <w:tcW w:w="1120" w:type="dxa"/>
            <w:vAlign w:val="bottom"/>
            <w:tcBorders>
              <w:bottom w:val="single" w:sz="8" w:color="342C82"/>
            </w:tcBorders>
          </w:tcPr>
          <w:p>
            <w:pPr>
              <w:jc w:val="right"/>
              <w:ind w:right="79"/>
              <w:spacing w:after="0"/>
              <w:rPr>
                <w:sz w:val="20"/>
                <w:szCs w:val="20"/>
                <w:color w:val="auto"/>
              </w:rPr>
            </w:pPr>
            <w:r>
              <w:rPr>
                <w:rFonts w:ascii="Arial" w:cs="Arial" w:eastAsia="Arial" w:hAnsi="Arial"/>
                <w:sz w:val="11"/>
                <w:szCs w:val="11"/>
                <w:b w:val="1"/>
                <w:bCs w:val="1"/>
                <w:color w:val="auto"/>
              </w:rPr>
              <w:t>Unexercisable</w:t>
            </w:r>
            <w:r>
              <w:rPr>
                <w:rFonts w:ascii="Arial" w:cs="Arial" w:eastAsia="Arial" w:hAnsi="Arial"/>
                <w:sz w:val="16"/>
                <w:szCs w:val="16"/>
                <w:b w:val="1"/>
                <w:bCs w:val="1"/>
                <w:color w:val="auto"/>
                <w:vertAlign w:val="superscript"/>
              </w:rPr>
              <w:t>(1)</w:t>
            </w:r>
          </w:p>
        </w:tc>
        <w:tc>
          <w:tcPr>
            <w:tcW w:w="520" w:type="dxa"/>
            <w:vAlign w:val="bottom"/>
            <w:tcBorders>
              <w:bottom w:val="single" w:sz="8" w:color="342C82"/>
            </w:tcBorders>
          </w:tcPr>
          <w:p>
            <w:pPr>
              <w:jc w:val="right"/>
              <w:spacing w:after="0"/>
              <w:rPr>
                <w:sz w:val="20"/>
                <w:szCs w:val="20"/>
                <w:color w:val="auto"/>
              </w:rPr>
            </w:pPr>
            <w:r>
              <w:rPr>
                <w:rFonts w:ascii="Arial" w:cs="Arial" w:eastAsia="Arial" w:hAnsi="Arial"/>
                <w:sz w:val="11"/>
                <w:szCs w:val="11"/>
                <w:b w:val="1"/>
                <w:bCs w:val="1"/>
                <w:color w:val="auto"/>
              </w:rPr>
              <w:t>($)</w:t>
            </w:r>
          </w:p>
        </w:tc>
        <w:tc>
          <w:tcPr>
            <w:tcW w:w="860" w:type="dxa"/>
            <w:vAlign w:val="bottom"/>
            <w:tcBorders>
              <w:bottom w:val="single" w:sz="8" w:color="342C82"/>
            </w:tcBorders>
            <w:gridSpan w:val="2"/>
          </w:tcPr>
          <w:p>
            <w:pPr>
              <w:ind w:left="580"/>
              <w:spacing w:after="0"/>
              <w:rPr>
                <w:sz w:val="20"/>
                <w:szCs w:val="20"/>
                <w:color w:val="auto"/>
              </w:rPr>
            </w:pPr>
            <w:r>
              <w:rPr>
                <w:rFonts w:ascii="Arial" w:cs="Arial" w:eastAsia="Arial" w:hAnsi="Arial"/>
                <w:sz w:val="11"/>
                <w:szCs w:val="11"/>
                <w:b w:val="1"/>
                <w:bCs w:val="1"/>
                <w:color w:val="auto"/>
              </w:rPr>
              <w:t>Date</w:t>
            </w:r>
          </w:p>
        </w:tc>
        <w:tc>
          <w:tcPr>
            <w:tcW w:w="700" w:type="dxa"/>
            <w:vAlign w:val="bottom"/>
            <w:tcBorders>
              <w:bottom w:val="single" w:sz="8" w:color="342C82"/>
            </w:tcBorders>
          </w:tcPr>
          <w:p>
            <w:pPr>
              <w:jc w:val="right"/>
              <w:spacing w:after="0"/>
              <w:rPr>
                <w:sz w:val="20"/>
                <w:szCs w:val="20"/>
                <w:color w:val="auto"/>
              </w:rPr>
            </w:pPr>
            <w:r>
              <w:rPr>
                <w:rFonts w:ascii="Arial" w:cs="Arial" w:eastAsia="Arial" w:hAnsi="Arial"/>
                <w:sz w:val="11"/>
                <w:szCs w:val="11"/>
                <w:b w:val="1"/>
                <w:bCs w:val="1"/>
                <w:color w:val="auto"/>
              </w:rPr>
              <w:t>(#)</w:t>
            </w:r>
            <w:r>
              <w:rPr>
                <w:rFonts w:ascii="Arial" w:cs="Arial" w:eastAsia="Arial" w:hAnsi="Arial"/>
                <w:sz w:val="16"/>
                <w:szCs w:val="16"/>
                <w:b w:val="1"/>
                <w:bCs w:val="1"/>
                <w:color w:val="auto"/>
                <w:vertAlign w:val="superscript"/>
              </w:rPr>
              <w:t>(2)</w:t>
            </w:r>
          </w:p>
        </w:tc>
        <w:tc>
          <w:tcPr>
            <w:tcW w:w="800" w:type="dxa"/>
            <w:vAlign w:val="bottom"/>
            <w:tcBorders>
              <w:bottom w:val="single" w:sz="8" w:color="342C82"/>
            </w:tcBorders>
          </w:tcPr>
          <w:p>
            <w:pPr>
              <w:jc w:val="right"/>
              <w:ind w:right="39"/>
              <w:spacing w:after="0"/>
              <w:rPr>
                <w:sz w:val="20"/>
                <w:szCs w:val="20"/>
                <w:color w:val="auto"/>
              </w:rPr>
            </w:pPr>
            <w:r>
              <w:rPr>
                <w:rFonts w:ascii="Arial" w:cs="Arial" w:eastAsia="Arial" w:hAnsi="Arial"/>
                <w:sz w:val="11"/>
                <w:szCs w:val="11"/>
                <w:b w:val="1"/>
                <w:bCs w:val="1"/>
                <w:color w:val="auto"/>
              </w:rPr>
              <w:t>($)</w:t>
            </w:r>
            <w:r>
              <w:rPr>
                <w:rFonts w:ascii="Arial" w:cs="Arial" w:eastAsia="Arial" w:hAnsi="Arial"/>
                <w:sz w:val="16"/>
                <w:szCs w:val="16"/>
                <w:b w:val="1"/>
                <w:bCs w:val="1"/>
                <w:color w:val="auto"/>
                <w:vertAlign w:val="superscript"/>
              </w:rPr>
              <w:t>(3)</w:t>
            </w:r>
          </w:p>
        </w:tc>
        <w:tc>
          <w:tcPr>
            <w:tcW w:w="800" w:type="dxa"/>
            <w:vAlign w:val="bottom"/>
            <w:tcBorders>
              <w:bottom w:val="single" w:sz="8" w:color="342C82"/>
            </w:tcBorders>
          </w:tcPr>
          <w:p>
            <w:pPr>
              <w:jc w:val="right"/>
              <w:spacing w:after="0"/>
              <w:rPr>
                <w:sz w:val="20"/>
                <w:szCs w:val="20"/>
                <w:color w:val="auto"/>
              </w:rPr>
            </w:pPr>
            <w:r>
              <w:rPr>
                <w:rFonts w:ascii="Arial" w:cs="Arial" w:eastAsia="Arial" w:hAnsi="Arial"/>
                <w:sz w:val="11"/>
                <w:szCs w:val="11"/>
                <w:b w:val="1"/>
                <w:bCs w:val="1"/>
                <w:color w:val="auto"/>
              </w:rPr>
              <w:t>(#)</w:t>
            </w:r>
            <w:r>
              <w:rPr>
                <w:rFonts w:ascii="Arial" w:cs="Arial" w:eastAsia="Arial" w:hAnsi="Arial"/>
                <w:sz w:val="16"/>
                <w:szCs w:val="16"/>
                <w:b w:val="1"/>
                <w:bCs w:val="1"/>
                <w:color w:val="auto"/>
                <w:vertAlign w:val="superscript"/>
              </w:rPr>
              <w:t>(4)</w:t>
            </w:r>
          </w:p>
        </w:tc>
        <w:tc>
          <w:tcPr>
            <w:tcW w:w="840" w:type="dxa"/>
            <w:vAlign w:val="bottom"/>
            <w:tcBorders>
              <w:bottom w:val="single" w:sz="8" w:color="342C82"/>
            </w:tcBorders>
          </w:tcPr>
          <w:p>
            <w:pPr>
              <w:jc w:val="right"/>
              <w:ind w:right="20"/>
              <w:spacing w:after="0"/>
              <w:rPr>
                <w:sz w:val="20"/>
                <w:szCs w:val="20"/>
                <w:color w:val="auto"/>
              </w:rPr>
            </w:pPr>
            <w:r>
              <w:rPr>
                <w:rFonts w:ascii="Arial" w:cs="Arial" w:eastAsia="Arial" w:hAnsi="Arial"/>
                <w:sz w:val="11"/>
                <w:szCs w:val="11"/>
                <w:b w:val="1"/>
                <w:bCs w:val="1"/>
                <w:color w:val="auto"/>
              </w:rPr>
              <w:t>($)</w:t>
            </w:r>
            <w:r>
              <w:rPr>
                <w:rFonts w:ascii="Arial" w:cs="Arial" w:eastAsia="Arial" w:hAnsi="Arial"/>
                <w:sz w:val="16"/>
                <w:szCs w:val="16"/>
                <w:b w:val="1"/>
                <w:bCs w:val="1"/>
                <w:color w:val="auto"/>
                <w:vertAlign w:val="superscript"/>
              </w:rPr>
              <w:t>(3)</w:t>
            </w:r>
          </w:p>
        </w:tc>
        <w:tc>
          <w:tcPr>
            <w:tcW w:w="0" w:type="dxa"/>
            <w:vAlign w:val="bottom"/>
          </w:tcPr>
          <w:p>
            <w:pPr>
              <w:spacing w:after="0"/>
              <w:rPr>
                <w:sz w:val="1"/>
                <w:szCs w:val="1"/>
                <w:color w:val="auto"/>
              </w:rPr>
            </w:pPr>
          </w:p>
        </w:tc>
      </w:tr>
      <w:tr>
        <w:trPr>
          <w:trHeight w:val="151"/>
        </w:trPr>
        <w:tc>
          <w:tcPr>
            <w:tcW w:w="860" w:type="dxa"/>
            <w:vAlign w:val="bottom"/>
          </w:tcPr>
          <w:p>
            <w:pPr>
              <w:ind w:left="80"/>
              <w:spacing w:after="0"/>
              <w:rPr>
                <w:sz w:val="20"/>
                <w:szCs w:val="20"/>
                <w:color w:val="auto"/>
              </w:rPr>
            </w:pPr>
            <w:r>
              <w:rPr>
                <w:rFonts w:ascii="Arial" w:cs="Arial" w:eastAsia="Arial" w:hAnsi="Arial"/>
                <w:sz w:val="13"/>
                <w:szCs w:val="13"/>
                <w:b w:val="1"/>
                <w:bCs w:val="1"/>
                <w:color w:val="342C82"/>
              </w:rPr>
              <w:t>Dev</w:t>
            </w:r>
          </w:p>
        </w:tc>
        <w:tc>
          <w:tcPr>
            <w:tcW w:w="920" w:type="dxa"/>
            <w:vAlign w:val="bottom"/>
          </w:tcPr>
          <w:p>
            <w:pPr>
              <w:jc w:val="right"/>
              <w:ind w:right="178"/>
              <w:spacing w:after="0"/>
              <w:rPr>
                <w:sz w:val="20"/>
                <w:szCs w:val="20"/>
                <w:color w:val="auto"/>
              </w:rPr>
            </w:pPr>
            <w:r>
              <w:rPr>
                <w:rFonts w:ascii="Arial" w:cs="Arial" w:eastAsia="Arial" w:hAnsi="Arial"/>
                <w:sz w:val="13"/>
                <w:szCs w:val="13"/>
                <w:color w:val="auto"/>
              </w:rPr>
              <w:t>11/26/2023</w:t>
            </w:r>
          </w:p>
        </w:tc>
        <w:tc>
          <w:tcPr>
            <w:tcW w:w="1000" w:type="dxa"/>
            <w:vAlign w:val="bottom"/>
          </w:tcPr>
          <w:p>
            <w:pPr>
              <w:jc w:val="right"/>
              <w:ind w:right="178"/>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179"/>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9"/>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39"/>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00"/>
              <w:spacing w:after="0"/>
              <w:rPr>
                <w:sz w:val="20"/>
                <w:szCs w:val="20"/>
                <w:color w:val="auto"/>
              </w:rPr>
            </w:pPr>
            <w:r>
              <w:rPr>
                <w:rFonts w:ascii="Arial" w:cs="Arial" w:eastAsia="Arial" w:hAnsi="Arial"/>
                <w:sz w:val="13"/>
                <w:szCs w:val="13"/>
                <w:color w:val="auto"/>
              </w:rPr>
              <w:t>186,126</w:t>
            </w:r>
          </w:p>
        </w:tc>
        <w:tc>
          <w:tcPr>
            <w:tcW w:w="840" w:type="dxa"/>
            <w:vAlign w:val="bottom"/>
          </w:tcPr>
          <w:p>
            <w:pPr>
              <w:jc w:val="right"/>
              <w:ind w:right="140"/>
              <w:spacing w:after="0"/>
              <w:rPr>
                <w:sz w:val="20"/>
                <w:szCs w:val="20"/>
                <w:color w:val="auto"/>
              </w:rPr>
            </w:pPr>
            <w:r>
              <w:rPr>
                <w:rFonts w:ascii="Arial" w:cs="Arial" w:eastAsia="Arial" w:hAnsi="Arial"/>
                <w:sz w:val="13"/>
                <w:szCs w:val="13"/>
                <w:color w:val="auto"/>
              </w:rPr>
              <w:t>2,624,377</w:t>
            </w:r>
          </w:p>
        </w:tc>
        <w:tc>
          <w:tcPr>
            <w:tcW w:w="0" w:type="dxa"/>
            <w:vAlign w:val="bottom"/>
          </w:tcPr>
          <w:p>
            <w:pPr>
              <w:spacing w:after="0"/>
              <w:rPr>
                <w:sz w:val="1"/>
                <w:szCs w:val="1"/>
                <w:color w:val="auto"/>
              </w:rPr>
            </w:pPr>
          </w:p>
        </w:tc>
      </w:tr>
      <w:tr>
        <w:trPr>
          <w:trHeight w:val="172"/>
        </w:trPr>
        <w:tc>
          <w:tcPr>
            <w:tcW w:w="860" w:type="dxa"/>
            <w:vAlign w:val="bottom"/>
          </w:tcPr>
          <w:p>
            <w:pPr>
              <w:ind w:left="80"/>
              <w:spacing w:after="0"/>
              <w:rPr>
                <w:sz w:val="20"/>
                <w:szCs w:val="20"/>
                <w:color w:val="auto"/>
              </w:rPr>
            </w:pPr>
            <w:r>
              <w:rPr>
                <w:rFonts w:ascii="Arial" w:cs="Arial" w:eastAsia="Arial" w:hAnsi="Arial"/>
                <w:sz w:val="13"/>
                <w:szCs w:val="13"/>
                <w:b w:val="1"/>
                <w:bCs w:val="1"/>
                <w:color w:val="342C82"/>
              </w:rPr>
              <w:t>Kurdikar</w:t>
            </w:r>
          </w:p>
        </w:tc>
        <w:tc>
          <w:tcPr>
            <w:tcW w:w="920" w:type="dxa"/>
            <w:vAlign w:val="bottom"/>
            <w:vMerge w:val="restart"/>
          </w:tcPr>
          <w:p>
            <w:pPr>
              <w:jc w:val="right"/>
              <w:ind w:right="178"/>
              <w:spacing w:after="0"/>
              <w:rPr>
                <w:sz w:val="20"/>
                <w:szCs w:val="20"/>
                <w:color w:val="auto"/>
              </w:rPr>
            </w:pPr>
            <w:r>
              <w:rPr>
                <w:rFonts w:ascii="Arial" w:cs="Arial" w:eastAsia="Arial" w:hAnsi="Arial"/>
                <w:sz w:val="13"/>
                <w:szCs w:val="13"/>
                <w:color w:val="auto"/>
              </w:rPr>
              <w:t>11/26/2023</w:t>
            </w:r>
          </w:p>
        </w:tc>
        <w:tc>
          <w:tcPr>
            <w:tcW w:w="1000" w:type="dxa"/>
            <w:vAlign w:val="bottom"/>
            <w:vMerge w:val="restart"/>
          </w:tcPr>
          <w:p>
            <w:pPr>
              <w:jc w:val="right"/>
              <w:ind w:right="178"/>
              <w:spacing w:after="0"/>
              <w:rPr>
                <w:sz w:val="20"/>
                <w:szCs w:val="20"/>
                <w:color w:val="auto"/>
              </w:rPr>
            </w:pPr>
            <w:r>
              <w:rPr>
                <w:rFonts w:ascii="Arial" w:cs="Arial" w:eastAsia="Arial" w:hAnsi="Arial"/>
                <w:sz w:val="13"/>
                <w:szCs w:val="13"/>
                <w:color w:val="auto"/>
              </w:rPr>
              <w:t>—</w:t>
            </w:r>
          </w:p>
        </w:tc>
        <w:tc>
          <w:tcPr>
            <w:tcW w:w="1120" w:type="dxa"/>
            <w:vAlign w:val="bottom"/>
            <w:vMerge w:val="restart"/>
          </w:tcPr>
          <w:p>
            <w:pPr>
              <w:jc w:val="right"/>
              <w:ind w:right="179"/>
              <w:spacing w:after="0"/>
              <w:rPr>
                <w:sz w:val="20"/>
                <w:szCs w:val="20"/>
                <w:color w:val="auto"/>
              </w:rPr>
            </w:pPr>
            <w:r>
              <w:rPr>
                <w:rFonts w:ascii="Arial" w:cs="Arial" w:eastAsia="Arial" w:hAnsi="Arial"/>
                <w:sz w:val="13"/>
                <w:szCs w:val="13"/>
                <w:color w:val="auto"/>
              </w:rPr>
              <w:t>—</w:t>
            </w:r>
          </w:p>
        </w:tc>
        <w:tc>
          <w:tcPr>
            <w:tcW w:w="520" w:type="dxa"/>
            <w:vAlign w:val="bottom"/>
            <w:vMerge w:val="restart"/>
          </w:tcPr>
          <w:p>
            <w:pPr>
              <w:jc w:val="right"/>
              <w:ind w:right="38"/>
              <w:spacing w:after="0"/>
              <w:rPr>
                <w:sz w:val="20"/>
                <w:szCs w:val="20"/>
                <w:color w:val="auto"/>
              </w:rPr>
            </w:pPr>
            <w:r>
              <w:rPr>
                <w:rFonts w:ascii="Arial" w:cs="Arial" w:eastAsia="Arial" w:hAnsi="Arial"/>
                <w:sz w:val="13"/>
                <w:szCs w:val="13"/>
                <w:color w:val="auto"/>
              </w:rPr>
              <w:t>—</w:t>
            </w: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ind w:right="79"/>
              <w:spacing w:after="0"/>
              <w:rPr>
                <w:sz w:val="20"/>
                <w:szCs w:val="20"/>
                <w:color w:val="auto"/>
              </w:rPr>
            </w:pPr>
            <w:r>
              <w:rPr>
                <w:rFonts w:ascii="Arial" w:cs="Arial" w:eastAsia="Arial" w:hAnsi="Arial"/>
                <w:sz w:val="13"/>
                <w:szCs w:val="13"/>
                <w:color w:val="auto"/>
              </w:rPr>
              <w:t>186,126</w:t>
            </w:r>
          </w:p>
        </w:tc>
        <w:tc>
          <w:tcPr>
            <w:tcW w:w="800" w:type="dxa"/>
            <w:vAlign w:val="bottom"/>
            <w:vMerge w:val="restart"/>
          </w:tcPr>
          <w:p>
            <w:pPr>
              <w:jc w:val="right"/>
              <w:ind w:right="139"/>
              <w:spacing w:after="0"/>
              <w:rPr>
                <w:sz w:val="20"/>
                <w:szCs w:val="20"/>
                <w:color w:val="auto"/>
              </w:rPr>
            </w:pPr>
            <w:r>
              <w:rPr>
                <w:rFonts w:ascii="Arial" w:cs="Arial" w:eastAsia="Arial" w:hAnsi="Arial"/>
                <w:sz w:val="13"/>
                <w:szCs w:val="13"/>
                <w:color w:val="auto"/>
              </w:rPr>
              <w:t>2,624,377</w:t>
            </w:r>
          </w:p>
        </w:tc>
        <w:tc>
          <w:tcPr>
            <w:tcW w:w="800" w:type="dxa"/>
            <w:vAlign w:val="bottom"/>
            <w:vMerge w:val="restart"/>
          </w:tcPr>
          <w:p>
            <w:pPr>
              <w:jc w:val="right"/>
              <w:ind w:right="100"/>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2"/>
        </w:trPr>
        <w:tc>
          <w:tcPr>
            <w:tcW w:w="86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920" w:type="dxa"/>
            <w:vAlign w:val="bottom"/>
          </w:tcPr>
          <w:p>
            <w:pPr>
              <w:jc w:val="right"/>
              <w:ind w:right="178"/>
              <w:spacing w:after="0"/>
              <w:rPr>
                <w:sz w:val="20"/>
                <w:szCs w:val="20"/>
                <w:color w:val="auto"/>
              </w:rPr>
            </w:pPr>
            <w:r>
              <w:rPr>
                <w:rFonts w:ascii="Arial" w:cs="Arial" w:eastAsia="Arial" w:hAnsi="Arial"/>
                <w:sz w:val="13"/>
                <w:szCs w:val="13"/>
                <w:color w:val="auto"/>
              </w:rPr>
              <w:t>11/26/2022</w:t>
            </w:r>
          </w:p>
        </w:tc>
        <w:tc>
          <w:tcPr>
            <w:tcW w:w="1000" w:type="dxa"/>
            <w:vAlign w:val="bottom"/>
          </w:tcPr>
          <w:p>
            <w:pPr>
              <w:jc w:val="right"/>
              <w:ind w:right="178"/>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179"/>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9"/>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39"/>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00"/>
              <w:spacing w:after="0"/>
              <w:rPr>
                <w:sz w:val="20"/>
                <w:szCs w:val="20"/>
                <w:color w:val="auto"/>
              </w:rPr>
            </w:pPr>
            <w:r>
              <w:rPr>
                <w:rFonts w:ascii="Arial" w:cs="Arial" w:eastAsia="Arial" w:hAnsi="Arial"/>
                <w:sz w:val="13"/>
                <w:szCs w:val="13"/>
                <w:color w:val="auto"/>
              </w:rPr>
              <w:t>166,466</w:t>
            </w:r>
          </w:p>
        </w:tc>
        <w:tc>
          <w:tcPr>
            <w:tcW w:w="840" w:type="dxa"/>
            <w:vAlign w:val="bottom"/>
          </w:tcPr>
          <w:p>
            <w:pPr>
              <w:jc w:val="right"/>
              <w:ind w:right="140"/>
              <w:spacing w:after="0"/>
              <w:rPr>
                <w:sz w:val="20"/>
                <w:szCs w:val="20"/>
                <w:color w:val="auto"/>
              </w:rPr>
            </w:pPr>
            <w:r>
              <w:rPr>
                <w:rFonts w:ascii="Arial" w:cs="Arial" w:eastAsia="Arial" w:hAnsi="Arial"/>
                <w:sz w:val="13"/>
                <w:szCs w:val="13"/>
                <w:color w:val="auto"/>
              </w:rPr>
              <w:t>2,347,171</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920" w:type="dxa"/>
            <w:vAlign w:val="bottom"/>
          </w:tcPr>
          <w:p>
            <w:pPr>
              <w:jc w:val="right"/>
              <w:ind w:right="178"/>
              <w:spacing w:after="0"/>
              <w:rPr>
                <w:sz w:val="20"/>
                <w:szCs w:val="20"/>
                <w:color w:val="auto"/>
              </w:rPr>
            </w:pPr>
            <w:r>
              <w:rPr>
                <w:rFonts w:ascii="Arial" w:cs="Arial" w:eastAsia="Arial" w:hAnsi="Arial"/>
                <w:sz w:val="13"/>
                <w:szCs w:val="13"/>
                <w:color w:val="auto"/>
              </w:rPr>
              <w:t>11/26/2022</w:t>
            </w:r>
          </w:p>
        </w:tc>
        <w:tc>
          <w:tcPr>
            <w:tcW w:w="1000" w:type="dxa"/>
            <w:vAlign w:val="bottom"/>
          </w:tcPr>
          <w:p>
            <w:pPr>
              <w:jc w:val="right"/>
              <w:ind w:right="178"/>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179"/>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9"/>
              <w:spacing w:after="0"/>
              <w:rPr>
                <w:sz w:val="20"/>
                <w:szCs w:val="20"/>
                <w:color w:val="auto"/>
              </w:rPr>
            </w:pPr>
            <w:r>
              <w:rPr>
                <w:rFonts w:ascii="Arial" w:cs="Arial" w:eastAsia="Arial" w:hAnsi="Arial"/>
                <w:sz w:val="13"/>
                <w:szCs w:val="13"/>
                <w:color w:val="auto"/>
              </w:rPr>
              <w:t>55,492</w:t>
            </w:r>
          </w:p>
        </w:tc>
        <w:tc>
          <w:tcPr>
            <w:tcW w:w="800" w:type="dxa"/>
            <w:vAlign w:val="bottom"/>
          </w:tcPr>
          <w:p>
            <w:pPr>
              <w:jc w:val="right"/>
              <w:ind w:right="139"/>
              <w:spacing w:after="0"/>
              <w:rPr>
                <w:sz w:val="20"/>
                <w:szCs w:val="20"/>
                <w:color w:val="auto"/>
              </w:rPr>
            </w:pPr>
            <w:r>
              <w:rPr>
                <w:rFonts w:ascii="Arial" w:cs="Arial" w:eastAsia="Arial" w:hAnsi="Arial"/>
                <w:sz w:val="13"/>
                <w:szCs w:val="13"/>
                <w:color w:val="auto"/>
              </w:rPr>
              <w:t>782,438</w:t>
            </w:r>
          </w:p>
        </w:tc>
        <w:tc>
          <w:tcPr>
            <w:tcW w:w="800" w:type="dxa"/>
            <w:vAlign w:val="bottom"/>
          </w:tcPr>
          <w:p>
            <w:pPr>
              <w:jc w:val="right"/>
              <w:ind w:right="10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920" w:type="dxa"/>
            <w:vAlign w:val="bottom"/>
          </w:tcPr>
          <w:p>
            <w:pPr>
              <w:jc w:val="right"/>
              <w:ind w:right="178"/>
              <w:spacing w:after="0"/>
              <w:rPr>
                <w:sz w:val="20"/>
                <w:szCs w:val="20"/>
                <w:color w:val="auto"/>
              </w:rPr>
            </w:pPr>
            <w:r>
              <w:rPr>
                <w:rFonts w:ascii="Arial" w:cs="Arial" w:eastAsia="Arial" w:hAnsi="Arial"/>
                <w:sz w:val="13"/>
                <w:szCs w:val="13"/>
                <w:color w:val="auto"/>
              </w:rPr>
              <w:t>4/4/2022</w:t>
            </w:r>
          </w:p>
        </w:tc>
        <w:tc>
          <w:tcPr>
            <w:tcW w:w="1000" w:type="dxa"/>
            <w:vAlign w:val="bottom"/>
          </w:tcPr>
          <w:p>
            <w:pPr>
              <w:jc w:val="right"/>
              <w:ind w:right="158"/>
              <w:spacing w:after="0"/>
              <w:rPr>
                <w:sz w:val="20"/>
                <w:szCs w:val="20"/>
                <w:color w:val="auto"/>
              </w:rPr>
            </w:pPr>
            <w:r>
              <w:rPr>
                <w:rFonts w:ascii="Arial" w:cs="Arial" w:eastAsia="Arial" w:hAnsi="Arial"/>
                <w:sz w:val="13"/>
                <w:szCs w:val="13"/>
                <w:color w:val="auto"/>
              </w:rPr>
              <w:t>66,002</w:t>
            </w:r>
          </w:p>
        </w:tc>
        <w:tc>
          <w:tcPr>
            <w:tcW w:w="1120" w:type="dxa"/>
            <w:vAlign w:val="bottom"/>
          </w:tcPr>
          <w:p>
            <w:pPr>
              <w:jc w:val="right"/>
              <w:ind w:right="159"/>
              <w:spacing w:after="0"/>
              <w:rPr>
                <w:sz w:val="20"/>
                <w:szCs w:val="20"/>
                <w:color w:val="auto"/>
              </w:rPr>
            </w:pPr>
            <w:r>
              <w:rPr>
                <w:rFonts w:ascii="Arial" w:cs="Arial" w:eastAsia="Arial" w:hAnsi="Arial"/>
                <w:sz w:val="13"/>
                <w:szCs w:val="13"/>
                <w:color w:val="auto"/>
              </w:rPr>
              <w:t>283,801</w:t>
            </w:r>
          </w:p>
        </w:tc>
        <w:tc>
          <w:tcPr>
            <w:tcW w:w="520" w:type="dxa"/>
            <w:vAlign w:val="bottom"/>
          </w:tcPr>
          <w:p>
            <w:pPr>
              <w:jc w:val="right"/>
              <w:ind w:right="38"/>
              <w:spacing w:after="0"/>
              <w:rPr>
                <w:sz w:val="20"/>
                <w:szCs w:val="20"/>
                <w:color w:val="auto"/>
              </w:rPr>
            </w:pPr>
            <w:r>
              <w:rPr>
                <w:rFonts w:ascii="Arial" w:cs="Arial" w:eastAsia="Arial" w:hAnsi="Arial"/>
                <w:sz w:val="13"/>
                <w:szCs w:val="13"/>
                <w:color w:val="auto"/>
              </w:rPr>
              <w:t>31.40</w:t>
            </w:r>
          </w:p>
        </w:tc>
        <w:tc>
          <w:tcPr>
            <w:tcW w:w="800" w:type="dxa"/>
            <w:vAlign w:val="bottom"/>
          </w:tcPr>
          <w:p>
            <w:pPr>
              <w:jc w:val="right"/>
              <w:ind w:right="78"/>
              <w:spacing w:after="0"/>
              <w:rPr>
                <w:sz w:val="20"/>
                <w:szCs w:val="20"/>
                <w:color w:val="auto"/>
              </w:rPr>
            </w:pPr>
            <w:r>
              <w:rPr>
                <w:rFonts w:ascii="Arial" w:cs="Arial" w:eastAsia="Arial" w:hAnsi="Arial"/>
                <w:sz w:val="13"/>
                <w:szCs w:val="13"/>
                <w:color w:val="auto"/>
              </w:rPr>
              <w:t>4/4/2032</w:t>
            </w:r>
          </w:p>
        </w:tc>
        <w:tc>
          <w:tcPr>
            <w:tcW w:w="60" w:type="dxa"/>
            <w:vAlign w:val="bottom"/>
          </w:tcPr>
          <w:p>
            <w:pPr>
              <w:spacing w:after="0"/>
              <w:rPr>
                <w:sz w:val="21"/>
                <w:szCs w:val="21"/>
                <w:color w:val="auto"/>
              </w:rPr>
            </w:pPr>
          </w:p>
        </w:tc>
        <w:tc>
          <w:tcPr>
            <w:tcW w:w="700" w:type="dxa"/>
            <w:vAlign w:val="bottom"/>
          </w:tcPr>
          <w:p>
            <w:pPr>
              <w:jc w:val="right"/>
              <w:ind w:right="79"/>
              <w:spacing w:after="0"/>
              <w:rPr>
                <w:sz w:val="20"/>
                <w:szCs w:val="20"/>
                <w:color w:val="auto"/>
              </w:rPr>
            </w:pPr>
            <w:r>
              <w:rPr>
                <w:rFonts w:ascii="Arial" w:cs="Arial" w:eastAsia="Arial" w:hAnsi="Arial"/>
                <w:sz w:val="13"/>
                <w:szCs w:val="13"/>
                <w:color w:val="auto"/>
              </w:rPr>
              <w:t>80,470</w:t>
            </w:r>
          </w:p>
        </w:tc>
        <w:tc>
          <w:tcPr>
            <w:tcW w:w="800" w:type="dxa"/>
            <w:vAlign w:val="bottom"/>
          </w:tcPr>
          <w:p>
            <w:pPr>
              <w:jc w:val="right"/>
              <w:ind w:right="139"/>
              <w:spacing w:after="0"/>
              <w:rPr>
                <w:sz w:val="20"/>
                <w:szCs w:val="20"/>
                <w:color w:val="auto"/>
              </w:rPr>
            </w:pPr>
            <w:r>
              <w:rPr>
                <w:rFonts w:ascii="Arial" w:cs="Arial" w:eastAsia="Arial" w:hAnsi="Arial"/>
                <w:sz w:val="13"/>
                <w:szCs w:val="13"/>
                <w:color w:val="auto"/>
              </w:rPr>
              <w:t>1,134,627</w:t>
            </w:r>
          </w:p>
        </w:tc>
        <w:tc>
          <w:tcPr>
            <w:tcW w:w="800" w:type="dxa"/>
            <w:vAlign w:val="bottom"/>
          </w:tcPr>
          <w:p>
            <w:pPr>
              <w:jc w:val="right"/>
              <w:ind w:right="10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920" w:type="dxa"/>
            <w:vAlign w:val="bottom"/>
          </w:tcPr>
          <w:p>
            <w:pPr>
              <w:jc w:val="right"/>
              <w:ind w:right="178"/>
              <w:spacing w:after="0"/>
              <w:rPr>
                <w:sz w:val="20"/>
                <w:szCs w:val="20"/>
                <w:color w:val="auto"/>
              </w:rPr>
            </w:pPr>
            <w:r>
              <w:rPr>
                <w:rFonts w:ascii="Arial" w:cs="Arial" w:eastAsia="Arial" w:hAnsi="Arial"/>
                <w:sz w:val="13"/>
                <w:szCs w:val="13"/>
                <w:color w:val="auto"/>
              </w:rPr>
              <w:t>11/26/2021</w:t>
            </w:r>
          </w:p>
        </w:tc>
        <w:tc>
          <w:tcPr>
            <w:tcW w:w="1000" w:type="dxa"/>
            <w:vAlign w:val="bottom"/>
          </w:tcPr>
          <w:p>
            <w:pPr>
              <w:jc w:val="right"/>
              <w:ind w:right="158"/>
              <w:spacing w:after="0"/>
              <w:rPr>
                <w:sz w:val="20"/>
                <w:szCs w:val="20"/>
                <w:color w:val="auto"/>
              </w:rPr>
            </w:pPr>
            <w:r>
              <w:rPr>
                <w:rFonts w:ascii="Arial" w:cs="Arial" w:eastAsia="Arial" w:hAnsi="Arial"/>
                <w:sz w:val="13"/>
                <w:szCs w:val="13"/>
                <w:color w:val="auto"/>
              </w:rPr>
              <w:t>104,412</w:t>
            </w:r>
          </w:p>
        </w:tc>
        <w:tc>
          <w:tcPr>
            <w:tcW w:w="1120" w:type="dxa"/>
            <w:vAlign w:val="bottom"/>
          </w:tcPr>
          <w:p>
            <w:pPr>
              <w:jc w:val="right"/>
              <w:ind w:right="159"/>
              <w:spacing w:after="0"/>
              <w:rPr>
                <w:sz w:val="20"/>
                <w:szCs w:val="20"/>
                <w:color w:val="auto"/>
              </w:rPr>
            </w:pPr>
            <w:r>
              <w:rPr>
                <w:rFonts w:ascii="Arial" w:cs="Arial" w:eastAsia="Arial" w:hAnsi="Arial"/>
                <w:sz w:val="13"/>
                <w:szCs w:val="13"/>
                <w:color w:val="auto"/>
              </w:rPr>
              <w:t>104,151</w:t>
            </w:r>
          </w:p>
        </w:tc>
        <w:tc>
          <w:tcPr>
            <w:tcW w:w="520" w:type="dxa"/>
            <w:vAlign w:val="bottom"/>
          </w:tcPr>
          <w:p>
            <w:pPr>
              <w:jc w:val="right"/>
              <w:ind w:right="38"/>
              <w:spacing w:after="0"/>
              <w:rPr>
                <w:sz w:val="20"/>
                <w:szCs w:val="20"/>
                <w:color w:val="auto"/>
              </w:rPr>
            </w:pPr>
            <w:r>
              <w:rPr>
                <w:rFonts w:ascii="Arial" w:cs="Arial" w:eastAsia="Arial" w:hAnsi="Arial"/>
                <w:sz w:val="13"/>
                <w:szCs w:val="13"/>
                <w:color w:val="auto"/>
              </w:rPr>
              <w:t>28.31</w:t>
            </w:r>
          </w:p>
        </w:tc>
        <w:tc>
          <w:tcPr>
            <w:tcW w:w="800" w:type="dxa"/>
            <w:vAlign w:val="bottom"/>
          </w:tcPr>
          <w:p>
            <w:pPr>
              <w:jc w:val="right"/>
              <w:ind w:right="58"/>
              <w:spacing w:after="0"/>
              <w:rPr>
                <w:sz w:val="20"/>
                <w:szCs w:val="20"/>
                <w:color w:val="auto"/>
              </w:rPr>
            </w:pPr>
            <w:r>
              <w:rPr>
                <w:rFonts w:ascii="Arial" w:cs="Arial" w:eastAsia="Arial" w:hAnsi="Arial"/>
                <w:sz w:val="13"/>
                <w:szCs w:val="13"/>
                <w:color w:val="auto"/>
              </w:rPr>
              <w:t>11/26/2031</w:t>
            </w:r>
          </w:p>
        </w:tc>
        <w:tc>
          <w:tcPr>
            <w:tcW w:w="60" w:type="dxa"/>
            <w:vAlign w:val="bottom"/>
          </w:tcPr>
          <w:p>
            <w:pPr>
              <w:spacing w:after="0"/>
              <w:rPr>
                <w:sz w:val="21"/>
                <w:szCs w:val="21"/>
                <w:color w:val="auto"/>
              </w:rPr>
            </w:pPr>
          </w:p>
        </w:tc>
        <w:tc>
          <w:tcPr>
            <w:tcW w:w="700" w:type="dxa"/>
            <w:vAlign w:val="bottom"/>
          </w:tcPr>
          <w:p>
            <w:pPr>
              <w:jc w:val="right"/>
              <w:ind w:right="79"/>
              <w:spacing w:after="0"/>
              <w:rPr>
                <w:sz w:val="20"/>
                <w:szCs w:val="20"/>
                <w:color w:val="auto"/>
              </w:rPr>
            </w:pPr>
            <w:r>
              <w:rPr>
                <w:rFonts w:ascii="Arial" w:cs="Arial" w:eastAsia="Arial" w:hAnsi="Arial"/>
                <w:sz w:val="13"/>
                <w:szCs w:val="13"/>
                <w:color w:val="auto"/>
              </w:rPr>
              <w:t>9,718</w:t>
            </w:r>
          </w:p>
        </w:tc>
        <w:tc>
          <w:tcPr>
            <w:tcW w:w="800" w:type="dxa"/>
            <w:vAlign w:val="bottom"/>
          </w:tcPr>
          <w:p>
            <w:pPr>
              <w:jc w:val="right"/>
              <w:ind w:right="139"/>
              <w:spacing w:after="0"/>
              <w:rPr>
                <w:sz w:val="20"/>
                <w:szCs w:val="20"/>
                <w:color w:val="auto"/>
              </w:rPr>
            </w:pPr>
            <w:r>
              <w:rPr>
                <w:rFonts w:ascii="Arial" w:cs="Arial" w:eastAsia="Arial" w:hAnsi="Arial"/>
                <w:sz w:val="13"/>
                <w:szCs w:val="13"/>
                <w:color w:val="auto"/>
              </w:rPr>
              <w:t>137,024</w:t>
            </w:r>
          </w:p>
        </w:tc>
        <w:tc>
          <w:tcPr>
            <w:tcW w:w="800" w:type="dxa"/>
            <w:vAlign w:val="bottom"/>
          </w:tcPr>
          <w:p>
            <w:pPr>
              <w:jc w:val="right"/>
              <w:ind w:right="10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920" w:type="dxa"/>
            <w:vAlign w:val="bottom"/>
          </w:tcPr>
          <w:p>
            <w:pPr>
              <w:jc w:val="right"/>
              <w:ind w:right="178"/>
              <w:spacing w:after="0"/>
              <w:rPr>
                <w:sz w:val="20"/>
                <w:szCs w:val="20"/>
                <w:color w:val="auto"/>
              </w:rPr>
            </w:pPr>
            <w:r>
              <w:rPr>
                <w:rFonts w:ascii="Arial" w:cs="Arial" w:eastAsia="Arial" w:hAnsi="Arial"/>
                <w:sz w:val="13"/>
                <w:szCs w:val="13"/>
                <w:color w:val="auto"/>
              </w:rPr>
              <w:t>2/11/2021</w:t>
            </w:r>
          </w:p>
        </w:tc>
        <w:tc>
          <w:tcPr>
            <w:tcW w:w="1000" w:type="dxa"/>
            <w:vAlign w:val="bottom"/>
          </w:tcPr>
          <w:p>
            <w:pPr>
              <w:jc w:val="right"/>
              <w:ind w:right="158"/>
              <w:spacing w:after="0"/>
              <w:rPr>
                <w:sz w:val="20"/>
                <w:szCs w:val="20"/>
                <w:color w:val="auto"/>
              </w:rPr>
            </w:pPr>
            <w:r>
              <w:rPr>
                <w:rFonts w:ascii="Arial" w:cs="Arial" w:eastAsia="Arial" w:hAnsi="Arial"/>
                <w:sz w:val="13"/>
                <w:szCs w:val="13"/>
                <w:color w:val="auto"/>
              </w:rPr>
              <w:t>99,647</w:t>
            </w:r>
          </w:p>
        </w:tc>
        <w:tc>
          <w:tcPr>
            <w:tcW w:w="1120" w:type="dxa"/>
            <w:vAlign w:val="bottom"/>
          </w:tcPr>
          <w:p>
            <w:pPr>
              <w:jc w:val="right"/>
              <w:ind w:right="159"/>
              <w:spacing w:after="0"/>
              <w:rPr>
                <w:sz w:val="20"/>
                <w:szCs w:val="20"/>
                <w:color w:val="auto"/>
              </w:rPr>
            </w:pPr>
            <w:r>
              <w:rPr>
                <w:rFonts w:ascii="Arial" w:cs="Arial" w:eastAsia="Arial" w:hAnsi="Arial"/>
                <w:sz w:val="13"/>
                <w:szCs w:val="13"/>
                <w:color w:val="auto"/>
              </w:rPr>
              <w:t>33,224</w:t>
            </w:r>
          </w:p>
        </w:tc>
        <w:tc>
          <w:tcPr>
            <w:tcW w:w="520" w:type="dxa"/>
            <w:vAlign w:val="bottom"/>
          </w:tcPr>
          <w:p>
            <w:pPr>
              <w:jc w:val="right"/>
              <w:ind w:right="38"/>
              <w:spacing w:after="0"/>
              <w:rPr>
                <w:sz w:val="20"/>
                <w:szCs w:val="20"/>
                <w:color w:val="auto"/>
              </w:rPr>
            </w:pPr>
            <w:r>
              <w:rPr>
                <w:rFonts w:ascii="Arial" w:cs="Arial" w:eastAsia="Arial" w:hAnsi="Arial"/>
                <w:sz w:val="13"/>
                <w:szCs w:val="13"/>
                <w:color w:val="auto"/>
              </w:rPr>
              <w:t>29.27</w:t>
            </w:r>
          </w:p>
        </w:tc>
        <w:tc>
          <w:tcPr>
            <w:tcW w:w="800" w:type="dxa"/>
            <w:vAlign w:val="bottom"/>
          </w:tcPr>
          <w:p>
            <w:pPr>
              <w:jc w:val="right"/>
              <w:ind w:right="58"/>
              <w:spacing w:after="0"/>
              <w:rPr>
                <w:sz w:val="20"/>
                <w:szCs w:val="20"/>
                <w:color w:val="auto"/>
              </w:rPr>
            </w:pPr>
            <w:r>
              <w:rPr>
                <w:rFonts w:ascii="Arial" w:cs="Arial" w:eastAsia="Arial" w:hAnsi="Arial"/>
                <w:sz w:val="13"/>
                <w:szCs w:val="13"/>
                <w:color w:val="auto"/>
              </w:rPr>
              <w:t>2/11/2031</w:t>
            </w: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jc w:val="right"/>
              <w:ind w:right="10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
        </w:trPr>
        <w:tc>
          <w:tcPr>
            <w:tcW w:w="860" w:type="dxa"/>
            <w:vAlign w:val="bottom"/>
            <w:tcBorders>
              <w:bottom w:val="single" w:sz="8" w:color="808080"/>
            </w:tcBorders>
          </w:tcPr>
          <w:p>
            <w:pPr>
              <w:spacing w:after="0"/>
              <w:rPr>
                <w:sz w:val="2"/>
                <w:szCs w:val="2"/>
                <w:color w:val="auto"/>
              </w:rPr>
            </w:pPr>
          </w:p>
        </w:tc>
        <w:tc>
          <w:tcPr>
            <w:tcW w:w="920" w:type="dxa"/>
            <w:vAlign w:val="bottom"/>
            <w:tcBorders>
              <w:bottom w:val="single" w:sz="8" w:color="808080"/>
            </w:tcBorders>
          </w:tcPr>
          <w:p>
            <w:pPr>
              <w:spacing w:after="0"/>
              <w:rPr>
                <w:sz w:val="2"/>
                <w:szCs w:val="2"/>
                <w:color w:val="auto"/>
              </w:rPr>
            </w:pPr>
          </w:p>
        </w:tc>
        <w:tc>
          <w:tcPr>
            <w:tcW w:w="1000" w:type="dxa"/>
            <w:vAlign w:val="bottom"/>
            <w:tcBorders>
              <w:bottom w:val="single" w:sz="8" w:color="808080"/>
            </w:tcBorders>
          </w:tcPr>
          <w:p>
            <w:pPr>
              <w:spacing w:after="0"/>
              <w:rPr>
                <w:sz w:val="2"/>
                <w:szCs w:val="2"/>
                <w:color w:val="auto"/>
              </w:rPr>
            </w:pPr>
          </w:p>
        </w:tc>
        <w:tc>
          <w:tcPr>
            <w:tcW w:w="1120" w:type="dxa"/>
            <w:vAlign w:val="bottom"/>
            <w:tcBorders>
              <w:bottom w:val="single" w:sz="8" w:color="808080"/>
            </w:tcBorders>
          </w:tcPr>
          <w:p>
            <w:pPr>
              <w:spacing w:after="0"/>
              <w:rPr>
                <w:sz w:val="2"/>
                <w:szCs w:val="2"/>
                <w:color w:val="auto"/>
              </w:rPr>
            </w:pPr>
          </w:p>
        </w:tc>
        <w:tc>
          <w:tcPr>
            <w:tcW w:w="520" w:type="dxa"/>
            <w:vAlign w:val="bottom"/>
            <w:tcBorders>
              <w:bottom w:val="single" w:sz="8" w:color="808080"/>
            </w:tcBorders>
          </w:tcPr>
          <w:p>
            <w:pPr>
              <w:spacing w:after="0"/>
              <w:rPr>
                <w:sz w:val="2"/>
                <w:szCs w:val="2"/>
                <w:color w:val="auto"/>
              </w:rPr>
            </w:pPr>
          </w:p>
        </w:tc>
        <w:tc>
          <w:tcPr>
            <w:tcW w:w="860" w:type="dxa"/>
            <w:vAlign w:val="bottom"/>
            <w:tcBorders>
              <w:bottom w:val="single" w:sz="8" w:color="808080"/>
            </w:tcBorders>
            <w:gridSpan w:val="2"/>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800" w:type="dxa"/>
            <w:vAlign w:val="bottom"/>
            <w:tcBorders>
              <w:bottom w:val="single" w:sz="8" w:color="808080"/>
            </w:tcBorders>
          </w:tcPr>
          <w:p>
            <w:pPr>
              <w:spacing w:after="0"/>
              <w:rPr>
                <w:sz w:val="2"/>
                <w:szCs w:val="2"/>
                <w:color w:val="auto"/>
              </w:rPr>
            </w:pPr>
          </w:p>
        </w:tc>
        <w:tc>
          <w:tcPr>
            <w:tcW w:w="800" w:type="dxa"/>
            <w:vAlign w:val="bottom"/>
            <w:tcBorders>
              <w:bottom w:val="single" w:sz="8" w:color="808080"/>
            </w:tcBorders>
          </w:tcPr>
          <w:p>
            <w:pPr>
              <w:spacing w:after="0"/>
              <w:rPr>
                <w:sz w:val="2"/>
                <w:szCs w:val="2"/>
                <w:color w:val="auto"/>
              </w:rPr>
            </w:pPr>
          </w:p>
        </w:tc>
        <w:tc>
          <w:tcPr>
            <w:tcW w:w="8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860" w:type="dxa"/>
            <w:vAlign w:val="bottom"/>
          </w:tcPr>
          <w:p>
            <w:pPr>
              <w:ind w:left="80"/>
              <w:spacing w:after="0"/>
              <w:rPr>
                <w:sz w:val="20"/>
                <w:szCs w:val="20"/>
                <w:color w:val="auto"/>
              </w:rPr>
            </w:pPr>
            <w:r>
              <w:rPr>
                <w:rFonts w:ascii="Arial" w:cs="Arial" w:eastAsia="Arial" w:hAnsi="Arial"/>
                <w:sz w:val="13"/>
                <w:szCs w:val="13"/>
                <w:b w:val="1"/>
                <w:bCs w:val="1"/>
                <w:color w:val="342C82"/>
              </w:rPr>
              <w:t>Jake</w:t>
            </w:r>
          </w:p>
        </w:tc>
        <w:tc>
          <w:tcPr>
            <w:tcW w:w="920" w:type="dxa"/>
            <w:vAlign w:val="bottom"/>
          </w:tcPr>
          <w:p>
            <w:pPr>
              <w:jc w:val="right"/>
              <w:ind w:right="178"/>
              <w:spacing w:after="0"/>
              <w:rPr>
                <w:sz w:val="20"/>
                <w:szCs w:val="20"/>
                <w:color w:val="auto"/>
              </w:rPr>
            </w:pPr>
            <w:r>
              <w:rPr>
                <w:rFonts w:ascii="Arial" w:cs="Arial" w:eastAsia="Arial" w:hAnsi="Arial"/>
                <w:sz w:val="13"/>
                <w:szCs w:val="13"/>
                <w:color w:val="auto"/>
              </w:rPr>
              <w:t>11/26/2023</w:t>
            </w:r>
          </w:p>
        </w:tc>
        <w:tc>
          <w:tcPr>
            <w:tcW w:w="1000" w:type="dxa"/>
            <w:vAlign w:val="bottom"/>
          </w:tcPr>
          <w:p>
            <w:pPr>
              <w:jc w:val="right"/>
              <w:ind w:right="178"/>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179"/>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9"/>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39"/>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00"/>
              <w:spacing w:after="0"/>
              <w:rPr>
                <w:sz w:val="20"/>
                <w:szCs w:val="20"/>
                <w:color w:val="auto"/>
              </w:rPr>
            </w:pPr>
            <w:r>
              <w:rPr>
                <w:rFonts w:ascii="Arial" w:cs="Arial" w:eastAsia="Arial" w:hAnsi="Arial"/>
                <w:sz w:val="13"/>
                <w:szCs w:val="13"/>
                <w:color w:val="auto"/>
              </w:rPr>
              <w:t>59,562</w:t>
            </w:r>
          </w:p>
        </w:tc>
        <w:tc>
          <w:tcPr>
            <w:tcW w:w="840" w:type="dxa"/>
            <w:vAlign w:val="bottom"/>
          </w:tcPr>
          <w:p>
            <w:pPr>
              <w:jc w:val="right"/>
              <w:ind w:right="140"/>
              <w:spacing w:after="0"/>
              <w:rPr>
                <w:sz w:val="20"/>
                <w:szCs w:val="20"/>
                <w:color w:val="auto"/>
              </w:rPr>
            </w:pPr>
            <w:r>
              <w:rPr>
                <w:rFonts w:ascii="Arial" w:cs="Arial" w:eastAsia="Arial" w:hAnsi="Arial"/>
                <w:sz w:val="13"/>
                <w:szCs w:val="13"/>
                <w:color w:val="auto"/>
              </w:rPr>
              <w:t>839,824</w:t>
            </w:r>
          </w:p>
        </w:tc>
        <w:tc>
          <w:tcPr>
            <w:tcW w:w="0" w:type="dxa"/>
            <w:vAlign w:val="bottom"/>
          </w:tcPr>
          <w:p>
            <w:pPr>
              <w:spacing w:after="0"/>
              <w:rPr>
                <w:sz w:val="1"/>
                <w:szCs w:val="1"/>
                <w:color w:val="auto"/>
              </w:rPr>
            </w:pPr>
          </w:p>
        </w:tc>
      </w:tr>
      <w:tr>
        <w:trPr>
          <w:trHeight w:val="172"/>
        </w:trPr>
        <w:tc>
          <w:tcPr>
            <w:tcW w:w="860" w:type="dxa"/>
            <w:vAlign w:val="bottom"/>
          </w:tcPr>
          <w:p>
            <w:pPr>
              <w:ind w:left="80"/>
              <w:spacing w:after="0"/>
              <w:rPr>
                <w:sz w:val="20"/>
                <w:szCs w:val="20"/>
                <w:color w:val="auto"/>
              </w:rPr>
            </w:pPr>
            <w:r>
              <w:rPr>
                <w:rFonts w:ascii="Arial" w:cs="Arial" w:eastAsia="Arial" w:hAnsi="Arial"/>
                <w:sz w:val="13"/>
                <w:szCs w:val="13"/>
                <w:b w:val="1"/>
                <w:bCs w:val="1"/>
                <w:color w:val="342C82"/>
              </w:rPr>
              <w:t>Elguicze</w:t>
            </w:r>
          </w:p>
        </w:tc>
        <w:tc>
          <w:tcPr>
            <w:tcW w:w="920" w:type="dxa"/>
            <w:vAlign w:val="bottom"/>
            <w:vMerge w:val="restart"/>
          </w:tcPr>
          <w:p>
            <w:pPr>
              <w:jc w:val="right"/>
              <w:ind w:right="178"/>
              <w:spacing w:after="0"/>
              <w:rPr>
                <w:sz w:val="20"/>
                <w:szCs w:val="20"/>
                <w:color w:val="auto"/>
              </w:rPr>
            </w:pPr>
            <w:r>
              <w:rPr>
                <w:rFonts w:ascii="Arial" w:cs="Arial" w:eastAsia="Arial" w:hAnsi="Arial"/>
                <w:sz w:val="13"/>
                <w:szCs w:val="13"/>
                <w:color w:val="auto"/>
              </w:rPr>
              <w:t>11/26/2023</w:t>
            </w:r>
          </w:p>
        </w:tc>
        <w:tc>
          <w:tcPr>
            <w:tcW w:w="1000" w:type="dxa"/>
            <w:vAlign w:val="bottom"/>
            <w:vMerge w:val="restart"/>
          </w:tcPr>
          <w:p>
            <w:pPr>
              <w:jc w:val="right"/>
              <w:ind w:right="178"/>
              <w:spacing w:after="0"/>
              <w:rPr>
                <w:sz w:val="20"/>
                <w:szCs w:val="20"/>
                <w:color w:val="auto"/>
              </w:rPr>
            </w:pPr>
            <w:r>
              <w:rPr>
                <w:rFonts w:ascii="Arial" w:cs="Arial" w:eastAsia="Arial" w:hAnsi="Arial"/>
                <w:sz w:val="13"/>
                <w:szCs w:val="13"/>
                <w:color w:val="auto"/>
              </w:rPr>
              <w:t>—</w:t>
            </w:r>
          </w:p>
        </w:tc>
        <w:tc>
          <w:tcPr>
            <w:tcW w:w="1120" w:type="dxa"/>
            <w:vAlign w:val="bottom"/>
            <w:vMerge w:val="restart"/>
          </w:tcPr>
          <w:p>
            <w:pPr>
              <w:jc w:val="right"/>
              <w:ind w:right="179"/>
              <w:spacing w:after="0"/>
              <w:rPr>
                <w:sz w:val="20"/>
                <w:szCs w:val="20"/>
                <w:color w:val="auto"/>
              </w:rPr>
            </w:pPr>
            <w:r>
              <w:rPr>
                <w:rFonts w:ascii="Arial" w:cs="Arial" w:eastAsia="Arial" w:hAnsi="Arial"/>
                <w:sz w:val="13"/>
                <w:szCs w:val="13"/>
                <w:color w:val="auto"/>
              </w:rPr>
              <w:t>—</w:t>
            </w:r>
          </w:p>
        </w:tc>
        <w:tc>
          <w:tcPr>
            <w:tcW w:w="520" w:type="dxa"/>
            <w:vAlign w:val="bottom"/>
            <w:vMerge w:val="restart"/>
          </w:tcPr>
          <w:p>
            <w:pPr>
              <w:jc w:val="right"/>
              <w:ind w:right="38"/>
              <w:spacing w:after="0"/>
              <w:rPr>
                <w:sz w:val="20"/>
                <w:szCs w:val="20"/>
                <w:color w:val="auto"/>
              </w:rPr>
            </w:pPr>
            <w:r>
              <w:rPr>
                <w:rFonts w:ascii="Arial" w:cs="Arial" w:eastAsia="Arial" w:hAnsi="Arial"/>
                <w:sz w:val="13"/>
                <w:szCs w:val="13"/>
                <w:color w:val="auto"/>
              </w:rPr>
              <w:t>—</w:t>
            </w: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ind w:right="79"/>
              <w:spacing w:after="0"/>
              <w:rPr>
                <w:sz w:val="20"/>
                <w:szCs w:val="20"/>
                <w:color w:val="auto"/>
              </w:rPr>
            </w:pPr>
            <w:r>
              <w:rPr>
                <w:rFonts w:ascii="Arial" w:cs="Arial" w:eastAsia="Arial" w:hAnsi="Arial"/>
                <w:sz w:val="13"/>
                <w:szCs w:val="13"/>
                <w:color w:val="auto"/>
              </w:rPr>
              <w:t>59,562</w:t>
            </w:r>
          </w:p>
        </w:tc>
        <w:tc>
          <w:tcPr>
            <w:tcW w:w="800" w:type="dxa"/>
            <w:vAlign w:val="bottom"/>
            <w:vMerge w:val="restart"/>
          </w:tcPr>
          <w:p>
            <w:pPr>
              <w:jc w:val="right"/>
              <w:ind w:right="139"/>
              <w:spacing w:after="0"/>
              <w:rPr>
                <w:sz w:val="20"/>
                <w:szCs w:val="20"/>
                <w:color w:val="auto"/>
              </w:rPr>
            </w:pPr>
            <w:r>
              <w:rPr>
                <w:rFonts w:ascii="Arial" w:cs="Arial" w:eastAsia="Arial" w:hAnsi="Arial"/>
                <w:sz w:val="13"/>
                <w:szCs w:val="13"/>
                <w:color w:val="auto"/>
              </w:rPr>
              <w:t>839,824</w:t>
            </w:r>
          </w:p>
        </w:tc>
        <w:tc>
          <w:tcPr>
            <w:tcW w:w="800" w:type="dxa"/>
            <w:vAlign w:val="bottom"/>
            <w:vMerge w:val="restart"/>
          </w:tcPr>
          <w:p>
            <w:pPr>
              <w:jc w:val="right"/>
              <w:ind w:right="100"/>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2"/>
        </w:trPr>
        <w:tc>
          <w:tcPr>
            <w:tcW w:w="86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920" w:type="dxa"/>
            <w:vAlign w:val="bottom"/>
          </w:tcPr>
          <w:p>
            <w:pPr>
              <w:jc w:val="right"/>
              <w:ind w:right="178"/>
              <w:spacing w:after="0"/>
              <w:rPr>
                <w:sz w:val="20"/>
                <w:szCs w:val="20"/>
                <w:color w:val="auto"/>
              </w:rPr>
            </w:pPr>
            <w:r>
              <w:rPr>
                <w:rFonts w:ascii="Arial" w:cs="Arial" w:eastAsia="Arial" w:hAnsi="Arial"/>
                <w:sz w:val="13"/>
                <w:szCs w:val="13"/>
                <w:color w:val="auto"/>
              </w:rPr>
              <w:t>11/26/2022</w:t>
            </w:r>
          </w:p>
        </w:tc>
        <w:tc>
          <w:tcPr>
            <w:tcW w:w="1000" w:type="dxa"/>
            <w:vAlign w:val="bottom"/>
          </w:tcPr>
          <w:p>
            <w:pPr>
              <w:jc w:val="right"/>
              <w:ind w:right="178"/>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179"/>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9"/>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39"/>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00"/>
              <w:spacing w:after="0"/>
              <w:rPr>
                <w:sz w:val="20"/>
                <w:szCs w:val="20"/>
                <w:color w:val="auto"/>
              </w:rPr>
            </w:pPr>
            <w:r>
              <w:rPr>
                <w:rFonts w:ascii="Arial" w:cs="Arial" w:eastAsia="Arial" w:hAnsi="Arial"/>
                <w:sz w:val="13"/>
                <w:szCs w:val="13"/>
                <w:color w:val="auto"/>
              </w:rPr>
              <w:t>48,428</w:t>
            </w:r>
          </w:p>
        </w:tc>
        <w:tc>
          <w:tcPr>
            <w:tcW w:w="840" w:type="dxa"/>
            <w:vAlign w:val="bottom"/>
          </w:tcPr>
          <w:p>
            <w:pPr>
              <w:jc w:val="right"/>
              <w:ind w:right="140"/>
              <w:spacing w:after="0"/>
              <w:rPr>
                <w:sz w:val="20"/>
                <w:szCs w:val="20"/>
                <w:color w:val="auto"/>
              </w:rPr>
            </w:pPr>
            <w:r>
              <w:rPr>
                <w:rFonts w:ascii="Arial" w:cs="Arial" w:eastAsia="Arial" w:hAnsi="Arial"/>
                <w:sz w:val="13"/>
                <w:szCs w:val="13"/>
                <w:color w:val="auto"/>
              </w:rPr>
              <w:t>682,835</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920" w:type="dxa"/>
            <w:vAlign w:val="bottom"/>
          </w:tcPr>
          <w:p>
            <w:pPr>
              <w:jc w:val="right"/>
              <w:ind w:right="178"/>
              <w:spacing w:after="0"/>
              <w:rPr>
                <w:sz w:val="20"/>
                <w:szCs w:val="20"/>
                <w:color w:val="auto"/>
              </w:rPr>
            </w:pPr>
            <w:r>
              <w:rPr>
                <w:rFonts w:ascii="Arial" w:cs="Arial" w:eastAsia="Arial" w:hAnsi="Arial"/>
                <w:sz w:val="13"/>
                <w:szCs w:val="13"/>
                <w:color w:val="auto"/>
              </w:rPr>
              <w:t>11/26/2022</w:t>
            </w:r>
          </w:p>
        </w:tc>
        <w:tc>
          <w:tcPr>
            <w:tcW w:w="1000" w:type="dxa"/>
            <w:vAlign w:val="bottom"/>
          </w:tcPr>
          <w:p>
            <w:pPr>
              <w:jc w:val="right"/>
              <w:ind w:right="178"/>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179"/>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9"/>
              <w:spacing w:after="0"/>
              <w:rPr>
                <w:sz w:val="20"/>
                <w:szCs w:val="20"/>
                <w:color w:val="auto"/>
              </w:rPr>
            </w:pPr>
            <w:r>
              <w:rPr>
                <w:rFonts w:ascii="Arial" w:cs="Arial" w:eastAsia="Arial" w:hAnsi="Arial"/>
                <w:sz w:val="13"/>
                <w:szCs w:val="13"/>
                <w:color w:val="auto"/>
              </w:rPr>
              <w:t>16,144</w:t>
            </w:r>
          </w:p>
        </w:tc>
        <w:tc>
          <w:tcPr>
            <w:tcW w:w="800" w:type="dxa"/>
            <w:vAlign w:val="bottom"/>
          </w:tcPr>
          <w:p>
            <w:pPr>
              <w:jc w:val="right"/>
              <w:ind w:right="139"/>
              <w:spacing w:after="0"/>
              <w:rPr>
                <w:sz w:val="20"/>
                <w:szCs w:val="20"/>
                <w:color w:val="auto"/>
              </w:rPr>
            </w:pPr>
            <w:r>
              <w:rPr>
                <w:rFonts w:ascii="Arial" w:cs="Arial" w:eastAsia="Arial" w:hAnsi="Arial"/>
                <w:sz w:val="13"/>
                <w:szCs w:val="13"/>
                <w:color w:val="auto"/>
              </w:rPr>
              <w:t>227,630</w:t>
            </w:r>
          </w:p>
        </w:tc>
        <w:tc>
          <w:tcPr>
            <w:tcW w:w="800" w:type="dxa"/>
            <w:vAlign w:val="bottom"/>
          </w:tcPr>
          <w:p>
            <w:pPr>
              <w:jc w:val="right"/>
              <w:ind w:right="10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920" w:type="dxa"/>
            <w:vAlign w:val="bottom"/>
          </w:tcPr>
          <w:p>
            <w:pPr>
              <w:jc w:val="right"/>
              <w:ind w:right="178"/>
              <w:spacing w:after="0"/>
              <w:rPr>
                <w:sz w:val="20"/>
                <w:szCs w:val="20"/>
                <w:color w:val="auto"/>
              </w:rPr>
            </w:pPr>
            <w:r>
              <w:rPr>
                <w:rFonts w:ascii="Arial" w:cs="Arial" w:eastAsia="Arial" w:hAnsi="Arial"/>
                <w:sz w:val="13"/>
                <w:szCs w:val="13"/>
                <w:color w:val="auto"/>
              </w:rPr>
              <w:t>4/4/2022</w:t>
            </w:r>
          </w:p>
        </w:tc>
        <w:tc>
          <w:tcPr>
            <w:tcW w:w="1000" w:type="dxa"/>
            <w:vAlign w:val="bottom"/>
          </w:tcPr>
          <w:p>
            <w:pPr>
              <w:jc w:val="right"/>
              <w:ind w:right="178"/>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159"/>
              <w:spacing w:after="0"/>
              <w:rPr>
                <w:sz w:val="20"/>
                <w:szCs w:val="20"/>
                <w:color w:val="auto"/>
              </w:rPr>
            </w:pPr>
            <w:r>
              <w:rPr>
                <w:rFonts w:ascii="Arial" w:cs="Arial" w:eastAsia="Arial" w:hAnsi="Arial"/>
                <w:sz w:val="13"/>
                <w:szCs w:val="13"/>
                <w:color w:val="auto"/>
              </w:rPr>
              <w:t>54,450</w:t>
            </w:r>
          </w:p>
        </w:tc>
        <w:tc>
          <w:tcPr>
            <w:tcW w:w="520" w:type="dxa"/>
            <w:vAlign w:val="bottom"/>
          </w:tcPr>
          <w:p>
            <w:pPr>
              <w:jc w:val="right"/>
              <w:ind w:right="38"/>
              <w:spacing w:after="0"/>
              <w:rPr>
                <w:sz w:val="20"/>
                <w:szCs w:val="20"/>
                <w:color w:val="auto"/>
              </w:rPr>
            </w:pPr>
            <w:r>
              <w:rPr>
                <w:rFonts w:ascii="Arial" w:cs="Arial" w:eastAsia="Arial" w:hAnsi="Arial"/>
                <w:sz w:val="13"/>
                <w:szCs w:val="13"/>
                <w:color w:val="auto"/>
              </w:rPr>
              <w:t>31.40</w:t>
            </w:r>
          </w:p>
        </w:tc>
        <w:tc>
          <w:tcPr>
            <w:tcW w:w="800" w:type="dxa"/>
            <w:vAlign w:val="bottom"/>
          </w:tcPr>
          <w:p>
            <w:pPr>
              <w:jc w:val="right"/>
              <w:ind w:right="78"/>
              <w:spacing w:after="0"/>
              <w:rPr>
                <w:sz w:val="20"/>
                <w:szCs w:val="20"/>
                <w:color w:val="auto"/>
              </w:rPr>
            </w:pPr>
            <w:r>
              <w:rPr>
                <w:rFonts w:ascii="Arial" w:cs="Arial" w:eastAsia="Arial" w:hAnsi="Arial"/>
                <w:sz w:val="13"/>
                <w:szCs w:val="13"/>
                <w:color w:val="auto"/>
              </w:rPr>
              <w:t>4/4/2032</w:t>
            </w:r>
          </w:p>
        </w:tc>
        <w:tc>
          <w:tcPr>
            <w:tcW w:w="60" w:type="dxa"/>
            <w:vAlign w:val="bottom"/>
          </w:tcPr>
          <w:p>
            <w:pPr>
              <w:spacing w:after="0"/>
              <w:rPr>
                <w:sz w:val="21"/>
                <w:szCs w:val="21"/>
                <w:color w:val="auto"/>
              </w:rPr>
            </w:pPr>
          </w:p>
        </w:tc>
        <w:tc>
          <w:tcPr>
            <w:tcW w:w="700" w:type="dxa"/>
            <w:vAlign w:val="bottom"/>
          </w:tcPr>
          <w:p>
            <w:pPr>
              <w:jc w:val="right"/>
              <w:ind w:right="79"/>
              <w:spacing w:after="0"/>
              <w:rPr>
                <w:sz w:val="20"/>
                <w:szCs w:val="20"/>
                <w:color w:val="auto"/>
              </w:rPr>
            </w:pPr>
            <w:r>
              <w:rPr>
                <w:rFonts w:ascii="Arial" w:cs="Arial" w:eastAsia="Arial" w:hAnsi="Arial"/>
                <w:sz w:val="13"/>
                <w:szCs w:val="13"/>
                <w:color w:val="auto"/>
              </w:rPr>
              <w:t>17,813</w:t>
            </w:r>
          </w:p>
        </w:tc>
        <w:tc>
          <w:tcPr>
            <w:tcW w:w="800" w:type="dxa"/>
            <w:vAlign w:val="bottom"/>
          </w:tcPr>
          <w:p>
            <w:pPr>
              <w:jc w:val="right"/>
              <w:ind w:right="139"/>
              <w:spacing w:after="0"/>
              <w:rPr>
                <w:sz w:val="20"/>
                <w:szCs w:val="20"/>
                <w:color w:val="auto"/>
              </w:rPr>
            </w:pPr>
            <w:r>
              <w:rPr>
                <w:rFonts w:ascii="Arial" w:cs="Arial" w:eastAsia="Arial" w:hAnsi="Arial"/>
                <w:sz w:val="13"/>
                <w:szCs w:val="13"/>
                <w:color w:val="auto"/>
              </w:rPr>
              <w:t>251,163</w:t>
            </w:r>
          </w:p>
        </w:tc>
        <w:tc>
          <w:tcPr>
            <w:tcW w:w="800" w:type="dxa"/>
            <w:vAlign w:val="bottom"/>
          </w:tcPr>
          <w:p>
            <w:pPr>
              <w:jc w:val="right"/>
              <w:ind w:right="10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920" w:type="dxa"/>
            <w:vAlign w:val="bottom"/>
          </w:tcPr>
          <w:p>
            <w:pPr>
              <w:jc w:val="right"/>
              <w:ind w:right="178"/>
              <w:spacing w:after="0"/>
              <w:rPr>
                <w:sz w:val="20"/>
                <w:szCs w:val="20"/>
                <w:color w:val="auto"/>
              </w:rPr>
            </w:pPr>
            <w:r>
              <w:rPr>
                <w:rFonts w:ascii="Arial" w:cs="Arial" w:eastAsia="Arial" w:hAnsi="Arial"/>
                <w:sz w:val="13"/>
                <w:szCs w:val="13"/>
                <w:color w:val="auto"/>
              </w:rPr>
              <w:t>11/26/2021</w:t>
            </w:r>
          </w:p>
        </w:tc>
        <w:tc>
          <w:tcPr>
            <w:tcW w:w="1000" w:type="dxa"/>
            <w:vAlign w:val="bottom"/>
          </w:tcPr>
          <w:p>
            <w:pPr>
              <w:jc w:val="right"/>
              <w:ind w:right="158"/>
              <w:spacing w:after="0"/>
              <w:rPr>
                <w:sz w:val="20"/>
                <w:szCs w:val="20"/>
                <w:color w:val="auto"/>
              </w:rPr>
            </w:pPr>
            <w:r>
              <w:rPr>
                <w:rFonts w:ascii="Arial" w:cs="Arial" w:eastAsia="Arial" w:hAnsi="Arial"/>
                <w:sz w:val="13"/>
                <w:szCs w:val="13"/>
                <w:color w:val="auto"/>
              </w:rPr>
              <w:t>52,070</w:t>
            </w:r>
          </w:p>
        </w:tc>
        <w:tc>
          <w:tcPr>
            <w:tcW w:w="1120" w:type="dxa"/>
            <w:vAlign w:val="bottom"/>
          </w:tcPr>
          <w:p>
            <w:pPr>
              <w:jc w:val="right"/>
              <w:ind w:right="159"/>
              <w:spacing w:after="0"/>
              <w:rPr>
                <w:sz w:val="20"/>
                <w:szCs w:val="20"/>
                <w:color w:val="auto"/>
              </w:rPr>
            </w:pPr>
            <w:r>
              <w:rPr>
                <w:rFonts w:ascii="Arial" w:cs="Arial" w:eastAsia="Arial" w:hAnsi="Arial"/>
                <w:sz w:val="13"/>
                <w:szCs w:val="13"/>
                <w:color w:val="auto"/>
              </w:rPr>
              <w:t>52,080</w:t>
            </w:r>
          </w:p>
        </w:tc>
        <w:tc>
          <w:tcPr>
            <w:tcW w:w="520" w:type="dxa"/>
            <w:vAlign w:val="bottom"/>
          </w:tcPr>
          <w:p>
            <w:pPr>
              <w:jc w:val="right"/>
              <w:ind w:right="38"/>
              <w:spacing w:after="0"/>
              <w:rPr>
                <w:sz w:val="20"/>
                <w:szCs w:val="20"/>
                <w:color w:val="auto"/>
              </w:rPr>
            </w:pPr>
            <w:r>
              <w:rPr>
                <w:rFonts w:ascii="Arial" w:cs="Arial" w:eastAsia="Arial" w:hAnsi="Arial"/>
                <w:sz w:val="13"/>
                <w:szCs w:val="13"/>
                <w:color w:val="auto"/>
              </w:rPr>
              <w:t>28.31</w:t>
            </w:r>
          </w:p>
        </w:tc>
        <w:tc>
          <w:tcPr>
            <w:tcW w:w="800" w:type="dxa"/>
            <w:vAlign w:val="bottom"/>
          </w:tcPr>
          <w:p>
            <w:pPr>
              <w:jc w:val="right"/>
              <w:ind w:right="58"/>
              <w:spacing w:after="0"/>
              <w:rPr>
                <w:sz w:val="20"/>
                <w:szCs w:val="20"/>
                <w:color w:val="auto"/>
              </w:rPr>
            </w:pPr>
            <w:r>
              <w:rPr>
                <w:rFonts w:ascii="Arial" w:cs="Arial" w:eastAsia="Arial" w:hAnsi="Arial"/>
                <w:sz w:val="13"/>
                <w:szCs w:val="13"/>
                <w:color w:val="auto"/>
              </w:rPr>
              <w:t>11/26/2031</w:t>
            </w:r>
          </w:p>
        </w:tc>
        <w:tc>
          <w:tcPr>
            <w:tcW w:w="60" w:type="dxa"/>
            <w:vAlign w:val="bottom"/>
          </w:tcPr>
          <w:p>
            <w:pPr>
              <w:spacing w:after="0"/>
              <w:rPr>
                <w:sz w:val="21"/>
                <w:szCs w:val="21"/>
                <w:color w:val="auto"/>
              </w:rPr>
            </w:pPr>
          </w:p>
        </w:tc>
        <w:tc>
          <w:tcPr>
            <w:tcW w:w="700" w:type="dxa"/>
            <w:vAlign w:val="bottom"/>
          </w:tcPr>
          <w:p>
            <w:pPr>
              <w:jc w:val="right"/>
              <w:ind w:right="79"/>
              <w:spacing w:after="0"/>
              <w:rPr>
                <w:sz w:val="20"/>
                <w:szCs w:val="20"/>
                <w:color w:val="auto"/>
              </w:rPr>
            </w:pPr>
            <w:r>
              <w:rPr>
                <w:rFonts w:ascii="Arial" w:cs="Arial" w:eastAsia="Arial" w:hAnsi="Arial"/>
                <w:sz w:val="13"/>
                <w:szCs w:val="13"/>
                <w:color w:val="auto"/>
              </w:rPr>
              <w:t>4,868</w:t>
            </w:r>
          </w:p>
        </w:tc>
        <w:tc>
          <w:tcPr>
            <w:tcW w:w="800" w:type="dxa"/>
            <w:vAlign w:val="bottom"/>
          </w:tcPr>
          <w:p>
            <w:pPr>
              <w:jc w:val="right"/>
              <w:ind w:right="139"/>
              <w:spacing w:after="0"/>
              <w:rPr>
                <w:sz w:val="20"/>
                <w:szCs w:val="20"/>
                <w:color w:val="auto"/>
              </w:rPr>
            </w:pPr>
            <w:r>
              <w:rPr>
                <w:rFonts w:ascii="Arial" w:cs="Arial" w:eastAsia="Arial" w:hAnsi="Arial"/>
                <w:sz w:val="13"/>
                <w:szCs w:val="13"/>
                <w:color w:val="auto"/>
              </w:rPr>
              <w:t>68,639</w:t>
            </w:r>
          </w:p>
        </w:tc>
        <w:tc>
          <w:tcPr>
            <w:tcW w:w="800" w:type="dxa"/>
            <w:vAlign w:val="bottom"/>
          </w:tcPr>
          <w:p>
            <w:pPr>
              <w:jc w:val="right"/>
              <w:ind w:right="10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
        </w:trPr>
        <w:tc>
          <w:tcPr>
            <w:tcW w:w="860" w:type="dxa"/>
            <w:vAlign w:val="bottom"/>
            <w:tcBorders>
              <w:bottom w:val="single" w:sz="8" w:color="808080"/>
            </w:tcBorders>
          </w:tcPr>
          <w:p>
            <w:pPr>
              <w:spacing w:after="0"/>
              <w:rPr>
                <w:sz w:val="2"/>
                <w:szCs w:val="2"/>
                <w:color w:val="auto"/>
              </w:rPr>
            </w:pPr>
          </w:p>
        </w:tc>
        <w:tc>
          <w:tcPr>
            <w:tcW w:w="920" w:type="dxa"/>
            <w:vAlign w:val="bottom"/>
            <w:tcBorders>
              <w:bottom w:val="single" w:sz="8" w:color="808080"/>
            </w:tcBorders>
          </w:tcPr>
          <w:p>
            <w:pPr>
              <w:spacing w:after="0"/>
              <w:rPr>
                <w:sz w:val="2"/>
                <w:szCs w:val="2"/>
                <w:color w:val="auto"/>
              </w:rPr>
            </w:pPr>
          </w:p>
        </w:tc>
        <w:tc>
          <w:tcPr>
            <w:tcW w:w="1000" w:type="dxa"/>
            <w:vAlign w:val="bottom"/>
            <w:tcBorders>
              <w:bottom w:val="single" w:sz="8" w:color="808080"/>
            </w:tcBorders>
          </w:tcPr>
          <w:p>
            <w:pPr>
              <w:spacing w:after="0"/>
              <w:rPr>
                <w:sz w:val="2"/>
                <w:szCs w:val="2"/>
                <w:color w:val="auto"/>
              </w:rPr>
            </w:pPr>
          </w:p>
        </w:tc>
        <w:tc>
          <w:tcPr>
            <w:tcW w:w="1120" w:type="dxa"/>
            <w:vAlign w:val="bottom"/>
            <w:tcBorders>
              <w:bottom w:val="single" w:sz="8" w:color="808080"/>
            </w:tcBorders>
          </w:tcPr>
          <w:p>
            <w:pPr>
              <w:spacing w:after="0"/>
              <w:rPr>
                <w:sz w:val="2"/>
                <w:szCs w:val="2"/>
                <w:color w:val="auto"/>
              </w:rPr>
            </w:pPr>
          </w:p>
        </w:tc>
        <w:tc>
          <w:tcPr>
            <w:tcW w:w="520" w:type="dxa"/>
            <w:vAlign w:val="bottom"/>
            <w:tcBorders>
              <w:bottom w:val="single" w:sz="8" w:color="808080"/>
            </w:tcBorders>
          </w:tcPr>
          <w:p>
            <w:pPr>
              <w:spacing w:after="0"/>
              <w:rPr>
                <w:sz w:val="2"/>
                <w:szCs w:val="2"/>
                <w:color w:val="auto"/>
              </w:rPr>
            </w:pPr>
          </w:p>
        </w:tc>
        <w:tc>
          <w:tcPr>
            <w:tcW w:w="860" w:type="dxa"/>
            <w:vAlign w:val="bottom"/>
            <w:tcBorders>
              <w:bottom w:val="single" w:sz="8" w:color="808080"/>
            </w:tcBorders>
            <w:gridSpan w:val="2"/>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800" w:type="dxa"/>
            <w:vAlign w:val="bottom"/>
            <w:tcBorders>
              <w:bottom w:val="single" w:sz="8" w:color="808080"/>
            </w:tcBorders>
          </w:tcPr>
          <w:p>
            <w:pPr>
              <w:spacing w:after="0"/>
              <w:rPr>
                <w:sz w:val="2"/>
                <w:szCs w:val="2"/>
                <w:color w:val="auto"/>
              </w:rPr>
            </w:pPr>
          </w:p>
        </w:tc>
        <w:tc>
          <w:tcPr>
            <w:tcW w:w="800" w:type="dxa"/>
            <w:vAlign w:val="bottom"/>
            <w:tcBorders>
              <w:bottom w:val="single" w:sz="8" w:color="808080"/>
            </w:tcBorders>
          </w:tcPr>
          <w:p>
            <w:pPr>
              <w:spacing w:after="0"/>
              <w:rPr>
                <w:sz w:val="2"/>
                <w:szCs w:val="2"/>
                <w:color w:val="auto"/>
              </w:rPr>
            </w:pPr>
          </w:p>
        </w:tc>
        <w:tc>
          <w:tcPr>
            <w:tcW w:w="8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860" w:type="dxa"/>
            <w:vAlign w:val="bottom"/>
          </w:tcPr>
          <w:p>
            <w:pPr>
              <w:ind w:left="80"/>
              <w:spacing w:after="0"/>
              <w:rPr>
                <w:sz w:val="20"/>
                <w:szCs w:val="20"/>
                <w:color w:val="auto"/>
              </w:rPr>
            </w:pPr>
            <w:r>
              <w:rPr>
                <w:rFonts w:ascii="Arial" w:cs="Arial" w:eastAsia="Arial" w:hAnsi="Arial"/>
                <w:sz w:val="13"/>
                <w:szCs w:val="13"/>
                <w:b w:val="1"/>
                <w:bCs w:val="1"/>
                <w:color w:val="342C82"/>
              </w:rPr>
              <w:t>Shaun</w:t>
            </w:r>
          </w:p>
        </w:tc>
        <w:tc>
          <w:tcPr>
            <w:tcW w:w="920" w:type="dxa"/>
            <w:vAlign w:val="bottom"/>
          </w:tcPr>
          <w:p>
            <w:pPr>
              <w:jc w:val="right"/>
              <w:ind w:right="178"/>
              <w:spacing w:after="0"/>
              <w:rPr>
                <w:sz w:val="20"/>
                <w:szCs w:val="20"/>
                <w:color w:val="auto"/>
              </w:rPr>
            </w:pPr>
            <w:r>
              <w:rPr>
                <w:rFonts w:ascii="Arial" w:cs="Arial" w:eastAsia="Arial" w:hAnsi="Arial"/>
                <w:sz w:val="13"/>
                <w:szCs w:val="13"/>
                <w:color w:val="auto"/>
              </w:rPr>
              <w:t>11/26/2023</w:t>
            </w:r>
          </w:p>
        </w:tc>
        <w:tc>
          <w:tcPr>
            <w:tcW w:w="1000" w:type="dxa"/>
            <w:vAlign w:val="bottom"/>
          </w:tcPr>
          <w:p>
            <w:pPr>
              <w:jc w:val="right"/>
              <w:ind w:right="178"/>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179"/>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9"/>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39"/>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00"/>
              <w:spacing w:after="0"/>
              <w:rPr>
                <w:sz w:val="20"/>
                <w:szCs w:val="20"/>
                <w:color w:val="auto"/>
              </w:rPr>
            </w:pPr>
            <w:r>
              <w:rPr>
                <w:rFonts w:ascii="Arial" w:cs="Arial" w:eastAsia="Arial" w:hAnsi="Arial"/>
                <w:sz w:val="13"/>
                <w:szCs w:val="13"/>
                <w:color w:val="auto"/>
              </w:rPr>
              <w:t>19,360</w:t>
            </w:r>
          </w:p>
        </w:tc>
        <w:tc>
          <w:tcPr>
            <w:tcW w:w="840" w:type="dxa"/>
            <w:vAlign w:val="bottom"/>
          </w:tcPr>
          <w:p>
            <w:pPr>
              <w:jc w:val="right"/>
              <w:ind w:right="140"/>
              <w:spacing w:after="0"/>
              <w:rPr>
                <w:sz w:val="20"/>
                <w:szCs w:val="20"/>
                <w:color w:val="auto"/>
              </w:rPr>
            </w:pPr>
            <w:r>
              <w:rPr>
                <w:rFonts w:ascii="Arial" w:cs="Arial" w:eastAsia="Arial" w:hAnsi="Arial"/>
                <w:sz w:val="13"/>
                <w:szCs w:val="13"/>
                <w:color w:val="auto"/>
              </w:rPr>
              <w:t>272,976</w:t>
            </w:r>
          </w:p>
        </w:tc>
        <w:tc>
          <w:tcPr>
            <w:tcW w:w="0" w:type="dxa"/>
            <w:vAlign w:val="bottom"/>
          </w:tcPr>
          <w:p>
            <w:pPr>
              <w:spacing w:after="0"/>
              <w:rPr>
                <w:sz w:val="1"/>
                <w:szCs w:val="1"/>
                <w:color w:val="auto"/>
              </w:rPr>
            </w:pPr>
          </w:p>
        </w:tc>
      </w:tr>
      <w:tr>
        <w:trPr>
          <w:trHeight w:val="172"/>
        </w:trPr>
        <w:tc>
          <w:tcPr>
            <w:tcW w:w="860" w:type="dxa"/>
            <w:vAlign w:val="bottom"/>
          </w:tcPr>
          <w:p>
            <w:pPr>
              <w:ind w:left="80"/>
              <w:spacing w:after="0"/>
              <w:rPr>
                <w:sz w:val="20"/>
                <w:szCs w:val="20"/>
                <w:color w:val="auto"/>
              </w:rPr>
            </w:pPr>
            <w:r>
              <w:rPr>
                <w:rFonts w:ascii="Arial" w:cs="Arial" w:eastAsia="Arial" w:hAnsi="Arial"/>
                <w:sz w:val="13"/>
                <w:szCs w:val="13"/>
                <w:b w:val="1"/>
                <w:bCs w:val="1"/>
                <w:color w:val="342C82"/>
              </w:rPr>
              <w:t>Curtis</w:t>
            </w:r>
          </w:p>
        </w:tc>
        <w:tc>
          <w:tcPr>
            <w:tcW w:w="920" w:type="dxa"/>
            <w:vAlign w:val="bottom"/>
            <w:vMerge w:val="restart"/>
          </w:tcPr>
          <w:p>
            <w:pPr>
              <w:jc w:val="right"/>
              <w:ind w:right="178"/>
              <w:spacing w:after="0"/>
              <w:rPr>
                <w:sz w:val="20"/>
                <w:szCs w:val="20"/>
                <w:color w:val="auto"/>
              </w:rPr>
            </w:pPr>
            <w:r>
              <w:rPr>
                <w:rFonts w:ascii="Arial" w:cs="Arial" w:eastAsia="Arial" w:hAnsi="Arial"/>
                <w:sz w:val="13"/>
                <w:szCs w:val="13"/>
                <w:color w:val="auto"/>
              </w:rPr>
              <w:t>11/26/2023</w:t>
            </w:r>
          </w:p>
        </w:tc>
        <w:tc>
          <w:tcPr>
            <w:tcW w:w="1000" w:type="dxa"/>
            <w:vAlign w:val="bottom"/>
            <w:vMerge w:val="restart"/>
          </w:tcPr>
          <w:p>
            <w:pPr>
              <w:jc w:val="right"/>
              <w:ind w:right="178"/>
              <w:spacing w:after="0"/>
              <w:rPr>
                <w:sz w:val="20"/>
                <w:szCs w:val="20"/>
                <w:color w:val="auto"/>
              </w:rPr>
            </w:pPr>
            <w:r>
              <w:rPr>
                <w:rFonts w:ascii="Arial" w:cs="Arial" w:eastAsia="Arial" w:hAnsi="Arial"/>
                <w:sz w:val="13"/>
                <w:szCs w:val="13"/>
                <w:color w:val="auto"/>
              </w:rPr>
              <w:t>—</w:t>
            </w:r>
          </w:p>
        </w:tc>
        <w:tc>
          <w:tcPr>
            <w:tcW w:w="1120" w:type="dxa"/>
            <w:vAlign w:val="bottom"/>
            <w:vMerge w:val="restart"/>
          </w:tcPr>
          <w:p>
            <w:pPr>
              <w:jc w:val="right"/>
              <w:ind w:right="179"/>
              <w:spacing w:after="0"/>
              <w:rPr>
                <w:sz w:val="20"/>
                <w:szCs w:val="20"/>
                <w:color w:val="auto"/>
              </w:rPr>
            </w:pPr>
            <w:r>
              <w:rPr>
                <w:rFonts w:ascii="Arial" w:cs="Arial" w:eastAsia="Arial" w:hAnsi="Arial"/>
                <w:sz w:val="13"/>
                <w:szCs w:val="13"/>
                <w:color w:val="auto"/>
              </w:rPr>
              <w:t>—</w:t>
            </w:r>
          </w:p>
        </w:tc>
        <w:tc>
          <w:tcPr>
            <w:tcW w:w="520" w:type="dxa"/>
            <w:vAlign w:val="bottom"/>
            <w:vMerge w:val="restart"/>
          </w:tcPr>
          <w:p>
            <w:pPr>
              <w:jc w:val="right"/>
              <w:ind w:right="38"/>
              <w:spacing w:after="0"/>
              <w:rPr>
                <w:sz w:val="20"/>
                <w:szCs w:val="20"/>
                <w:color w:val="auto"/>
              </w:rPr>
            </w:pPr>
            <w:r>
              <w:rPr>
                <w:rFonts w:ascii="Arial" w:cs="Arial" w:eastAsia="Arial" w:hAnsi="Arial"/>
                <w:sz w:val="13"/>
                <w:szCs w:val="13"/>
                <w:color w:val="auto"/>
              </w:rPr>
              <w:t>—</w:t>
            </w: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ind w:right="79"/>
              <w:spacing w:after="0"/>
              <w:rPr>
                <w:sz w:val="20"/>
                <w:szCs w:val="20"/>
                <w:color w:val="auto"/>
              </w:rPr>
            </w:pPr>
            <w:r>
              <w:rPr>
                <w:rFonts w:ascii="Arial" w:cs="Arial" w:eastAsia="Arial" w:hAnsi="Arial"/>
                <w:sz w:val="13"/>
                <w:szCs w:val="13"/>
                <w:color w:val="auto"/>
              </w:rPr>
              <w:t>19,360</w:t>
            </w:r>
          </w:p>
        </w:tc>
        <w:tc>
          <w:tcPr>
            <w:tcW w:w="800" w:type="dxa"/>
            <w:vAlign w:val="bottom"/>
            <w:vMerge w:val="restart"/>
          </w:tcPr>
          <w:p>
            <w:pPr>
              <w:jc w:val="right"/>
              <w:ind w:right="139"/>
              <w:spacing w:after="0"/>
              <w:rPr>
                <w:sz w:val="20"/>
                <w:szCs w:val="20"/>
                <w:color w:val="auto"/>
              </w:rPr>
            </w:pPr>
            <w:r>
              <w:rPr>
                <w:rFonts w:ascii="Arial" w:cs="Arial" w:eastAsia="Arial" w:hAnsi="Arial"/>
                <w:sz w:val="13"/>
                <w:szCs w:val="13"/>
                <w:color w:val="auto"/>
              </w:rPr>
              <w:t>272,976</w:t>
            </w:r>
          </w:p>
        </w:tc>
        <w:tc>
          <w:tcPr>
            <w:tcW w:w="800" w:type="dxa"/>
            <w:vAlign w:val="bottom"/>
            <w:vMerge w:val="restart"/>
          </w:tcPr>
          <w:p>
            <w:pPr>
              <w:jc w:val="right"/>
              <w:ind w:right="100"/>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2"/>
        </w:trPr>
        <w:tc>
          <w:tcPr>
            <w:tcW w:w="86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920" w:type="dxa"/>
            <w:vAlign w:val="bottom"/>
          </w:tcPr>
          <w:p>
            <w:pPr>
              <w:jc w:val="right"/>
              <w:ind w:right="178"/>
              <w:spacing w:after="0"/>
              <w:rPr>
                <w:sz w:val="20"/>
                <w:szCs w:val="20"/>
                <w:color w:val="auto"/>
              </w:rPr>
            </w:pPr>
            <w:r>
              <w:rPr>
                <w:rFonts w:ascii="Arial" w:cs="Arial" w:eastAsia="Arial" w:hAnsi="Arial"/>
                <w:sz w:val="13"/>
                <w:szCs w:val="13"/>
                <w:color w:val="auto"/>
              </w:rPr>
              <w:t>11/26/2022</w:t>
            </w:r>
          </w:p>
        </w:tc>
        <w:tc>
          <w:tcPr>
            <w:tcW w:w="1000" w:type="dxa"/>
            <w:vAlign w:val="bottom"/>
          </w:tcPr>
          <w:p>
            <w:pPr>
              <w:jc w:val="right"/>
              <w:ind w:right="178"/>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179"/>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9"/>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39"/>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00"/>
              <w:spacing w:after="0"/>
              <w:rPr>
                <w:sz w:val="20"/>
                <w:szCs w:val="20"/>
                <w:color w:val="auto"/>
              </w:rPr>
            </w:pPr>
            <w:r>
              <w:rPr>
                <w:rFonts w:ascii="Arial" w:cs="Arial" w:eastAsia="Arial" w:hAnsi="Arial"/>
                <w:sz w:val="13"/>
                <w:szCs w:val="13"/>
                <w:color w:val="auto"/>
              </w:rPr>
              <w:t>18,160</w:t>
            </w:r>
          </w:p>
        </w:tc>
        <w:tc>
          <w:tcPr>
            <w:tcW w:w="840" w:type="dxa"/>
            <w:vAlign w:val="bottom"/>
          </w:tcPr>
          <w:p>
            <w:pPr>
              <w:jc w:val="right"/>
              <w:ind w:right="140"/>
              <w:spacing w:after="0"/>
              <w:rPr>
                <w:sz w:val="20"/>
                <w:szCs w:val="20"/>
                <w:color w:val="auto"/>
              </w:rPr>
            </w:pPr>
            <w:r>
              <w:rPr>
                <w:rFonts w:ascii="Arial" w:cs="Arial" w:eastAsia="Arial" w:hAnsi="Arial"/>
                <w:sz w:val="13"/>
                <w:szCs w:val="13"/>
                <w:color w:val="auto"/>
              </w:rPr>
              <w:t>256,056</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920" w:type="dxa"/>
            <w:vAlign w:val="bottom"/>
          </w:tcPr>
          <w:p>
            <w:pPr>
              <w:jc w:val="right"/>
              <w:ind w:right="178"/>
              <w:spacing w:after="0"/>
              <w:rPr>
                <w:sz w:val="20"/>
                <w:szCs w:val="20"/>
                <w:color w:val="auto"/>
              </w:rPr>
            </w:pPr>
            <w:r>
              <w:rPr>
                <w:rFonts w:ascii="Arial" w:cs="Arial" w:eastAsia="Arial" w:hAnsi="Arial"/>
                <w:sz w:val="13"/>
                <w:szCs w:val="13"/>
                <w:color w:val="auto"/>
              </w:rPr>
              <w:t>11/26/2022</w:t>
            </w:r>
          </w:p>
        </w:tc>
        <w:tc>
          <w:tcPr>
            <w:tcW w:w="1000" w:type="dxa"/>
            <w:vAlign w:val="bottom"/>
          </w:tcPr>
          <w:p>
            <w:pPr>
              <w:jc w:val="right"/>
              <w:ind w:right="178"/>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179"/>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9"/>
              <w:spacing w:after="0"/>
              <w:rPr>
                <w:sz w:val="20"/>
                <w:szCs w:val="20"/>
                <w:color w:val="auto"/>
              </w:rPr>
            </w:pPr>
            <w:r>
              <w:rPr>
                <w:rFonts w:ascii="Arial" w:cs="Arial" w:eastAsia="Arial" w:hAnsi="Arial"/>
                <w:sz w:val="13"/>
                <w:szCs w:val="13"/>
                <w:color w:val="auto"/>
              </w:rPr>
              <w:t>6,054</w:t>
            </w:r>
          </w:p>
        </w:tc>
        <w:tc>
          <w:tcPr>
            <w:tcW w:w="800" w:type="dxa"/>
            <w:vAlign w:val="bottom"/>
          </w:tcPr>
          <w:p>
            <w:pPr>
              <w:jc w:val="right"/>
              <w:ind w:right="139"/>
              <w:spacing w:after="0"/>
              <w:rPr>
                <w:sz w:val="20"/>
                <w:szCs w:val="20"/>
                <w:color w:val="auto"/>
              </w:rPr>
            </w:pPr>
            <w:r>
              <w:rPr>
                <w:rFonts w:ascii="Arial" w:cs="Arial" w:eastAsia="Arial" w:hAnsi="Arial"/>
                <w:sz w:val="13"/>
                <w:szCs w:val="13"/>
                <w:color w:val="auto"/>
              </w:rPr>
              <w:t>85,361</w:t>
            </w:r>
          </w:p>
        </w:tc>
        <w:tc>
          <w:tcPr>
            <w:tcW w:w="800" w:type="dxa"/>
            <w:vAlign w:val="bottom"/>
          </w:tcPr>
          <w:p>
            <w:pPr>
              <w:jc w:val="right"/>
              <w:ind w:right="10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920" w:type="dxa"/>
            <w:vAlign w:val="bottom"/>
          </w:tcPr>
          <w:p>
            <w:pPr>
              <w:jc w:val="right"/>
              <w:ind w:right="178"/>
              <w:spacing w:after="0"/>
              <w:rPr>
                <w:sz w:val="20"/>
                <w:szCs w:val="20"/>
                <w:color w:val="auto"/>
              </w:rPr>
            </w:pPr>
            <w:r>
              <w:rPr>
                <w:rFonts w:ascii="Arial" w:cs="Arial" w:eastAsia="Arial" w:hAnsi="Arial"/>
                <w:sz w:val="13"/>
                <w:szCs w:val="13"/>
                <w:color w:val="auto"/>
              </w:rPr>
              <w:t>4/4/2022</w:t>
            </w:r>
          </w:p>
        </w:tc>
        <w:tc>
          <w:tcPr>
            <w:tcW w:w="1000" w:type="dxa"/>
            <w:vAlign w:val="bottom"/>
          </w:tcPr>
          <w:p>
            <w:pPr>
              <w:jc w:val="right"/>
              <w:ind w:right="178"/>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159"/>
              <w:spacing w:after="0"/>
              <w:rPr>
                <w:sz w:val="20"/>
                <w:szCs w:val="20"/>
                <w:color w:val="auto"/>
              </w:rPr>
            </w:pPr>
            <w:r>
              <w:rPr>
                <w:rFonts w:ascii="Arial" w:cs="Arial" w:eastAsia="Arial" w:hAnsi="Arial"/>
                <w:sz w:val="13"/>
                <w:szCs w:val="13"/>
                <w:color w:val="auto"/>
              </w:rPr>
              <w:t>19,058</w:t>
            </w:r>
          </w:p>
        </w:tc>
        <w:tc>
          <w:tcPr>
            <w:tcW w:w="520" w:type="dxa"/>
            <w:vAlign w:val="bottom"/>
          </w:tcPr>
          <w:p>
            <w:pPr>
              <w:jc w:val="right"/>
              <w:ind w:right="38"/>
              <w:spacing w:after="0"/>
              <w:rPr>
                <w:sz w:val="20"/>
                <w:szCs w:val="20"/>
                <w:color w:val="auto"/>
              </w:rPr>
            </w:pPr>
            <w:r>
              <w:rPr>
                <w:rFonts w:ascii="Arial" w:cs="Arial" w:eastAsia="Arial" w:hAnsi="Arial"/>
                <w:sz w:val="13"/>
                <w:szCs w:val="13"/>
                <w:color w:val="auto"/>
              </w:rPr>
              <w:t>31.40</w:t>
            </w:r>
          </w:p>
        </w:tc>
        <w:tc>
          <w:tcPr>
            <w:tcW w:w="800" w:type="dxa"/>
            <w:vAlign w:val="bottom"/>
          </w:tcPr>
          <w:p>
            <w:pPr>
              <w:jc w:val="right"/>
              <w:ind w:right="78"/>
              <w:spacing w:after="0"/>
              <w:rPr>
                <w:sz w:val="20"/>
                <w:szCs w:val="20"/>
                <w:color w:val="auto"/>
              </w:rPr>
            </w:pPr>
            <w:r>
              <w:rPr>
                <w:rFonts w:ascii="Arial" w:cs="Arial" w:eastAsia="Arial" w:hAnsi="Arial"/>
                <w:sz w:val="13"/>
                <w:szCs w:val="13"/>
                <w:color w:val="auto"/>
              </w:rPr>
              <w:t>4/4/2032</w:t>
            </w:r>
          </w:p>
        </w:tc>
        <w:tc>
          <w:tcPr>
            <w:tcW w:w="60" w:type="dxa"/>
            <w:vAlign w:val="bottom"/>
          </w:tcPr>
          <w:p>
            <w:pPr>
              <w:spacing w:after="0"/>
              <w:rPr>
                <w:sz w:val="21"/>
                <w:szCs w:val="21"/>
                <w:color w:val="auto"/>
              </w:rPr>
            </w:pPr>
          </w:p>
        </w:tc>
        <w:tc>
          <w:tcPr>
            <w:tcW w:w="700" w:type="dxa"/>
            <w:vAlign w:val="bottom"/>
          </w:tcPr>
          <w:p>
            <w:pPr>
              <w:jc w:val="right"/>
              <w:ind w:right="79"/>
              <w:spacing w:after="0"/>
              <w:rPr>
                <w:sz w:val="20"/>
                <w:szCs w:val="20"/>
                <w:color w:val="auto"/>
              </w:rPr>
            </w:pPr>
            <w:r>
              <w:rPr>
                <w:rFonts w:ascii="Arial" w:cs="Arial" w:eastAsia="Arial" w:hAnsi="Arial"/>
                <w:sz w:val="13"/>
                <w:szCs w:val="13"/>
                <w:color w:val="auto"/>
              </w:rPr>
              <w:t>6,235</w:t>
            </w:r>
          </w:p>
        </w:tc>
        <w:tc>
          <w:tcPr>
            <w:tcW w:w="800" w:type="dxa"/>
            <w:vAlign w:val="bottom"/>
          </w:tcPr>
          <w:p>
            <w:pPr>
              <w:jc w:val="right"/>
              <w:ind w:right="139"/>
              <w:spacing w:after="0"/>
              <w:rPr>
                <w:sz w:val="20"/>
                <w:szCs w:val="20"/>
                <w:color w:val="auto"/>
              </w:rPr>
            </w:pPr>
            <w:r>
              <w:rPr>
                <w:rFonts w:ascii="Arial" w:cs="Arial" w:eastAsia="Arial" w:hAnsi="Arial"/>
                <w:sz w:val="13"/>
                <w:szCs w:val="13"/>
                <w:color w:val="auto"/>
              </w:rPr>
              <w:t>87,914</w:t>
            </w:r>
          </w:p>
        </w:tc>
        <w:tc>
          <w:tcPr>
            <w:tcW w:w="800" w:type="dxa"/>
            <w:vAlign w:val="bottom"/>
          </w:tcPr>
          <w:p>
            <w:pPr>
              <w:jc w:val="right"/>
              <w:ind w:right="10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920" w:type="dxa"/>
            <w:vAlign w:val="bottom"/>
          </w:tcPr>
          <w:p>
            <w:pPr>
              <w:jc w:val="right"/>
              <w:ind w:right="178"/>
              <w:spacing w:after="0"/>
              <w:rPr>
                <w:sz w:val="20"/>
                <w:szCs w:val="20"/>
                <w:color w:val="auto"/>
              </w:rPr>
            </w:pPr>
            <w:r>
              <w:rPr>
                <w:rFonts w:ascii="Arial" w:cs="Arial" w:eastAsia="Arial" w:hAnsi="Arial"/>
                <w:sz w:val="13"/>
                <w:szCs w:val="13"/>
                <w:color w:val="auto"/>
              </w:rPr>
              <w:t>11/26/2021</w:t>
            </w:r>
          </w:p>
        </w:tc>
        <w:tc>
          <w:tcPr>
            <w:tcW w:w="1000" w:type="dxa"/>
            <w:vAlign w:val="bottom"/>
          </w:tcPr>
          <w:p>
            <w:pPr>
              <w:jc w:val="right"/>
              <w:ind w:right="178"/>
              <w:spacing w:after="0"/>
              <w:rPr>
                <w:sz w:val="20"/>
                <w:szCs w:val="20"/>
                <w:color w:val="auto"/>
              </w:rPr>
            </w:pPr>
            <w:r>
              <w:rPr>
                <w:rFonts w:ascii="Arial" w:cs="Arial" w:eastAsia="Arial" w:hAnsi="Arial"/>
                <w:sz w:val="13"/>
                <w:szCs w:val="13"/>
                <w:color w:val="auto"/>
              </w:rPr>
              <w:t>5,976</w:t>
            </w:r>
          </w:p>
        </w:tc>
        <w:tc>
          <w:tcPr>
            <w:tcW w:w="1120" w:type="dxa"/>
            <w:vAlign w:val="bottom"/>
          </w:tcPr>
          <w:p>
            <w:pPr>
              <w:jc w:val="right"/>
              <w:ind w:right="179"/>
              <w:spacing w:after="0"/>
              <w:rPr>
                <w:sz w:val="20"/>
                <w:szCs w:val="20"/>
                <w:color w:val="auto"/>
              </w:rPr>
            </w:pPr>
            <w:r>
              <w:rPr>
                <w:rFonts w:ascii="Arial" w:cs="Arial" w:eastAsia="Arial" w:hAnsi="Arial"/>
                <w:sz w:val="13"/>
                <w:szCs w:val="13"/>
                <w:color w:val="auto"/>
              </w:rPr>
              <w:t>6,002</w:t>
            </w:r>
          </w:p>
        </w:tc>
        <w:tc>
          <w:tcPr>
            <w:tcW w:w="520" w:type="dxa"/>
            <w:vAlign w:val="bottom"/>
          </w:tcPr>
          <w:p>
            <w:pPr>
              <w:jc w:val="right"/>
              <w:ind w:right="38"/>
              <w:spacing w:after="0"/>
              <w:rPr>
                <w:sz w:val="20"/>
                <w:szCs w:val="20"/>
                <w:color w:val="auto"/>
              </w:rPr>
            </w:pPr>
            <w:r>
              <w:rPr>
                <w:rFonts w:ascii="Arial" w:cs="Arial" w:eastAsia="Arial" w:hAnsi="Arial"/>
                <w:sz w:val="13"/>
                <w:szCs w:val="13"/>
                <w:color w:val="auto"/>
              </w:rPr>
              <w:t>28.31</w:t>
            </w:r>
          </w:p>
        </w:tc>
        <w:tc>
          <w:tcPr>
            <w:tcW w:w="800" w:type="dxa"/>
            <w:vAlign w:val="bottom"/>
          </w:tcPr>
          <w:p>
            <w:pPr>
              <w:jc w:val="right"/>
              <w:ind w:right="58"/>
              <w:spacing w:after="0"/>
              <w:rPr>
                <w:sz w:val="20"/>
                <w:szCs w:val="20"/>
                <w:color w:val="auto"/>
              </w:rPr>
            </w:pPr>
            <w:r>
              <w:rPr>
                <w:rFonts w:ascii="Arial" w:cs="Arial" w:eastAsia="Arial" w:hAnsi="Arial"/>
                <w:sz w:val="13"/>
                <w:szCs w:val="13"/>
                <w:color w:val="auto"/>
              </w:rPr>
              <w:t>11/26/2031</w:t>
            </w:r>
          </w:p>
        </w:tc>
        <w:tc>
          <w:tcPr>
            <w:tcW w:w="60" w:type="dxa"/>
            <w:vAlign w:val="bottom"/>
          </w:tcPr>
          <w:p>
            <w:pPr>
              <w:spacing w:after="0"/>
              <w:rPr>
                <w:sz w:val="21"/>
                <w:szCs w:val="21"/>
                <w:color w:val="auto"/>
              </w:rPr>
            </w:pPr>
          </w:p>
        </w:tc>
        <w:tc>
          <w:tcPr>
            <w:tcW w:w="700" w:type="dxa"/>
            <w:vAlign w:val="bottom"/>
          </w:tcPr>
          <w:p>
            <w:pPr>
              <w:jc w:val="right"/>
              <w:ind w:right="79"/>
              <w:spacing w:after="0"/>
              <w:rPr>
                <w:sz w:val="20"/>
                <w:szCs w:val="20"/>
                <w:color w:val="auto"/>
              </w:rPr>
            </w:pPr>
            <w:r>
              <w:rPr>
                <w:rFonts w:ascii="Arial" w:cs="Arial" w:eastAsia="Arial" w:hAnsi="Arial"/>
                <w:sz w:val="13"/>
                <w:szCs w:val="13"/>
                <w:color w:val="auto"/>
              </w:rPr>
              <w:t>1,663</w:t>
            </w:r>
          </w:p>
        </w:tc>
        <w:tc>
          <w:tcPr>
            <w:tcW w:w="800" w:type="dxa"/>
            <w:vAlign w:val="bottom"/>
          </w:tcPr>
          <w:p>
            <w:pPr>
              <w:jc w:val="right"/>
              <w:ind w:right="139"/>
              <w:spacing w:after="0"/>
              <w:rPr>
                <w:sz w:val="20"/>
                <w:szCs w:val="20"/>
                <w:color w:val="auto"/>
              </w:rPr>
            </w:pPr>
            <w:r>
              <w:rPr>
                <w:rFonts w:ascii="Arial" w:cs="Arial" w:eastAsia="Arial" w:hAnsi="Arial"/>
                <w:sz w:val="13"/>
                <w:szCs w:val="13"/>
                <w:color w:val="auto"/>
              </w:rPr>
              <w:t>23,448</w:t>
            </w:r>
          </w:p>
        </w:tc>
        <w:tc>
          <w:tcPr>
            <w:tcW w:w="800" w:type="dxa"/>
            <w:vAlign w:val="bottom"/>
          </w:tcPr>
          <w:p>
            <w:pPr>
              <w:jc w:val="right"/>
              <w:ind w:right="10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920" w:type="dxa"/>
            <w:vAlign w:val="bottom"/>
          </w:tcPr>
          <w:p>
            <w:pPr>
              <w:jc w:val="right"/>
              <w:ind w:right="178"/>
              <w:spacing w:after="0"/>
              <w:rPr>
                <w:sz w:val="20"/>
                <w:szCs w:val="20"/>
                <w:color w:val="auto"/>
              </w:rPr>
            </w:pPr>
            <w:r>
              <w:rPr>
                <w:rFonts w:ascii="Arial" w:cs="Arial" w:eastAsia="Arial" w:hAnsi="Arial"/>
                <w:sz w:val="13"/>
                <w:szCs w:val="13"/>
                <w:color w:val="auto"/>
              </w:rPr>
              <w:t>11/26/2020</w:t>
            </w:r>
          </w:p>
        </w:tc>
        <w:tc>
          <w:tcPr>
            <w:tcW w:w="1000" w:type="dxa"/>
            <w:vAlign w:val="bottom"/>
          </w:tcPr>
          <w:p>
            <w:pPr>
              <w:jc w:val="right"/>
              <w:ind w:right="158"/>
              <w:spacing w:after="0"/>
              <w:rPr>
                <w:sz w:val="20"/>
                <w:szCs w:val="20"/>
                <w:color w:val="auto"/>
              </w:rPr>
            </w:pPr>
            <w:r>
              <w:rPr>
                <w:rFonts w:ascii="Arial" w:cs="Arial" w:eastAsia="Arial" w:hAnsi="Arial"/>
                <w:sz w:val="13"/>
                <w:szCs w:val="13"/>
                <w:color w:val="auto"/>
              </w:rPr>
              <w:t>14,212</w:t>
            </w:r>
          </w:p>
        </w:tc>
        <w:tc>
          <w:tcPr>
            <w:tcW w:w="1120" w:type="dxa"/>
            <w:vAlign w:val="bottom"/>
          </w:tcPr>
          <w:p>
            <w:pPr>
              <w:jc w:val="right"/>
              <w:ind w:right="159"/>
              <w:spacing w:after="0"/>
              <w:rPr>
                <w:sz w:val="20"/>
                <w:szCs w:val="20"/>
                <w:color w:val="auto"/>
              </w:rPr>
            </w:pPr>
            <w:r>
              <w:rPr>
                <w:rFonts w:ascii="Arial" w:cs="Arial" w:eastAsia="Arial" w:hAnsi="Arial"/>
                <w:sz w:val="13"/>
                <w:szCs w:val="13"/>
                <w:color w:val="auto"/>
              </w:rPr>
              <w:t>3,811</w:t>
            </w:r>
          </w:p>
        </w:tc>
        <w:tc>
          <w:tcPr>
            <w:tcW w:w="520" w:type="dxa"/>
            <w:vAlign w:val="bottom"/>
          </w:tcPr>
          <w:p>
            <w:pPr>
              <w:jc w:val="right"/>
              <w:ind w:right="38"/>
              <w:spacing w:after="0"/>
              <w:rPr>
                <w:sz w:val="20"/>
                <w:szCs w:val="20"/>
                <w:color w:val="auto"/>
              </w:rPr>
            </w:pPr>
            <w:r>
              <w:rPr>
                <w:rFonts w:ascii="Arial" w:cs="Arial" w:eastAsia="Arial" w:hAnsi="Arial"/>
                <w:sz w:val="13"/>
                <w:szCs w:val="13"/>
                <w:color w:val="auto"/>
              </w:rPr>
              <w:t>26.28</w:t>
            </w:r>
          </w:p>
        </w:tc>
        <w:tc>
          <w:tcPr>
            <w:tcW w:w="800" w:type="dxa"/>
            <w:vAlign w:val="bottom"/>
          </w:tcPr>
          <w:p>
            <w:pPr>
              <w:jc w:val="right"/>
              <w:ind w:right="58"/>
              <w:spacing w:after="0"/>
              <w:rPr>
                <w:sz w:val="20"/>
                <w:szCs w:val="20"/>
                <w:color w:val="auto"/>
              </w:rPr>
            </w:pPr>
            <w:r>
              <w:rPr>
                <w:rFonts w:ascii="Arial" w:cs="Arial" w:eastAsia="Arial" w:hAnsi="Arial"/>
                <w:sz w:val="13"/>
                <w:szCs w:val="13"/>
                <w:color w:val="auto"/>
              </w:rPr>
              <w:t>11/26/2030</w:t>
            </w: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jc w:val="right"/>
              <w:ind w:right="10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920" w:type="dxa"/>
            <w:vAlign w:val="bottom"/>
          </w:tcPr>
          <w:p>
            <w:pPr>
              <w:jc w:val="right"/>
              <w:ind w:right="178"/>
              <w:spacing w:after="0"/>
              <w:rPr>
                <w:sz w:val="20"/>
                <w:szCs w:val="20"/>
                <w:color w:val="auto"/>
              </w:rPr>
            </w:pPr>
            <w:r>
              <w:rPr>
                <w:rFonts w:ascii="Arial" w:cs="Arial" w:eastAsia="Arial" w:hAnsi="Arial"/>
                <w:sz w:val="13"/>
                <w:szCs w:val="13"/>
                <w:color w:val="auto"/>
              </w:rPr>
              <w:t>11/26/2019</w:t>
            </w:r>
          </w:p>
        </w:tc>
        <w:tc>
          <w:tcPr>
            <w:tcW w:w="1000" w:type="dxa"/>
            <w:vAlign w:val="bottom"/>
          </w:tcPr>
          <w:p>
            <w:pPr>
              <w:jc w:val="right"/>
              <w:ind w:right="158"/>
              <w:spacing w:after="0"/>
              <w:rPr>
                <w:sz w:val="20"/>
                <w:szCs w:val="20"/>
                <w:color w:val="auto"/>
              </w:rPr>
            </w:pPr>
            <w:r>
              <w:rPr>
                <w:rFonts w:ascii="Arial" w:cs="Arial" w:eastAsia="Arial" w:hAnsi="Arial"/>
                <w:sz w:val="13"/>
                <w:szCs w:val="13"/>
                <w:color w:val="auto"/>
              </w:rPr>
              <w:t>15,243</w:t>
            </w:r>
          </w:p>
        </w:tc>
        <w:tc>
          <w:tcPr>
            <w:tcW w:w="1120" w:type="dxa"/>
            <w:vAlign w:val="bottom"/>
          </w:tcPr>
          <w:p>
            <w:pPr>
              <w:jc w:val="right"/>
              <w:ind w:right="179"/>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38"/>
              <w:spacing w:after="0"/>
              <w:rPr>
                <w:sz w:val="20"/>
                <w:szCs w:val="20"/>
                <w:color w:val="auto"/>
              </w:rPr>
            </w:pPr>
            <w:r>
              <w:rPr>
                <w:rFonts w:ascii="Arial" w:cs="Arial" w:eastAsia="Arial" w:hAnsi="Arial"/>
                <w:sz w:val="13"/>
                <w:szCs w:val="13"/>
                <w:color w:val="auto"/>
              </w:rPr>
              <w:t>29.48</w:t>
            </w:r>
          </w:p>
        </w:tc>
        <w:tc>
          <w:tcPr>
            <w:tcW w:w="800" w:type="dxa"/>
            <w:vAlign w:val="bottom"/>
          </w:tcPr>
          <w:p>
            <w:pPr>
              <w:jc w:val="right"/>
              <w:ind w:right="58"/>
              <w:spacing w:after="0"/>
              <w:rPr>
                <w:sz w:val="20"/>
                <w:szCs w:val="20"/>
                <w:color w:val="auto"/>
              </w:rPr>
            </w:pPr>
            <w:r>
              <w:rPr>
                <w:rFonts w:ascii="Arial" w:cs="Arial" w:eastAsia="Arial" w:hAnsi="Arial"/>
                <w:sz w:val="13"/>
                <w:szCs w:val="13"/>
                <w:color w:val="auto"/>
              </w:rPr>
              <w:t>11/26/2029</w:t>
            </w:r>
          </w:p>
        </w:tc>
        <w:tc>
          <w:tcPr>
            <w:tcW w:w="60" w:type="dxa"/>
            <w:vAlign w:val="bottom"/>
          </w:tcPr>
          <w:p>
            <w:pPr>
              <w:spacing w:after="0"/>
              <w:rPr>
                <w:sz w:val="21"/>
                <w:szCs w:val="21"/>
                <w:color w:val="auto"/>
              </w:rPr>
            </w:pPr>
          </w:p>
        </w:tc>
        <w:tc>
          <w:tcPr>
            <w:tcW w:w="700" w:type="dxa"/>
            <w:vAlign w:val="bottom"/>
          </w:tcPr>
          <w:p>
            <w:pPr>
              <w:jc w:val="right"/>
              <w:ind w:right="79"/>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39"/>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0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920" w:type="dxa"/>
            <w:vAlign w:val="bottom"/>
          </w:tcPr>
          <w:p>
            <w:pPr>
              <w:jc w:val="right"/>
              <w:ind w:right="178"/>
              <w:spacing w:after="0"/>
              <w:rPr>
                <w:sz w:val="20"/>
                <w:szCs w:val="20"/>
                <w:color w:val="auto"/>
              </w:rPr>
            </w:pPr>
            <w:r>
              <w:rPr>
                <w:rFonts w:ascii="Arial" w:cs="Arial" w:eastAsia="Arial" w:hAnsi="Arial"/>
                <w:sz w:val="13"/>
                <w:szCs w:val="13"/>
                <w:color w:val="auto"/>
              </w:rPr>
              <w:t>11/26/2018</w:t>
            </w:r>
          </w:p>
        </w:tc>
        <w:tc>
          <w:tcPr>
            <w:tcW w:w="1000" w:type="dxa"/>
            <w:vAlign w:val="bottom"/>
          </w:tcPr>
          <w:p>
            <w:pPr>
              <w:jc w:val="right"/>
              <w:ind w:right="158"/>
              <w:spacing w:after="0"/>
              <w:rPr>
                <w:sz w:val="20"/>
                <w:szCs w:val="20"/>
                <w:color w:val="auto"/>
              </w:rPr>
            </w:pPr>
            <w:r>
              <w:rPr>
                <w:rFonts w:ascii="Arial" w:cs="Arial" w:eastAsia="Arial" w:hAnsi="Arial"/>
                <w:sz w:val="13"/>
                <w:szCs w:val="13"/>
                <w:color w:val="auto"/>
              </w:rPr>
              <w:t>12,957</w:t>
            </w:r>
          </w:p>
        </w:tc>
        <w:tc>
          <w:tcPr>
            <w:tcW w:w="1120" w:type="dxa"/>
            <w:vAlign w:val="bottom"/>
          </w:tcPr>
          <w:p>
            <w:pPr>
              <w:spacing w:after="0"/>
              <w:rPr>
                <w:sz w:val="21"/>
                <w:szCs w:val="21"/>
                <w:color w:val="auto"/>
              </w:rPr>
            </w:pPr>
          </w:p>
        </w:tc>
        <w:tc>
          <w:tcPr>
            <w:tcW w:w="520" w:type="dxa"/>
            <w:vAlign w:val="bottom"/>
          </w:tcPr>
          <w:p>
            <w:pPr>
              <w:jc w:val="right"/>
              <w:ind w:right="38"/>
              <w:spacing w:after="0"/>
              <w:rPr>
                <w:sz w:val="20"/>
                <w:szCs w:val="20"/>
                <w:color w:val="auto"/>
              </w:rPr>
            </w:pPr>
            <w:r>
              <w:rPr>
                <w:rFonts w:ascii="Arial" w:cs="Arial" w:eastAsia="Arial" w:hAnsi="Arial"/>
                <w:sz w:val="13"/>
                <w:szCs w:val="13"/>
                <w:color w:val="auto"/>
              </w:rPr>
              <w:t>27.97</w:t>
            </w:r>
          </w:p>
        </w:tc>
        <w:tc>
          <w:tcPr>
            <w:tcW w:w="800" w:type="dxa"/>
            <w:vAlign w:val="bottom"/>
          </w:tcPr>
          <w:p>
            <w:pPr>
              <w:jc w:val="right"/>
              <w:ind w:right="58"/>
              <w:spacing w:after="0"/>
              <w:rPr>
                <w:sz w:val="20"/>
                <w:szCs w:val="20"/>
                <w:color w:val="auto"/>
              </w:rPr>
            </w:pPr>
            <w:r>
              <w:rPr>
                <w:rFonts w:ascii="Arial" w:cs="Arial" w:eastAsia="Arial" w:hAnsi="Arial"/>
                <w:sz w:val="13"/>
                <w:szCs w:val="13"/>
                <w:color w:val="auto"/>
              </w:rPr>
              <w:t>11/26/2028</w:t>
            </w:r>
          </w:p>
        </w:tc>
        <w:tc>
          <w:tcPr>
            <w:tcW w:w="60" w:type="dxa"/>
            <w:vAlign w:val="bottom"/>
          </w:tcPr>
          <w:p>
            <w:pPr>
              <w:spacing w:after="0"/>
              <w:rPr>
                <w:sz w:val="21"/>
                <w:szCs w:val="21"/>
                <w:color w:val="auto"/>
              </w:rPr>
            </w:pPr>
          </w:p>
        </w:tc>
        <w:tc>
          <w:tcPr>
            <w:tcW w:w="700" w:type="dxa"/>
            <w:vAlign w:val="bottom"/>
          </w:tcPr>
          <w:p>
            <w:pPr>
              <w:jc w:val="right"/>
              <w:ind w:right="79"/>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39"/>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0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
        </w:trPr>
        <w:tc>
          <w:tcPr>
            <w:tcW w:w="860" w:type="dxa"/>
            <w:vAlign w:val="bottom"/>
            <w:tcBorders>
              <w:bottom w:val="single" w:sz="8" w:color="808080"/>
            </w:tcBorders>
          </w:tcPr>
          <w:p>
            <w:pPr>
              <w:spacing w:after="0"/>
              <w:rPr>
                <w:sz w:val="2"/>
                <w:szCs w:val="2"/>
                <w:color w:val="auto"/>
              </w:rPr>
            </w:pPr>
          </w:p>
        </w:tc>
        <w:tc>
          <w:tcPr>
            <w:tcW w:w="920" w:type="dxa"/>
            <w:vAlign w:val="bottom"/>
            <w:tcBorders>
              <w:bottom w:val="single" w:sz="8" w:color="808080"/>
            </w:tcBorders>
          </w:tcPr>
          <w:p>
            <w:pPr>
              <w:spacing w:after="0"/>
              <w:rPr>
                <w:sz w:val="2"/>
                <w:szCs w:val="2"/>
                <w:color w:val="auto"/>
              </w:rPr>
            </w:pPr>
          </w:p>
        </w:tc>
        <w:tc>
          <w:tcPr>
            <w:tcW w:w="1000" w:type="dxa"/>
            <w:vAlign w:val="bottom"/>
            <w:tcBorders>
              <w:bottom w:val="single" w:sz="8" w:color="808080"/>
            </w:tcBorders>
          </w:tcPr>
          <w:p>
            <w:pPr>
              <w:spacing w:after="0"/>
              <w:rPr>
                <w:sz w:val="2"/>
                <w:szCs w:val="2"/>
                <w:color w:val="auto"/>
              </w:rPr>
            </w:pPr>
          </w:p>
        </w:tc>
        <w:tc>
          <w:tcPr>
            <w:tcW w:w="1120" w:type="dxa"/>
            <w:vAlign w:val="bottom"/>
            <w:tcBorders>
              <w:bottom w:val="single" w:sz="8" w:color="808080"/>
            </w:tcBorders>
          </w:tcPr>
          <w:p>
            <w:pPr>
              <w:spacing w:after="0"/>
              <w:rPr>
                <w:sz w:val="2"/>
                <w:szCs w:val="2"/>
                <w:color w:val="auto"/>
              </w:rPr>
            </w:pPr>
          </w:p>
        </w:tc>
        <w:tc>
          <w:tcPr>
            <w:tcW w:w="520" w:type="dxa"/>
            <w:vAlign w:val="bottom"/>
            <w:tcBorders>
              <w:bottom w:val="single" w:sz="8" w:color="808080"/>
            </w:tcBorders>
          </w:tcPr>
          <w:p>
            <w:pPr>
              <w:spacing w:after="0"/>
              <w:rPr>
                <w:sz w:val="2"/>
                <w:szCs w:val="2"/>
                <w:color w:val="auto"/>
              </w:rPr>
            </w:pPr>
          </w:p>
        </w:tc>
        <w:tc>
          <w:tcPr>
            <w:tcW w:w="860" w:type="dxa"/>
            <w:vAlign w:val="bottom"/>
            <w:tcBorders>
              <w:bottom w:val="single" w:sz="8" w:color="808080"/>
            </w:tcBorders>
            <w:gridSpan w:val="2"/>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800" w:type="dxa"/>
            <w:vAlign w:val="bottom"/>
            <w:tcBorders>
              <w:bottom w:val="single" w:sz="8" w:color="808080"/>
            </w:tcBorders>
          </w:tcPr>
          <w:p>
            <w:pPr>
              <w:spacing w:after="0"/>
              <w:rPr>
                <w:sz w:val="2"/>
                <w:szCs w:val="2"/>
                <w:color w:val="auto"/>
              </w:rPr>
            </w:pPr>
          </w:p>
        </w:tc>
        <w:tc>
          <w:tcPr>
            <w:tcW w:w="800" w:type="dxa"/>
            <w:vAlign w:val="bottom"/>
            <w:tcBorders>
              <w:bottom w:val="single" w:sz="8" w:color="808080"/>
            </w:tcBorders>
          </w:tcPr>
          <w:p>
            <w:pPr>
              <w:spacing w:after="0"/>
              <w:rPr>
                <w:sz w:val="2"/>
                <w:szCs w:val="2"/>
                <w:color w:val="auto"/>
              </w:rPr>
            </w:pPr>
          </w:p>
        </w:tc>
        <w:tc>
          <w:tcPr>
            <w:tcW w:w="8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860" w:type="dxa"/>
            <w:vAlign w:val="bottom"/>
          </w:tcPr>
          <w:p>
            <w:pPr>
              <w:ind w:left="80"/>
              <w:spacing w:after="0"/>
              <w:rPr>
                <w:sz w:val="20"/>
                <w:szCs w:val="20"/>
                <w:color w:val="auto"/>
              </w:rPr>
            </w:pPr>
            <w:r>
              <w:rPr>
                <w:rFonts w:ascii="Arial" w:cs="Arial" w:eastAsia="Arial" w:hAnsi="Arial"/>
                <w:sz w:val="13"/>
                <w:szCs w:val="13"/>
                <w:b w:val="1"/>
                <w:bCs w:val="1"/>
                <w:color w:val="342C82"/>
              </w:rPr>
              <w:t>Jeff</w:t>
            </w:r>
          </w:p>
        </w:tc>
        <w:tc>
          <w:tcPr>
            <w:tcW w:w="920" w:type="dxa"/>
            <w:vAlign w:val="bottom"/>
          </w:tcPr>
          <w:p>
            <w:pPr>
              <w:jc w:val="right"/>
              <w:ind w:right="178"/>
              <w:spacing w:after="0"/>
              <w:rPr>
                <w:sz w:val="20"/>
                <w:szCs w:val="20"/>
                <w:color w:val="auto"/>
              </w:rPr>
            </w:pPr>
            <w:r>
              <w:rPr>
                <w:rFonts w:ascii="Arial" w:cs="Arial" w:eastAsia="Arial" w:hAnsi="Arial"/>
                <w:sz w:val="13"/>
                <w:szCs w:val="13"/>
                <w:color w:val="auto"/>
              </w:rPr>
              <w:t>11/26/2023</w:t>
            </w:r>
          </w:p>
        </w:tc>
        <w:tc>
          <w:tcPr>
            <w:tcW w:w="1000" w:type="dxa"/>
            <w:vAlign w:val="bottom"/>
          </w:tcPr>
          <w:p>
            <w:pPr>
              <w:jc w:val="right"/>
              <w:ind w:right="178"/>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179"/>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9"/>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39"/>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00"/>
              <w:spacing w:after="0"/>
              <w:rPr>
                <w:sz w:val="20"/>
                <w:szCs w:val="20"/>
                <w:color w:val="auto"/>
              </w:rPr>
            </w:pPr>
            <w:r>
              <w:rPr>
                <w:rFonts w:ascii="Arial" w:cs="Arial" w:eastAsia="Arial" w:hAnsi="Arial"/>
                <w:sz w:val="13"/>
                <w:szCs w:val="13"/>
                <w:color w:val="auto"/>
              </w:rPr>
              <w:t>47,651</w:t>
            </w:r>
          </w:p>
        </w:tc>
        <w:tc>
          <w:tcPr>
            <w:tcW w:w="840" w:type="dxa"/>
            <w:vAlign w:val="bottom"/>
          </w:tcPr>
          <w:p>
            <w:pPr>
              <w:jc w:val="right"/>
              <w:ind w:right="140"/>
              <w:spacing w:after="0"/>
              <w:rPr>
                <w:sz w:val="20"/>
                <w:szCs w:val="20"/>
                <w:color w:val="auto"/>
              </w:rPr>
            </w:pPr>
            <w:r>
              <w:rPr>
                <w:rFonts w:ascii="Arial" w:cs="Arial" w:eastAsia="Arial" w:hAnsi="Arial"/>
                <w:sz w:val="13"/>
                <w:szCs w:val="13"/>
                <w:color w:val="auto"/>
              </w:rPr>
              <w:t>671,879</w:t>
            </w:r>
          </w:p>
        </w:tc>
        <w:tc>
          <w:tcPr>
            <w:tcW w:w="0" w:type="dxa"/>
            <w:vAlign w:val="bottom"/>
          </w:tcPr>
          <w:p>
            <w:pPr>
              <w:spacing w:after="0"/>
              <w:rPr>
                <w:sz w:val="1"/>
                <w:szCs w:val="1"/>
                <w:color w:val="auto"/>
              </w:rPr>
            </w:pPr>
          </w:p>
        </w:tc>
      </w:tr>
      <w:tr>
        <w:trPr>
          <w:trHeight w:val="172"/>
        </w:trPr>
        <w:tc>
          <w:tcPr>
            <w:tcW w:w="860" w:type="dxa"/>
            <w:vAlign w:val="bottom"/>
          </w:tcPr>
          <w:p>
            <w:pPr>
              <w:ind w:left="80"/>
              <w:spacing w:after="0"/>
              <w:rPr>
                <w:sz w:val="20"/>
                <w:szCs w:val="20"/>
                <w:color w:val="auto"/>
              </w:rPr>
            </w:pPr>
            <w:r>
              <w:rPr>
                <w:rFonts w:ascii="Arial" w:cs="Arial" w:eastAsia="Arial" w:hAnsi="Arial"/>
                <w:sz w:val="13"/>
                <w:szCs w:val="13"/>
                <w:b w:val="1"/>
                <w:bCs w:val="1"/>
                <w:color w:val="342C82"/>
              </w:rPr>
              <w:t>Mann</w:t>
            </w:r>
          </w:p>
        </w:tc>
        <w:tc>
          <w:tcPr>
            <w:tcW w:w="920" w:type="dxa"/>
            <w:vAlign w:val="bottom"/>
            <w:vMerge w:val="restart"/>
          </w:tcPr>
          <w:p>
            <w:pPr>
              <w:jc w:val="right"/>
              <w:ind w:right="178"/>
              <w:spacing w:after="0"/>
              <w:rPr>
                <w:sz w:val="20"/>
                <w:szCs w:val="20"/>
                <w:color w:val="auto"/>
              </w:rPr>
            </w:pPr>
            <w:r>
              <w:rPr>
                <w:rFonts w:ascii="Arial" w:cs="Arial" w:eastAsia="Arial" w:hAnsi="Arial"/>
                <w:sz w:val="13"/>
                <w:szCs w:val="13"/>
                <w:color w:val="auto"/>
              </w:rPr>
              <w:t>11/26/2023</w:t>
            </w:r>
          </w:p>
        </w:tc>
        <w:tc>
          <w:tcPr>
            <w:tcW w:w="1000" w:type="dxa"/>
            <w:vAlign w:val="bottom"/>
            <w:vMerge w:val="restart"/>
          </w:tcPr>
          <w:p>
            <w:pPr>
              <w:jc w:val="right"/>
              <w:ind w:right="178"/>
              <w:spacing w:after="0"/>
              <w:rPr>
                <w:sz w:val="20"/>
                <w:szCs w:val="20"/>
                <w:color w:val="auto"/>
              </w:rPr>
            </w:pPr>
            <w:r>
              <w:rPr>
                <w:rFonts w:ascii="Arial" w:cs="Arial" w:eastAsia="Arial" w:hAnsi="Arial"/>
                <w:sz w:val="13"/>
                <w:szCs w:val="13"/>
                <w:color w:val="auto"/>
              </w:rPr>
              <w:t>—</w:t>
            </w:r>
          </w:p>
        </w:tc>
        <w:tc>
          <w:tcPr>
            <w:tcW w:w="1120" w:type="dxa"/>
            <w:vAlign w:val="bottom"/>
            <w:vMerge w:val="restart"/>
          </w:tcPr>
          <w:p>
            <w:pPr>
              <w:jc w:val="right"/>
              <w:ind w:right="179"/>
              <w:spacing w:after="0"/>
              <w:rPr>
                <w:sz w:val="20"/>
                <w:szCs w:val="20"/>
                <w:color w:val="auto"/>
              </w:rPr>
            </w:pPr>
            <w:r>
              <w:rPr>
                <w:rFonts w:ascii="Arial" w:cs="Arial" w:eastAsia="Arial" w:hAnsi="Arial"/>
                <w:sz w:val="13"/>
                <w:szCs w:val="13"/>
                <w:color w:val="auto"/>
              </w:rPr>
              <w:t>—</w:t>
            </w:r>
          </w:p>
        </w:tc>
        <w:tc>
          <w:tcPr>
            <w:tcW w:w="520" w:type="dxa"/>
            <w:vAlign w:val="bottom"/>
            <w:vMerge w:val="restart"/>
          </w:tcPr>
          <w:p>
            <w:pPr>
              <w:jc w:val="right"/>
              <w:ind w:right="38"/>
              <w:spacing w:after="0"/>
              <w:rPr>
                <w:sz w:val="20"/>
                <w:szCs w:val="20"/>
                <w:color w:val="auto"/>
              </w:rPr>
            </w:pPr>
            <w:r>
              <w:rPr>
                <w:rFonts w:ascii="Arial" w:cs="Arial" w:eastAsia="Arial" w:hAnsi="Arial"/>
                <w:sz w:val="13"/>
                <w:szCs w:val="13"/>
                <w:color w:val="auto"/>
              </w:rPr>
              <w:t>—</w:t>
            </w: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ind w:right="79"/>
              <w:spacing w:after="0"/>
              <w:rPr>
                <w:sz w:val="20"/>
                <w:szCs w:val="20"/>
                <w:color w:val="auto"/>
              </w:rPr>
            </w:pPr>
            <w:r>
              <w:rPr>
                <w:rFonts w:ascii="Arial" w:cs="Arial" w:eastAsia="Arial" w:hAnsi="Arial"/>
                <w:sz w:val="13"/>
                <w:szCs w:val="13"/>
                <w:color w:val="auto"/>
              </w:rPr>
              <w:t>47,651</w:t>
            </w:r>
          </w:p>
        </w:tc>
        <w:tc>
          <w:tcPr>
            <w:tcW w:w="800" w:type="dxa"/>
            <w:vAlign w:val="bottom"/>
            <w:vMerge w:val="restart"/>
          </w:tcPr>
          <w:p>
            <w:pPr>
              <w:jc w:val="right"/>
              <w:ind w:right="139"/>
              <w:spacing w:after="0"/>
              <w:rPr>
                <w:sz w:val="20"/>
                <w:szCs w:val="20"/>
                <w:color w:val="auto"/>
              </w:rPr>
            </w:pPr>
            <w:r>
              <w:rPr>
                <w:rFonts w:ascii="Arial" w:cs="Arial" w:eastAsia="Arial" w:hAnsi="Arial"/>
                <w:sz w:val="13"/>
                <w:szCs w:val="13"/>
                <w:color w:val="auto"/>
              </w:rPr>
              <w:t>671,879</w:t>
            </w:r>
          </w:p>
        </w:tc>
        <w:tc>
          <w:tcPr>
            <w:tcW w:w="800" w:type="dxa"/>
            <w:vAlign w:val="bottom"/>
            <w:vMerge w:val="restart"/>
          </w:tcPr>
          <w:p>
            <w:pPr>
              <w:jc w:val="right"/>
              <w:ind w:right="100"/>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2"/>
        </w:trPr>
        <w:tc>
          <w:tcPr>
            <w:tcW w:w="86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920" w:type="dxa"/>
            <w:vAlign w:val="bottom"/>
          </w:tcPr>
          <w:p>
            <w:pPr>
              <w:jc w:val="right"/>
              <w:ind w:right="178"/>
              <w:spacing w:after="0"/>
              <w:rPr>
                <w:sz w:val="20"/>
                <w:szCs w:val="20"/>
                <w:color w:val="auto"/>
              </w:rPr>
            </w:pPr>
            <w:r>
              <w:rPr>
                <w:rFonts w:ascii="Arial" w:cs="Arial" w:eastAsia="Arial" w:hAnsi="Arial"/>
                <w:sz w:val="13"/>
                <w:szCs w:val="13"/>
                <w:color w:val="auto"/>
              </w:rPr>
              <w:t>11/26/2022</w:t>
            </w:r>
          </w:p>
        </w:tc>
        <w:tc>
          <w:tcPr>
            <w:tcW w:w="1000" w:type="dxa"/>
            <w:vAlign w:val="bottom"/>
          </w:tcPr>
          <w:p>
            <w:pPr>
              <w:jc w:val="right"/>
              <w:ind w:right="178"/>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179"/>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9"/>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39"/>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00"/>
              <w:spacing w:after="0"/>
              <w:rPr>
                <w:sz w:val="20"/>
                <w:szCs w:val="20"/>
                <w:color w:val="auto"/>
              </w:rPr>
            </w:pPr>
            <w:r>
              <w:rPr>
                <w:rFonts w:ascii="Arial" w:cs="Arial" w:eastAsia="Arial" w:hAnsi="Arial"/>
                <w:sz w:val="13"/>
                <w:szCs w:val="13"/>
                <w:color w:val="auto"/>
              </w:rPr>
              <w:t>39,348</w:t>
            </w:r>
          </w:p>
        </w:tc>
        <w:tc>
          <w:tcPr>
            <w:tcW w:w="840" w:type="dxa"/>
            <w:vAlign w:val="bottom"/>
          </w:tcPr>
          <w:p>
            <w:pPr>
              <w:jc w:val="right"/>
              <w:ind w:right="140"/>
              <w:spacing w:after="0"/>
              <w:rPr>
                <w:sz w:val="20"/>
                <w:szCs w:val="20"/>
                <w:color w:val="auto"/>
              </w:rPr>
            </w:pPr>
            <w:r>
              <w:rPr>
                <w:rFonts w:ascii="Arial" w:cs="Arial" w:eastAsia="Arial" w:hAnsi="Arial"/>
                <w:sz w:val="13"/>
                <w:szCs w:val="13"/>
                <w:color w:val="auto"/>
              </w:rPr>
              <w:t>554,807</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920" w:type="dxa"/>
            <w:vAlign w:val="bottom"/>
          </w:tcPr>
          <w:p>
            <w:pPr>
              <w:jc w:val="right"/>
              <w:ind w:right="178"/>
              <w:spacing w:after="0"/>
              <w:rPr>
                <w:sz w:val="20"/>
                <w:szCs w:val="20"/>
                <w:color w:val="auto"/>
              </w:rPr>
            </w:pPr>
            <w:r>
              <w:rPr>
                <w:rFonts w:ascii="Arial" w:cs="Arial" w:eastAsia="Arial" w:hAnsi="Arial"/>
                <w:sz w:val="13"/>
                <w:szCs w:val="13"/>
                <w:color w:val="auto"/>
              </w:rPr>
              <w:t>11/26/2022</w:t>
            </w:r>
          </w:p>
        </w:tc>
        <w:tc>
          <w:tcPr>
            <w:tcW w:w="1000" w:type="dxa"/>
            <w:vAlign w:val="bottom"/>
          </w:tcPr>
          <w:p>
            <w:pPr>
              <w:jc w:val="right"/>
              <w:ind w:right="178"/>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179"/>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99"/>
              <w:spacing w:after="0"/>
              <w:rPr>
                <w:sz w:val="20"/>
                <w:szCs w:val="20"/>
                <w:color w:val="auto"/>
              </w:rPr>
            </w:pPr>
            <w:r>
              <w:rPr>
                <w:rFonts w:ascii="Arial" w:cs="Arial" w:eastAsia="Arial" w:hAnsi="Arial"/>
                <w:sz w:val="13"/>
                <w:szCs w:val="13"/>
                <w:color w:val="auto"/>
              </w:rPr>
              <w:t>13,117</w:t>
            </w:r>
          </w:p>
        </w:tc>
        <w:tc>
          <w:tcPr>
            <w:tcW w:w="800" w:type="dxa"/>
            <w:vAlign w:val="bottom"/>
          </w:tcPr>
          <w:p>
            <w:pPr>
              <w:jc w:val="right"/>
              <w:ind w:right="139"/>
              <w:spacing w:after="0"/>
              <w:rPr>
                <w:sz w:val="20"/>
                <w:szCs w:val="20"/>
                <w:color w:val="auto"/>
              </w:rPr>
            </w:pPr>
            <w:r>
              <w:rPr>
                <w:rFonts w:ascii="Arial" w:cs="Arial" w:eastAsia="Arial" w:hAnsi="Arial"/>
                <w:sz w:val="13"/>
                <w:szCs w:val="13"/>
                <w:color w:val="auto"/>
              </w:rPr>
              <w:t>184,950</w:t>
            </w:r>
          </w:p>
        </w:tc>
        <w:tc>
          <w:tcPr>
            <w:tcW w:w="800" w:type="dxa"/>
            <w:vAlign w:val="bottom"/>
          </w:tcPr>
          <w:p>
            <w:pPr>
              <w:jc w:val="right"/>
              <w:ind w:right="10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920" w:type="dxa"/>
            <w:vAlign w:val="bottom"/>
          </w:tcPr>
          <w:p>
            <w:pPr>
              <w:jc w:val="right"/>
              <w:ind w:right="178"/>
              <w:spacing w:after="0"/>
              <w:rPr>
                <w:sz w:val="20"/>
                <w:szCs w:val="20"/>
                <w:color w:val="auto"/>
              </w:rPr>
            </w:pPr>
            <w:r>
              <w:rPr>
                <w:rFonts w:ascii="Arial" w:cs="Arial" w:eastAsia="Arial" w:hAnsi="Arial"/>
                <w:sz w:val="13"/>
                <w:szCs w:val="13"/>
                <w:color w:val="auto"/>
              </w:rPr>
              <w:t>4/4/2022</w:t>
            </w:r>
          </w:p>
        </w:tc>
        <w:tc>
          <w:tcPr>
            <w:tcW w:w="1000" w:type="dxa"/>
            <w:vAlign w:val="bottom"/>
          </w:tcPr>
          <w:p>
            <w:pPr>
              <w:jc w:val="right"/>
              <w:ind w:right="178"/>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159"/>
              <w:spacing w:after="0"/>
              <w:rPr>
                <w:sz w:val="20"/>
                <w:szCs w:val="20"/>
                <w:color w:val="auto"/>
              </w:rPr>
            </w:pPr>
            <w:r>
              <w:rPr>
                <w:rFonts w:ascii="Arial" w:cs="Arial" w:eastAsia="Arial" w:hAnsi="Arial"/>
                <w:sz w:val="13"/>
                <w:szCs w:val="13"/>
                <w:color w:val="auto"/>
              </w:rPr>
              <w:t>54,450</w:t>
            </w:r>
          </w:p>
        </w:tc>
        <w:tc>
          <w:tcPr>
            <w:tcW w:w="520" w:type="dxa"/>
            <w:vAlign w:val="bottom"/>
          </w:tcPr>
          <w:p>
            <w:pPr>
              <w:jc w:val="right"/>
              <w:ind w:right="38"/>
              <w:spacing w:after="0"/>
              <w:rPr>
                <w:sz w:val="20"/>
                <w:szCs w:val="20"/>
                <w:color w:val="auto"/>
              </w:rPr>
            </w:pPr>
            <w:r>
              <w:rPr>
                <w:rFonts w:ascii="Arial" w:cs="Arial" w:eastAsia="Arial" w:hAnsi="Arial"/>
                <w:sz w:val="13"/>
                <w:szCs w:val="13"/>
                <w:color w:val="auto"/>
              </w:rPr>
              <w:t>31.40</w:t>
            </w:r>
          </w:p>
        </w:tc>
        <w:tc>
          <w:tcPr>
            <w:tcW w:w="800" w:type="dxa"/>
            <w:vAlign w:val="bottom"/>
          </w:tcPr>
          <w:p>
            <w:pPr>
              <w:jc w:val="right"/>
              <w:ind w:right="78"/>
              <w:spacing w:after="0"/>
              <w:rPr>
                <w:sz w:val="20"/>
                <w:szCs w:val="20"/>
                <w:color w:val="auto"/>
              </w:rPr>
            </w:pPr>
            <w:r>
              <w:rPr>
                <w:rFonts w:ascii="Arial" w:cs="Arial" w:eastAsia="Arial" w:hAnsi="Arial"/>
                <w:sz w:val="13"/>
                <w:szCs w:val="13"/>
                <w:color w:val="auto"/>
              </w:rPr>
              <w:t>4/4/2032</w:t>
            </w:r>
          </w:p>
        </w:tc>
        <w:tc>
          <w:tcPr>
            <w:tcW w:w="60" w:type="dxa"/>
            <w:vAlign w:val="bottom"/>
          </w:tcPr>
          <w:p>
            <w:pPr>
              <w:spacing w:after="0"/>
              <w:rPr>
                <w:sz w:val="21"/>
                <w:szCs w:val="21"/>
                <w:color w:val="auto"/>
              </w:rPr>
            </w:pPr>
          </w:p>
        </w:tc>
        <w:tc>
          <w:tcPr>
            <w:tcW w:w="700" w:type="dxa"/>
            <w:vAlign w:val="bottom"/>
          </w:tcPr>
          <w:p>
            <w:pPr>
              <w:jc w:val="right"/>
              <w:ind w:right="79"/>
              <w:spacing w:after="0"/>
              <w:rPr>
                <w:sz w:val="20"/>
                <w:szCs w:val="20"/>
                <w:color w:val="auto"/>
              </w:rPr>
            </w:pPr>
            <w:r>
              <w:rPr>
                <w:rFonts w:ascii="Arial" w:cs="Arial" w:eastAsia="Arial" w:hAnsi="Arial"/>
                <w:sz w:val="13"/>
                <w:szCs w:val="13"/>
                <w:color w:val="auto"/>
              </w:rPr>
              <w:t>17,813</w:t>
            </w:r>
          </w:p>
        </w:tc>
        <w:tc>
          <w:tcPr>
            <w:tcW w:w="800" w:type="dxa"/>
            <w:vAlign w:val="bottom"/>
          </w:tcPr>
          <w:p>
            <w:pPr>
              <w:jc w:val="right"/>
              <w:ind w:right="139"/>
              <w:spacing w:after="0"/>
              <w:rPr>
                <w:sz w:val="20"/>
                <w:szCs w:val="20"/>
                <w:color w:val="auto"/>
              </w:rPr>
            </w:pPr>
            <w:r>
              <w:rPr>
                <w:rFonts w:ascii="Arial" w:cs="Arial" w:eastAsia="Arial" w:hAnsi="Arial"/>
                <w:sz w:val="13"/>
                <w:szCs w:val="13"/>
                <w:color w:val="auto"/>
              </w:rPr>
              <w:t>251,163</w:t>
            </w:r>
          </w:p>
        </w:tc>
        <w:tc>
          <w:tcPr>
            <w:tcW w:w="800" w:type="dxa"/>
            <w:vAlign w:val="bottom"/>
          </w:tcPr>
          <w:p>
            <w:pPr>
              <w:jc w:val="right"/>
              <w:ind w:right="10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920" w:type="dxa"/>
            <w:vAlign w:val="bottom"/>
          </w:tcPr>
          <w:p>
            <w:pPr>
              <w:jc w:val="right"/>
              <w:ind w:right="178"/>
              <w:spacing w:after="0"/>
              <w:rPr>
                <w:sz w:val="20"/>
                <w:szCs w:val="20"/>
                <w:color w:val="auto"/>
              </w:rPr>
            </w:pPr>
            <w:r>
              <w:rPr>
                <w:rFonts w:ascii="Arial" w:cs="Arial" w:eastAsia="Arial" w:hAnsi="Arial"/>
                <w:sz w:val="13"/>
                <w:szCs w:val="13"/>
                <w:color w:val="auto"/>
              </w:rPr>
              <w:t>11/26/2021</w:t>
            </w:r>
          </w:p>
        </w:tc>
        <w:tc>
          <w:tcPr>
            <w:tcW w:w="1000" w:type="dxa"/>
            <w:vAlign w:val="bottom"/>
          </w:tcPr>
          <w:p>
            <w:pPr>
              <w:jc w:val="right"/>
              <w:ind w:right="158"/>
              <w:spacing w:after="0"/>
              <w:rPr>
                <w:sz w:val="20"/>
                <w:szCs w:val="20"/>
                <w:color w:val="auto"/>
              </w:rPr>
            </w:pPr>
            <w:r>
              <w:rPr>
                <w:rFonts w:ascii="Arial" w:cs="Arial" w:eastAsia="Arial" w:hAnsi="Arial"/>
                <w:sz w:val="13"/>
                <w:szCs w:val="13"/>
                <w:color w:val="auto"/>
              </w:rPr>
              <w:t>52,070</w:t>
            </w:r>
          </w:p>
        </w:tc>
        <w:tc>
          <w:tcPr>
            <w:tcW w:w="1120" w:type="dxa"/>
            <w:vAlign w:val="bottom"/>
          </w:tcPr>
          <w:p>
            <w:pPr>
              <w:jc w:val="right"/>
              <w:ind w:right="159"/>
              <w:spacing w:after="0"/>
              <w:rPr>
                <w:sz w:val="20"/>
                <w:szCs w:val="20"/>
                <w:color w:val="auto"/>
              </w:rPr>
            </w:pPr>
            <w:r>
              <w:rPr>
                <w:rFonts w:ascii="Arial" w:cs="Arial" w:eastAsia="Arial" w:hAnsi="Arial"/>
                <w:sz w:val="13"/>
                <w:szCs w:val="13"/>
                <w:color w:val="auto"/>
              </w:rPr>
              <w:t>52,080</w:t>
            </w:r>
          </w:p>
        </w:tc>
        <w:tc>
          <w:tcPr>
            <w:tcW w:w="520" w:type="dxa"/>
            <w:vAlign w:val="bottom"/>
          </w:tcPr>
          <w:p>
            <w:pPr>
              <w:jc w:val="right"/>
              <w:ind w:right="38"/>
              <w:spacing w:after="0"/>
              <w:rPr>
                <w:sz w:val="20"/>
                <w:szCs w:val="20"/>
                <w:color w:val="auto"/>
              </w:rPr>
            </w:pPr>
            <w:r>
              <w:rPr>
                <w:rFonts w:ascii="Arial" w:cs="Arial" w:eastAsia="Arial" w:hAnsi="Arial"/>
                <w:sz w:val="13"/>
                <w:szCs w:val="13"/>
                <w:color w:val="auto"/>
              </w:rPr>
              <w:t>28.31</w:t>
            </w:r>
          </w:p>
        </w:tc>
        <w:tc>
          <w:tcPr>
            <w:tcW w:w="800" w:type="dxa"/>
            <w:vAlign w:val="bottom"/>
          </w:tcPr>
          <w:p>
            <w:pPr>
              <w:jc w:val="right"/>
              <w:ind w:right="58"/>
              <w:spacing w:after="0"/>
              <w:rPr>
                <w:sz w:val="20"/>
                <w:szCs w:val="20"/>
                <w:color w:val="auto"/>
              </w:rPr>
            </w:pPr>
            <w:r>
              <w:rPr>
                <w:rFonts w:ascii="Arial" w:cs="Arial" w:eastAsia="Arial" w:hAnsi="Arial"/>
                <w:sz w:val="13"/>
                <w:szCs w:val="13"/>
                <w:color w:val="auto"/>
              </w:rPr>
              <w:t>11/26/2031</w:t>
            </w:r>
          </w:p>
        </w:tc>
        <w:tc>
          <w:tcPr>
            <w:tcW w:w="60" w:type="dxa"/>
            <w:vAlign w:val="bottom"/>
          </w:tcPr>
          <w:p>
            <w:pPr>
              <w:spacing w:after="0"/>
              <w:rPr>
                <w:sz w:val="21"/>
                <w:szCs w:val="21"/>
                <w:color w:val="auto"/>
              </w:rPr>
            </w:pPr>
          </w:p>
        </w:tc>
        <w:tc>
          <w:tcPr>
            <w:tcW w:w="700" w:type="dxa"/>
            <w:vAlign w:val="bottom"/>
          </w:tcPr>
          <w:p>
            <w:pPr>
              <w:jc w:val="right"/>
              <w:ind w:right="79"/>
              <w:spacing w:after="0"/>
              <w:rPr>
                <w:sz w:val="20"/>
                <w:szCs w:val="20"/>
                <w:color w:val="auto"/>
              </w:rPr>
            </w:pPr>
            <w:r>
              <w:rPr>
                <w:rFonts w:ascii="Arial" w:cs="Arial" w:eastAsia="Arial" w:hAnsi="Arial"/>
                <w:sz w:val="13"/>
                <w:szCs w:val="13"/>
                <w:color w:val="auto"/>
              </w:rPr>
              <w:t>4,868</w:t>
            </w:r>
          </w:p>
        </w:tc>
        <w:tc>
          <w:tcPr>
            <w:tcW w:w="800" w:type="dxa"/>
            <w:vAlign w:val="bottom"/>
          </w:tcPr>
          <w:p>
            <w:pPr>
              <w:jc w:val="right"/>
              <w:ind w:right="139"/>
              <w:spacing w:after="0"/>
              <w:rPr>
                <w:sz w:val="20"/>
                <w:szCs w:val="20"/>
                <w:color w:val="auto"/>
              </w:rPr>
            </w:pPr>
            <w:r>
              <w:rPr>
                <w:rFonts w:ascii="Arial" w:cs="Arial" w:eastAsia="Arial" w:hAnsi="Arial"/>
                <w:sz w:val="13"/>
                <w:szCs w:val="13"/>
                <w:color w:val="auto"/>
              </w:rPr>
              <w:t>68,639</w:t>
            </w:r>
          </w:p>
        </w:tc>
        <w:tc>
          <w:tcPr>
            <w:tcW w:w="800" w:type="dxa"/>
            <w:vAlign w:val="bottom"/>
          </w:tcPr>
          <w:p>
            <w:pPr>
              <w:jc w:val="right"/>
              <w:ind w:right="10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
        </w:trPr>
        <w:tc>
          <w:tcPr>
            <w:tcW w:w="860" w:type="dxa"/>
            <w:vAlign w:val="bottom"/>
            <w:tcBorders>
              <w:bottom w:val="single" w:sz="8" w:color="808080"/>
            </w:tcBorders>
          </w:tcPr>
          <w:p>
            <w:pPr>
              <w:spacing w:after="0"/>
              <w:rPr>
                <w:sz w:val="2"/>
                <w:szCs w:val="2"/>
                <w:color w:val="auto"/>
              </w:rPr>
            </w:pPr>
          </w:p>
        </w:tc>
        <w:tc>
          <w:tcPr>
            <w:tcW w:w="920" w:type="dxa"/>
            <w:vAlign w:val="bottom"/>
            <w:tcBorders>
              <w:bottom w:val="single" w:sz="8" w:color="808080"/>
            </w:tcBorders>
          </w:tcPr>
          <w:p>
            <w:pPr>
              <w:spacing w:after="0"/>
              <w:rPr>
                <w:sz w:val="2"/>
                <w:szCs w:val="2"/>
                <w:color w:val="auto"/>
              </w:rPr>
            </w:pPr>
          </w:p>
        </w:tc>
        <w:tc>
          <w:tcPr>
            <w:tcW w:w="1000" w:type="dxa"/>
            <w:vAlign w:val="bottom"/>
            <w:tcBorders>
              <w:bottom w:val="single" w:sz="8" w:color="808080"/>
            </w:tcBorders>
          </w:tcPr>
          <w:p>
            <w:pPr>
              <w:spacing w:after="0"/>
              <w:rPr>
                <w:sz w:val="2"/>
                <w:szCs w:val="2"/>
                <w:color w:val="auto"/>
              </w:rPr>
            </w:pPr>
          </w:p>
        </w:tc>
        <w:tc>
          <w:tcPr>
            <w:tcW w:w="1120" w:type="dxa"/>
            <w:vAlign w:val="bottom"/>
            <w:tcBorders>
              <w:bottom w:val="single" w:sz="8" w:color="808080"/>
            </w:tcBorders>
          </w:tcPr>
          <w:p>
            <w:pPr>
              <w:spacing w:after="0"/>
              <w:rPr>
                <w:sz w:val="2"/>
                <w:szCs w:val="2"/>
                <w:color w:val="auto"/>
              </w:rPr>
            </w:pPr>
          </w:p>
        </w:tc>
        <w:tc>
          <w:tcPr>
            <w:tcW w:w="520" w:type="dxa"/>
            <w:vAlign w:val="bottom"/>
            <w:tcBorders>
              <w:bottom w:val="single" w:sz="8" w:color="808080"/>
            </w:tcBorders>
          </w:tcPr>
          <w:p>
            <w:pPr>
              <w:spacing w:after="0"/>
              <w:rPr>
                <w:sz w:val="2"/>
                <w:szCs w:val="2"/>
                <w:color w:val="auto"/>
              </w:rPr>
            </w:pPr>
          </w:p>
        </w:tc>
        <w:tc>
          <w:tcPr>
            <w:tcW w:w="860" w:type="dxa"/>
            <w:vAlign w:val="bottom"/>
            <w:tcBorders>
              <w:bottom w:val="single" w:sz="8" w:color="808080"/>
            </w:tcBorders>
            <w:gridSpan w:val="2"/>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800" w:type="dxa"/>
            <w:vAlign w:val="bottom"/>
            <w:tcBorders>
              <w:bottom w:val="single" w:sz="8" w:color="808080"/>
            </w:tcBorders>
          </w:tcPr>
          <w:p>
            <w:pPr>
              <w:spacing w:after="0"/>
              <w:rPr>
                <w:sz w:val="2"/>
                <w:szCs w:val="2"/>
                <w:color w:val="auto"/>
              </w:rPr>
            </w:pPr>
          </w:p>
        </w:tc>
        <w:tc>
          <w:tcPr>
            <w:tcW w:w="800" w:type="dxa"/>
            <w:vAlign w:val="bottom"/>
            <w:tcBorders>
              <w:bottom w:val="single" w:sz="8" w:color="808080"/>
            </w:tcBorders>
          </w:tcPr>
          <w:p>
            <w:pPr>
              <w:spacing w:after="0"/>
              <w:rPr>
                <w:sz w:val="2"/>
                <w:szCs w:val="2"/>
                <w:color w:val="auto"/>
              </w:rPr>
            </w:pPr>
          </w:p>
        </w:tc>
        <w:tc>
          <w:tcPr>
            <w:tcW w:w="8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860" w:type="dxa"/>
            <w:vAlign w:val="bottom"/>
          </w:tcPr>
          <w:p>
            <w:pPr>
              <w:ind w:left="80"/>
              <w:spacing w:after="0"/>
              <w:rPr>
                <w:sz w:val="20"/>
                <w:szCs w:val="20"/>
                <w:color w:val="auto"/>
              </w:rPr>
            </w:pPr>
            <w:r>
              <w:rPr>
                <w:rFonts w:ascii="Arial" w:cs="Arial" w:eastAsia="Arial" w:hAnsi="Arial"/>
                <w:sz w:val="13"/>
                <w:szCs w:val="13"/>
                <w:b w:val="1"/>
                <w:bCs w:val="1"/>
                <w:color w:val="342C82"/>
              </w:rPr>
              <w:t>Jean</w:t>
            </w:r>
          </w:p>
        </w:tc>
        <w:tc>
          <w:tcPr>
            <w:tcW w:w="920" w:type="dxa"/>
            <w:vAlign w:val="bottom"/>
          </w:tcPr>
          <w:p>
            <w:pPr>
              <w:jc w:val="right"/>
              <w:ind w:right="178"/>
              <w:spacing w:after="0"/>
              <w:rPr>
                <w:sz w:val="20"/>
                <w:szCs w:val="20"/>
                <w:color w:val="auto"/>
              </w:rPr>
            </w:pPr>
            <w:r>
              <w:rPr>
                <w:rFonts w:ascii="Arial" w:cs="Arial" w:eastAsia="Arial" w:hAnsi="Arial"/>
                <w:sz w:val="13"/>
                <w:szCs w:val="13"/>
                <w:color w:val="auto"/>
              </w:rPr>
              <w:t>11/26/2023</w:t>
            </w:r>
          </w:p>
        </w:tc>
        <w:tc>
          <w:tcPr>
            <w:tcW w:w="1000" w:type="dxa"/>
            <w:vAlign w:val="bottom"/>
          </w:tcPr>
          <w:p>
            <w:pPr>
              <w:jc w:val="right"/>
              <w:ind w:right="178"/>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179"/>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9"/>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39"/>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00"/>
              <w:spacing w:after="0"/>
              <w:rPr>
                <w:sz w:val="20"/>
                <w:szCs w:val="20"/>
                <w:color w:val="auto"/>
              </w:rPr>
            </w:pPr>
            <w:r>
              <w:rPr>
                <w:rFonts w:ascii="Arial" w:cs="Arial" w:eastAsia="Arial" w:hAnsi="Arial"/>
                <w:sz w:val="13"/>
                <w:szCs w:val="13"/>
                <w:color w:val="auto"/>
              </w:rPr>
              <w:t>15,786</w:t>
            </w:r>
          </w:p>
        </w:tc>
        <w:tc>
          <w:tcPr>
            <w:tcW w:w="840" w:type="dxa"/>
            <w:vAlign w:val="bottom"/>
          </w:tcPr>
          <w:p>
            <w:pPr>
              <w:jc w:val="right"/>
              <w:ind w:right="140"/>
              <w:spacing w:after="0"/>
              <w:rPr>
                <w:sz w:val="20"/>
                <w:szCs w:val="20"/>
                <w:color w:val="auto"/>
              </w:rPr>
            </w:pPr>
            <w:r>
              <w:rPr>
                <w:rFonts w:ascii="Arial" w:cs="Arial" w:eastAsia="Arial" w:hAnsi="Arial"/>
                <w:sz w:val="13"/>
                <w:szCs w:val="13"/>
                <w:color w:val="auto"/>
              </w:rPr>
              <w:t>222,583</w:t>
            </w:r>
          </w:p>
        </w:tc>
        <w:tc>
          <w:tcPr>
            <w:tcW w:w="0" w:type="dxa"/>
            <w:vAlign w:val="bottom"/>
          </w:tcPr>
          <w:p>
            <w:pPr>
              <w:spacing w:after="0"/>
              <w:rPr>
                <w:sz w:val="1"/>
                <w:szCs w:val="1"/>
                <w:color w:val="auto"/>
              </w:rPr>
            </w:pPr>
          </w:p>
        </w:tc>
      </w:tr>
      <w:tr>
        <w:trPr>
          <w:trHeight w:val="172"/>
        </w:trPr>
        <w:tc>
          <w:tcPr>
            <w:tcW w:w="860" w:type="dxa"/>
            <w:vAlign w:val="bottom"/>
          </w:tcPr>
          <w:p>
            <w:pPr>
              <w:ind w:left="80"/>
              <w:spacing w:after="0"/>
              <w:rPr>
                <w:sz w:val="20"/>
                <w:szCs w:val="20"/>
                <w:color w:val="auto"/>
              </w:rPr>
            </w:pPr>
            <w:r>
              <w:rPr>
                <w:rFonts w:ascii="Arial" w:cs="Arial" w:eastAsia="Arial" w:hAnsi="Arial"/>
                <w:sz w:val="13"/>
                <w:szCs w:val="13"/>
                <w:b w:val="1"/>
                <w:bCs w:val="1"/>
                <w:color w:val="342C82"/>
              </w:rPr>
              <w:t>Casner</w:t>
            </w:r>
          </w:p>
        </w:tc>
        <w:tc>
          <w:tcPr>
            <w:tcW w:w="920" w:type="dxa"/>
            <w:vAlign w:val="bottom"/>
            <w:vMerge w:val="restart"/>
          </w:tcPr>
          <w:p>
            <w:pPr>
              <w:jc w:val="right"/>
              <w:ind w:right="178"/>
              <w:spacing w:after="0"/>
              <w:rPr>
                <w:sz w:val="20"/>
                <w:szCs w:val="20"/>
                <w:color w:val="auto"/>
              </w:rPr>
            </w:pPr>
            <w:r>
              <w:rPr>
                <w:rFonts w:ascii="Arial" w:cs="Arial" w:eastAsia="Arial" w:hAnsi="Arial"/>
                <w:sz w:val="13"/>
                <w:szCs w:val="13"/>
                <w:color w:val="auto"/>
              </w:rPr>
              <w:t>11/26/2023</w:t>
            </w:r>
          </w:p>
        </w:tc>
        <w:tc>
          <w:tcPr>
            <w:tcW w:w="1000" w:type="dxa"/>
            <w:vAlign w:val="bottom"/>
            <w:vMerge w:val="restart"/>
          </w:tcPr>
          <w:p>
            <w:pPr>
              <w:jc w:val="right"/>
              <w:ind w:right="178"/>
              <w:spacing w:after="0"/>
              <w:rPr>
                <w:sz w:val="20"/>
                <w:szCs w:val="20"/>
                <w:color w:val="auto"/>
              </w:rPr>
            </w:pPr>
            <w:r>
              <w:rPr>
                <w:rFonts w:ascii="Arial" w:cs="Arial" w:eastAsia="Arial" w:hAnsi="Arial"/>
                <w:sz w:val="13"/>
                <w:szCs w:val="13"/>
                <w:color w:val="auto"/>
              </w:rPr>
              <w:t>—</w:t>
            </w:r>
          </w:p>
        </w:tc>
        <w:tc>
          <w:tcPr>
            <w:tcW w:w="1120" w:type="dxa"/>
            <w:vAlign w:val="bottom"/>
            <w:vMerge w:val="restart"/>
          </w:tcPr>
          <w:p>
            <w:pPr>
              <w:jc w:val="right"/>
              <w:ind w:right="179"/>
              <w:spacing w:after="0"/>
              <w:rPr>
                <w:sz w:val="20"/>
                <w:szCs w:val="20"/>
                <w:color w:val="auto"/>
              </w:rPr>
            </w:pPr>
            <w:r>
              <w:rPr>
                <w:rFonts w:ascii="Arial" w:cs="Arial" w:eastAsia="Arial" w:hAnsi="Arial"/>
                <w:sz w:val="13"/>
                <w:szCs w:val="13"/>
                <w:color w:val="auto"/>
              </w:rPr>
              <w:t>—</w:t>
            </w:r>
          </w:p>
        </w:tc>
        <w:tc>
          <w:tcPr>
            <w:tcW w:w="520" w:type="dxa"/>
            <w:vAlign w:val="bottom"/>
            <w:vMerge w:val="restart"/>
          </w:tcPr>
          <w:p>
            <w:pPr>
              <w:jc w:val="right"/>
              <w:ind w:right="38"/>
              <w:spacing w:after="0"/>
              <w:rPr>
                <w:sz w:val="20"/>
                <w:szCs w:val="20"/>
                <w:color w:val="auto"/>
              </w:rPr>
            </w:pPr>
            <w:r>
              <w:rPr>
                <w:rFonts w:ascii="Arial" w:cs="Arial" w:eastAsia="Arial" w:hAnsi="Arial"/>
                <w:sz w:val="13"/>
                <w:szCs w:val="13"/>
                <w:color w:val="auto"/>
              </w:rPr>
              <w:t>—</w:t>
            </w: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ind w:right="79"/>
              <w:spacing w:after="0"/>
              <w:rPr>
                <w:sz w:val="20"/>
                <w:szCs w:val="20"/>
                <w:color w:val="auto"/>
              </w:rPr>
            </w:pPr>
            <w:r>
              <w:rPr>
                <w:rFonts w:ascii="Arial" w:cs="Arial" w:eastAsia="Arial" w:hAnsi="Arial"/>
                <w:sz w:val="13"/>
                <w:szCs w:val="13"/>
                <w:color w:val="auto"/>
              </w:rPr>
              <w:t>15,786</w:t>
            </w:r>
          </w:p>
        </w:tc>
        <w:tc>
          <w:tcPr>
            <w:tcW w:w="800" w:type="dxa"/>
            <w:vAlign w:val="bottom"/>
            <w:vMerge w:val="restart"/>
          </w:tcPr>
          <w:p>
            <w:pPr>
              <w:jc w:val="right"/>
              <w:ind w:right="139"/>
              <w:spacing w:after="0"/>
              <w:rPr>
                <w:sz w:val="20"/>
                <w:szCs w:val="20"/>
                <w:color w:val="auto"/>
              </w:rPr>
            </w:pPr>
            <w:r>
              <w:rPr>
                <w:rFonts w:ascii="Arial" w:cs="Arial" w:eastAsia="Arial" w:hAnsi="Arial"/>
                <w:sz w:val="13"/>
                <w:szCs w:val="13"/>
                <w:color w:val="auto"/>
              </w:rPr>
              <w:t>222,583</w:t>
            </w:r>
          </w:p>
        </w:tc>
        <w:tc>
          <w:tcPr>
            <w:tcW w:w="800" w:type="dxa"/>
            <w:vAlign w:val="bottom"/>
            <w:vMerge w:val="restart"/>
          </w:tcPr>
          <w:p>
            <w:pPr>
              <w:jc w:val="right"/>
              <w:ind w:right="100"/>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2"/>
        </w:trPr>
        <w:tc>
          <w:tcPr>
            <w:tcW w:w="86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60" w:type="dxa"/>
            <w:vAlign w:val="bottom"/>
            <w:tcBorders>
              <w:bottom w:val="single" w:sz="8" w:color="808080"/>
            </w:tcBorders>
          </w:tcPr>
          <w:p>
            <w:pPr>
              <w:spacing w:after="0"/>
              <w:rPr>
                <w:sz w:val="18"/>
                <w:szCs w:val="18"/>
                <w:color w:val="auto"/>
              </w:rPr>
            </w:pPr>
          </w:p>
        </w:tc>
        <w:tc>
          <w:tcPr>
            <w:tcW w:w="920" w:type="dxa"/>
            <w:vAlign w:val="bottom"/>
          </w:tcPr>
          <w:p>
            <w:pPr>
              <w:jc w:val="right"/>
              <w:ind w:right="178"/>
              <w:spacing w:after="0"/>
              <w:rPr>
                <w:sz w:val="20"/>
                <w:szCs w:val="20"/>
                <w:color w:val="auto"/>
              </w:rPr>
            </w:pPr>
            <w:r>
              <w:rPr>
                <w:rFonts w:ascii="Arial" w:cs="Arial" w:eastAsia="Arial" w:hAnsi="Arial"/>
                <w:sz w:val="13"/>
                <w:szCs w:val="13"/>
                <w:color w:val="auto"/>
              </w:rPr>
              <w:t>8/9/2023</w:t>
            </w:r>
          </w:p>
        </w:tc>
        <w:tc>
          <w:tcPr>
            <w:tcW w:w="1000" w:type="dxa"/>
            <w:vAlign w:val="bottom"/>
          </w:tcPr>
          <w:p>
            <w:pPr>
              <w:jc w:val="right"/>
              <w:ind w:right="178"/>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179"/>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9"/>
              <w:spacing w:after="0"/>
              <w:rPr>
                <w:sz w:val="20"/>
                <w:szCs w:val="20"/>
                <w:color w:val="auto"/>
              </w:rPr>
            </w:pPr>
            <w:r>
              <w:rPr>
                <w:rFonts w:ascii="Arial" w:cs="Arial" w:eastAsia="Arial" w:hAnsi="Arial"/>
                <w:sz w:val="13"/>
                <w:szCs w:val="13"/>
                <w:color w:val="auto"/>
              </w:rPr>
              <w:t>7,519</w:t>
            </w:r>
          </w:p>
        </w:tc>
        <w:tc>
          <w:tcPr>
            <w:tcW w:w="800" w:type="dxa"/>
            <w:vAlign w:val="bottom"/>
          </w:tcPr>
          <w:p>
            <w:pPr>
              <w:jc w:val="right"/>
              <w:ind w:right="139"/>
              <w:spacing w:after="0"/>
              <w:rPr>
                <w:sz w:val="20"/>
                <w:szCs w:val="20"/>
                <w:color w:val="auto"/>
              </w:rPr>
            </w:pPr>
            <w:r>
              <w:rPr>
                <w:rFonts w:ascii="Arial" w:cs="Arial" w:eastAsia="Arial" w:hAnsi="Arial"/>
                <w:sz w:val="13"/>
                <w:szCs w:val="13"/>
                <w:color w:val="auto"/>
              </w:rPr>
              <w:t>106,018</w:t>
            </w:r>
          </w:p>
        </w:tc>
        <w:tc>
          <w:tcPr>
            <w:tcW w:w="800" w:type="dxa"/>
            <w:vAlign w:val="bottom"/>
          </w:tcPr>
          <w:p>
            <w:pPr>
              <w:jc w:val="right"/>
              <w:ind w:right="10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
        </w:trPr>
        <w:tc>
          <w:tcPr>
            <w:tcW w:w="860" w:type="dxa"/>
            <w:vAlign w:val="bottom"/>
            <w:tcBorders>
              <w:bottom w:val="single" w:sz="8" w:color="342C82"/>
            </w:tcBorders>
          </w:tcPr>
          <w:p>
            <w:pPr>
              <w:spacing w:after="0" w:line="20" w:lineRule="exact"/>
              <w:rPr>
                <w:sz w:val="1"/>
                <w:szCs w:val="1"/>
                <w:color w:val="auto"/>
              </w:rPr>
            </w:pPr>
          </w:p>
        </w:tc>
        <w:tc>
          <w:tcPr>
            <w:tcW w:w="920" w:type="dxa"/>
            <w:vAlign w:val="bottom"/>
            <w:tcBorders>
              <w:bottom w:val="single" w:sz="8" w:color="342C82"/>
            </w:tcBorders>
          </w:tcPr>
          <w:p>
            <w:pPr>
              <w:spacing w:after="0" w:line="20" w:lineRule="exact"/>
              <w:rPr>
                <w:sz w:val="1"/>
                <w:szCs w:val="1"/>
                <w:color w:val="auto"/>
              </w:rPr>
            </w:pPr>
          </w:p>
        </w:tc>
        <w:tc>
          <w:tcPr>
            <w:tcW w:w="1000" w:type="dxa"/>
            <w:vAlign w:val="bottom"/>
            <w:tcBorders>
              <w:bottom w:val="single" w:sz="8" w:color="342C82"/>
            </w:tcBorders>
          </w:tcPr>
          <w:p>
            <w:pPr>
              <w:spacing w:after="0" w:line="20" w:lineRule="exact"/>
              <w:rPr>
                <w:sz w:val="1"/>
                <w:szCs w:val="1"/>
                <w:color w:val="auto"/>
              </w:rPr>
            </w:pPr>
          </w:p>
        </w:tc>
        <w:tc>
          <w:tcPr>
            <w:tcW w:w="1120" w:type="dxa"/>
            <w:vAlign w:val="bottom"/>
            <w:tcBorders>
              <w:bottom w:val="single" w:sz="8" w:color="342C82"/>
            </w:tcBorders>
          </w:tcPr>
          <w:p>
            <w:pPr>
              <w:spacing w:after="0" w:line="20" w:lineRule="exact"/>
              <w:rPr>
                <w:sz w:val="1"/>
                <w:szCs w:val="1"/>
                <w:color w:val="auto"/>
              </w:rPr>
            </w:pPr>
          </w:p>
        </w:tc>
        <w:tc>
          <w:tcPr>
            <w:tcW w:w="520" w:type="dxa"/>
            <w:vAlign w:val="bottom"/>
            <w:tcBorders>
              <w:bottom w:val="single" w:sz="8" w:color="342C82"/>
            </w:tcBorders>
          </w:tcPr>
          <w:p>
            <w:pPr>
              <w:spacing w:after="0" w:line="20" w:lineRule="exact"/>
              <w:rPr>
                <w:sz w:val="1"/>
                <w:szCs w:val="1"/>
                <w:color w:val="auto"/>
              </w:rPr>
            </w:pPr>
          </w:p>
        </w:tc>
        <w:tc>
          <w:tcPr>
            <w:tcW w:w="800" w:type="dxa"/>
            <w:vAlign w:val="bottom"/>
            <w:tcBorders>
              <w:bottom w:val="single" w:sz="8" w:color="342C82"/>
            </w:tcBorders>
          </w:tcPr>
          <w:p>
            <w:pPr>
              <w:spacing w:after="0" w:line="20" w:lineRule="exact"/>
              <w:rPr>
                <w:sz w:val="1"/>
                <w:szCs w:val="1"/>
                <w:color w:val="auto"/>
              </w:rPr>
            </w:pPr>
          </w:p>
        </w:tc>
        <w:tc>
          <w:tcPr>
            <w:tcW w:w="60" w:type="dxa"/>
            <w:vAlign w:val="bottom"/>
            <w:tcBorders>
              <w:bottom w:val="single" w:sz="8" w:color="342C82"/>
            </w:tcBorders>
          </w:tcPr>
          <w:p>
            <w:pPr>
              <w:spacing w:after="0" w:line="20" w:lineRule="exact"/>
              <w:rPr>
                <w:sz w:val="1"/>
                <w:szCs w:val="1"/>
                <w:color w:val="auto"/>
              </w:rPr>
            </w:pPr>
          </w:p>
        </w:tc>
        <w:tc>
          <w:tcPr>
            <w:tcW w:w="700" w:type="dxa"/>
            <w:vAlign w:val="bottom"/>
            <w:tcBorders>
              <w:bottom w:val="single" w:sz="8" w:color="342C82"/>
            </w:tcBorders>
          </w:tcPr>
          <w:p>
            <w:pPr>
              <w:spacing w:after="0" w:line="20" w:lineRule="exact"/>
              <w:rPr>
                <w:sz w:val="1"/>
                <w:szCs w:val="1"/>
                <w:color w:val="auto"/>
              </w:rPr>
            </w:pPr>
          </w:p>
        </w:tc>
        <w:tc>
          <w:tcPr>
            <w:tcW w:w="800" w:type="dxa"/>
            <w:vAlign w:val="bottom"/>
            <w:tcBorders>
              <w:bottom w:val="single" w:sz="8" w:color="342C82"/>
            </w:tcBorders>
          </w:tcPr>
          <w:p>
            <w:pPr>
              <w:spacing w:after="0" w:line="20" w:lineRule="exact"/>
              <w:rPr>
                <w:sz w:val="1"/>
                <w:szCs w:val="1"/>
                <w:color w:val="auto"/>
              </w:rPr>
            </w:pPr>
          </w:p>
        </w:tc>
        <w:tc>
          <w:tcPr>
            <w:tcW w:w="800" w:type="dxa"/>
            <w:vAlign w:val="bottom"/>
            <w:tcBorders>
              <w:bottom w:val="single" w:sz="8" w:color="342C82"/>
            </w:tcBorders>
          </w:tcPr>
          <w:p>
            <w:pPr>
              <w:spacing w:after="0" w:line="20" w:lineRule="exact"/>
              <w:rPr>
                <w:sz w:val="1"/>
                <w:szCs w:val="1"/>
                <w:color w:val="auto"/>
              </w:rPr>
            </w:pPr>
          </w:p>
        </w:tc>
        <w:tc>
          <w:tcPr>
            <w:tcW w:w="840" w:type="dxa"/>
            <w:vAlign w:val="bottom"/>
            <w:tcBorders>
              <w:bottom w:val="single" w:sz="8" w:color="342C82"/>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580" w:right="419" w:hanging="288"/>
        <w:spacing w:after="0" w:line="204" w:lineRule="auto"/>
        <w:tabs>
          <w:tab w:leader="none" w:pos="580" w:val="left"/>
        </w:tabs>
        <w:numPr>
          <w:ilvl w:val="0"/>
          <w:numId w:val="40"/>
        </w:numPr>
        <w:rPr>
          <w:rFonts w:ascii="Arial" w:cs="Arial" w:eastAsia="Arial" w:hAnsi="Arial"/>
          <w:sz w:val="22"/>
          <w:szCs w:val="22"/>
          <w:color w:val="auto"/>
          <w:vertAlign w:val="superscript"/>
        </w:rPr>
      </w:pPr>
      <w:r>
        <w:rPr>
          <w:rFonts w:ascii="Arial" w:cs="Arial" w:eastAsia="Arial" w:hAnsi="Arial"/>
          <w:sz w:val="14"/>
          <w:szCs w:val="14"/>
          <w:color w:val="auto"/>
        </w:rPr>
        <w:t>Certain Embecta executives received one-time equity grants in connection with the Separation (the “Founder’s Grants”), which included SARs and TVUs. SARs that were granted pursuant to the Founder’s Grants become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123825</wp:posOffset>
            </wp:positionV>
            <wp:extent cx="699516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7" w:name="page68"/>
    <w:bookmarkEnd w:id="6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5660"/>
        <w:spacing w:after="0"/>
        <w:rPr>
          <w:sz w:val="20"/>
          <w:szCs w:val="20"/>
          <w:color w:val="auto"/>
        </w:rPr>
      </w:pPr>
      <w:r>
        <w:rPr>
          <w:rFonts w:ascii="Arial" w:cs="Arial" w:eastAsia="Arial" w:hAnsi="Arial"/>
          <w:sz w:val="16"/>
          <w:szCs w:val="16"/>
          <w:color w:val="342C82"/>
        </w:rPr>
        <w:t>Compensation of named executive officers</w:t>
      </w:r>
    </w:p>
    <w:p>
      <w:pPr>
        <w:spacing w:after="0" w:line="104" w:lineRule="exact"/>
        <w:rPr>
          <w:sz w:val="20"/>
          <w:szCs w:val="20"/>
          <w:color w:val="auto"/>
        </w:rPr>
      </w:pPr>
    </w:p>
    <w:p>
      <w:pPr>
        <w:ind w:left="580" w:right="359"/>
        <w:spacing w:after="0" w:line="237" w:lineRule="auto"/>
        <w:rPr>
          <w:sz w:val="20"/>
          <w:szCs w:val="20"/>
          <w:color w:val="auto"/>
        </w:rPr>
      </w:pPr>
      <w:r>
        <w:rPr>
          <w:rFonts w:ascii="Arial" w:cs="Arial" w:eastAsia="Arial" w:hAnsi="Arial"/>
          <w:sz w:val="14"/>
          <w:szCs w:val="14"/>
          <w:color w:val="auto"/>
        </w:rPr>
        <w:t>exercisable after three years from the date of grant. Mr. Kurdikar’s SARs granted on April 4, 2022 pursuant to his employment agreement vest in four equal installments from the date of grant. SARs converted from BD awards are exercisable in four equal annual installments beginning one year from the grant date.</w:t>
      </w:r>
    </w:p>
    <w:p>
      <w:pPr>
        <w:spacing w:after="0" w:line="63" w:lineRule="exact"/>
        <w:rPr>
          <w:sz w:val="20"/>
          <w:szCs w:val="20"/>
          <w:color w:val="auto"/>
        </w:rPr>
      </w:pPr>
    </w:p>
    <w:p>
      <w:pPr>
        <w:ind w:left="580" w:right="319" w:hanging="288"/>
        <w:spacing w:after="0" w:line="220" w:lineRule="auto"/>
        <w:tabs>
          <w:tab w:leader="none" w:pos="580" w:val="left"/>
        </w:tabs>
        <w:numPr>
          <w:ilvl w:val="0"/>
          <w:numId w:val="41"/>
        </w:numPr>
        <w:rPr>
          <w:rFonts w:ascii="Arial" w:cs="Arial" w:eastAsia="Arial" w:hAnsi="Arial"/>
          <w:sz w:val="22"/>
          <w:szCs w:val="22"/>
          <w:color w:val="auto"/>
          <w:vertAlign w:val="superscript"/>
        </w:rPr>
      </w:pPr>
      <w:r>
        <w:rPr>
          <w:rFonts w:ascii="Arial" w:cs="Arial" w:eastAsia="Arial" w:hAnsi="Arial"/>
          <w:sz w:val="14"/>
          <w:szCs w:val="14"/>
          <w:color w:val="auto"/>
        </w:rPr>
        <w:t>The amounts shown include grants of TVUs that are not performance-based. TVUs that were granted pursuant to the Founder’s Grants vest after three years from the date of grant. TVUs converted from BD awards and TVUs granted after the Separation, including Mr. Kurdikar’s TVUs granted on April 4, 2022 pursuant to his employment agreement, vest in three equal annual installments beginning one year from the grant date.</w:t>
      </w:r>
    </w:p>
    <w:p>
      <w:pPr>
        <w:spacing w:after="0" w:line="27" w:lineRule="exact"/>
        <w:rPr>
          <w:rFonts w:ascii="Arial" w:cs="Arial" w:eastAsia="Arial" w:hAnsi="Arial"/>
          <w:sz w:val="22"/>
          <w:szCs w:val="22"/>
          <w:color w:val="auto"/>
          <w:vertAlign w:val="superscript"/>
        </w:rPr>
      </w:pPr>
    </w:p>
    <w:p>
      <w:pPr>
        <w:ind w:left="580" w:right="339" w:hanging="288"/>
        <w:spacing w:after="0" w:line="204" w:lineRule="auto"/>
        <w:tabs>
          <w:tab w:leader="none" w:pos="580" w:val="left"/>
        </w:tabs>
        <w:numPr>
          <w:ilvl w:val="0"/>
          <w:numId w:val="41"/>
        </w:numPr>
        <w:rPr>
          <w:rFonts w:ascii="Arial" w:cs="Arial" w:eastAsia="Arial" w:hAnsi="Arial"/>
          <w:sz w:val="22"/>
          <w:szCs w:val="22"/>
          <w:color w:val="auto"/>
          <w:vertAlign w:val="superscript"/>
        </w:rPr>
      </w:pPr>
      <w:r>
        <w:rPr>
          <w:rFonts w:ascii="Arial" w:cs="Arial" w:eastAsia="Arial" w:hAnsi="Arial"/>
          <w:sz w:val="14"/>
          <w:szCs w:val="14"/>
          <w:color w:val="auto"/>
        </w:rPr>
        <w:t>Market value has been calculated by multiplying the number of unvested units by $14.10, the closing price of Embecta common stock on September 30, 2024.</w:t>
      </w:r>
    </w:p>
    <w:p>
      <w:pPr>
        <w:spacing w:after="0" w:line="26" w:lineRule="exact"/>
        <w:rPr>
          <w:rFonts w:ascii="Arial" w:cs="Arial" w:eastAsia="Arial" w:hAnsi="Arial"/>
          <w:sz w:val="22"/>
          <w:szCs w:val="22"/>
          <w:color w:val="auto"/>
          <w:vertAlign w:val="superscript"/>
        </w:rPr>
      </w:pPr>
    </w:p>
    <w:p>
      <w:pPr>
        <w:ind w:left="580" w:right="599" w:hanging="288"/>
        <w:spacing w:after="0" w:line="214" w:lineRule="auto"/>
        <w:tabs>
          <w:tab w:leader="none" w:pos="580" w:val="left"/>
        </w:tabs>
        <w:numPr>
          <w:ilvl w:val="0"/>
          <w:numId w:val="41"/>
        </w:numPr>
        <w:rPr>
          <w:rFonts w:ascii="Arial" w:cs="Arial" w:eastAsia="Arial" w:hAnsi="Arial"/>
          <w:sz w:val="22"/>
          <w:szCs w:val="22"/>
          <w:color w:val="auto"/>
          <w:vertAlign w:val="superscript"/>
        </w:rPr>
      </w:pPr>
      <w:r>
        <w:rPr>
          <w:rFonts w:ascii="Arial" w:cs="Arial" w:eastAsia="Arial" w:hAnsi="Arial"/>
          <w:sz w:val="14"/>
          <w:szCs w:val="14"/>
          <w:color w:val="auto"/>
        </w:rPr>
        <w:t>Based on current performance in accordance with the SEC rules, payout of the PSUs for the fiscal 2023 through fiscal 2025 performance cycle is assumed to be achieved at maximum level performance and payout of the PSUs for the fiscal 2024 through fiscal 2026 performance cycle is assumed to be achieved at target level performance.</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29"/>
          <w:szCs w:val="29"/>
          <w:color w:val="342C82"/>
        </w:rPr>
        <w:t>Option exercises and stock vested</w:t>
      </w:r>
    </w:p>
    <w:p>
      <w:pPr>
        <w:spacing w:after="0" w:line="130" w:lineRule="exact"/>
        <w:rPr>
          <w:sz w:val="20"/>
          <w:szCs w:val="20"/>
          <w:color w:val="auto"/>
        </w:rPr>
      </w:pPr>
    </w:p>
    <w:p>
      <w:pPr>
        <w:ind w:left="300" w:right="519"/>
        <w:spacing w:after="0" w:line="286" w:lineRule="auto"/>
        <w:rPr>
          <w:sz w:val="20"/>
          <w:szCs w:val="20"/>
          <w:color w:val="auto"/>
        </w:rPr>
      </w:pPr>
      <w:r>
        <w:rPr>
          <w:rFonts w:ascii="Arial" w:cs="Arial" w:eastAsia="Arial" w:hAnsi="Arial"/>
          <w:sz w:val="16"/>
          <w:szCs w:val="16"/>
          <w:color w:val="auto"/>
        </w:rPr>
        <w:t>The following table contains information relating to the exercise of SARs and the vesting of TVUs during fiscal year 2024.</w:t>
      </w:r>
    </w:p>
    <w:p>
      <w:pPr>
        <w:spacing w:after="0" w:line="79" w:lineRule="exact"/>
        <w:rPr>
          <w:sz w:val="20"/>
          <w:szCs w:val="20"/>
          <w:color w:val="auto"/>
        </w:rPr>
      </w:pPr>
    </w:p>
    <w:tbl>
      <w:tblPr>
        <w:tblLayout w:type="fixed"/>
        <w:tblInd w:w="300" w:type="dxa"/>
        <w:tblCellMar>
          <w:top w:w="0" w:type="dxa"/>
          <w:left w:w="0" w:type="dxa"/>
          <w:bottom w:w="0" w:type="dxa"/>
          <w:right w:w="0" w:type="dxa"/>
        </w:tblCellMar>
      </w:tblPr>
      <w:tr>
        <w:trPr>
          <w:trHeight w:val="205"/>
        </w:trPr>
        <w:tc>
          <w:tcPr>
            <w:tcW w:w="1980" w:type="dxa"/>
            <w:vAlign w:val="bottom"/>
          </w:tcPr>
          <w:p>
            <w:pPr>
              <w:spacing w:after="0"/>
              <w:rPr>
                <w:sz w:val="17"/>
                <w:szCs w:val="17"/>
                <w:color w:val="auto"/>
              </w:rPr>
            </w:pPr>
          </w:p>
        </w:tc>
        <w:tc>
          <w:tcPr>
            <w:tcW w:w="2060" w:type="dxa"/>
            <w:vAlign w:val="bottom"/>
            <w:tcBorders>
              <w:bottom w:val="single" w:sz="8" w:color="342C82"/>
            </w:tcBorders>
          </w:tcPr>
          <w:p>
            <w:pPr>
              <w:ind w:left="1060"/>
              <w:spacing w:after="0"/>
              <w:rPr>
                <w:sz w:val="20"/>
                <w:szCs w:val="20"/>
                <w:color w:val="auto"/>
              </w:rPr>
            </w:pPr>
            <w:r>
              <w:rPr>
                <w:rFonts w:ascii="Arial" w:cs="Arial" w:eastAsia="Arial" w:hAnsi="Arial"/>
                <w:sz w:val="14"/>
                <w:szCs w:val="14"/>
                <w:b w:val="1"/>
                <w:bCs w:val="1"/>
                <w:color w:val="auto"/>
              </w:rPr>
              <w:t>Option awards</w:t>
            </w:r>
          </w:p>
        </w:tc>
        <w:tc>
          <w:tcPr>
            <w:tcW w:w="1060" w:type="dxa"/>
            <w:vAlign w:val="bottom"/>
            <w:tcBorders>
              <w:bottom w:val="single" w:sz="8" w:color="342C82"/>
            </w:tcBorders>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tcBorders>
              <w:bottom w:val="single" w:sz="8" w:color="342C82"/>
            </w:tcBorders>
          </w:tcPr>
          <w:p>
            <w:pPr>
              <w:jc w:val="right"/>
              <w:spacing w:after="0"/>
              <w:rPr>
                <w:sz w:val="20"/>
                <w:szCs w:val="20"/>
                <w:color w:val="auto"/>
              </w:rPr>
            </w:pPr>
            <w:r>
              <w:rPr>
                <w:rFonts w:ascii="Arial" w:cs="Arial" w:eastAsia="Arial" w:hAnsi="Arial"/>
                <w:sz w:val="14"/>
                <w:szCs w:val="14"/>
                <w:b w:val="1"/>
                <w:bCs w:val="1"/>
                <w:color w:val="auto"/>
              </w:rPr>
              <w:t>Stock awards</w:t>
            </w:r>
          </w:p>
        </w:tc>
        <w:tc>
          <w:tcPr>
            <w:tcW w:w="1040" w:type="dxa"/>
            <w:vAlign w:val="bottom"/>
            <w:tcBorders>
              <w:bottom w:val="single" w:sz="8" w:color="342C82"/>
            </w:tcBorders>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1980" w:type="dxa"/>
            <w:vAlign w:val="bottom"/>
          </w:tcPr>
          <w:p>
            <w:pPr>
              <w:spacing w:after="0"/>
              <w:rPr>
                <w:sz w:val="17"/>
                <w:szCs w:val="17"/>
                <w:color w:val="auto"/>
              </w:rPr>
            </w:pPr>
          </w:p>
        </w:tc>
        <w:tc>
          <w:tcPr>
            <w:tcW w:w="2060" w:type="dxa"/>
            <w:vAlign w:val="bottom"/>
          </w:tcPr>
          <w:p>
            <w:pPr>
              <w:jc w:val="right"/>
              <w:ind w:right="303"/>
              <w:spacing w:after="0"/>
              <w:rPr>
                <w:sz w:val="20"/>
                <w:szCs w:val="20"/>
                <w:color w:val="auto"/>
              </w:rPr>
            </w:pPr>
            <w:r>
              <w:rPr>
                <w:rFonts w:ascii="Arial" w:cs="Arial" w:eastAsia="Arial" w:hAnsi="Arial"/>
                <w:sz w:val="14"/>
                <w:szCs w:val="14"/>
                <w:b w:val="1"/>
                <w:bCs w:val="1"/>
                <w:color w:val="auto"/>
              </w:rPr>
              <w:t>Number of Shares</w:t>
            </w:r>
          </w:p>
        </w:tc>
        <w:tc>
          <w:tcPr>
            <w:tcW w:w="12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Value Realized</w:t>
            </w:r>
          </w:p>
        </w:tc>
        <w:tc>
          <w:tcPr>
            <w:tcW w:w="1980" w:type="dxa"/>
            <w:vAlign w:val="bottom"/>
          </w:tcPr>
          <w:p>
            <w:pPr>
              <w:jc w:val="right"/>
              <w:ind w:right="323"/>
              <w:spacing w:after="0"/>
              <w:rPr>
                <w:sz w:val="20"/>
                <w:szCs w:val="20"/>
                <w:color w:val="auto"/>
              </w:rPr>
            </w:pPr>
            <w:r>
              <w:rPr>
                <w:rFonts w:ascii="Arial" w:cs="Arial" w:eastAsia="Arial" w:hAnsi="Arial"/>
                <w:sz w:val="14"/>
                <w:szCs w:val="14"/>
                <w:b w:val="1"/>
                <w:bCs w:val="1"/>
                <w:color w:val="auto"/>
              </w:rPr>
              <w:t>Number of Shares</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9"/>
              </w:rPr>
              <w:t>Value Realized</w:t>
            </w:r>
          </w:p>
        </w:tc>
      </w:tr>
      <w:tr>
        <w:trPr>
          <w:trHeight w:val="162"/>
        </w:trPr>
        <w:tc>
          <w:tcPr>
            <w:tcW w:w="1980" w:type="dxa"/>
            <w:vAlign w:val="bottom"/>
          </w:tcPr>
          <w:p>
            <w:pPr>
              <w:spacing w:after="0"/>
              <w:rPr>
                <w:sz w:val="14"/>
                <w:szCs w:val="14"/>
                <w:color w:val="auto"/>
              </w:rPr>
            </w:pPr>
          </w:p>
        </w:tc>
        <w:tc>
          <w:tcPr>
            <w:tcW w:w="2060" w:type="dxa"/>
            <w:vAlign w:val="bottom"/>
          </w:tcPr>
          <w:p>
            <w:pPr>
              <w:jc w:val="right"/>
              <w:ind w:right="303"/>
              <w:spacing w:after="0"/>
              <w:rPr>
                <w:sz w:val="20"/>
                <w:szCs w:val="20"/>
                <w:color w:val="auto"/>
              </w:rPr>
            </w:pPr>
            <w:r>
              <w:rPr>
                <w:rFonts w:ascii="Arial" w:cs="Arial" w:eastAsia="Arial" w:hAnsi="Arial"/>
                <w:sz w:val="14"/>
                <w:szCs w:val="14"/>
                <w:b w:val="1"/>
                <w:bCs w:val="1"/>
                <w:color w:val="auto"/>
              </w:rPr>
              <w:t>Acquired on Exercise</w:t>
            </w:r>
          </w:p>
        </w:tc>
        <w:tc>
          <w:tcPr>
            <w:tcW w:w="12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on Exercise</w:t>
            </w:r>
          </w:p>
        </w:tc>
        <w:tc>
          <w:tcPr>
            <w:tcW w:w="1980" w:type="dxa"/>
            <w:vAlign w:val="bottom"/>
          </w:tcPr>
          <w:p>
            <w:pPr>
              <w:jc w:val="right"/>
              <w:ind w:right="323"/>
              <w:spacing w:after="0"/>
              <w:rPr>
                <w:sz w:val="20"/>
                <w:szCs w:val="20"/>
                <w:color w:val="auto"/>
              </w:rPr>
            </w:pPr>
            <w:r>
              <w:rPr>
                <w:rFonts w:ascii="Arial" w:cs="Arial" w:eastAsia="Arial" w:hAnsi="Arial"/>
                <w:sz w:val="14"/>
                <w:szCs w:val="14"/>
                <w:b w:val="1"/>
                <w:bCs w:val="1"/>
                <w:color w:val="auto"/>
              </w:rPr>
              <w:t>Acquired on Vesting</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on Vesting</w:t>
            </w:r>
          </w:p>
        </w:tc>
      </w:tr>
      <w:tr>
        <w:trPr>
          <w:trHeight w:val="229"/>
        </w:trPr>
        <w:tc>
          <w:tcPr>
            <w:tcW w:w="1980" w:type="dxa"/>
            <w:vAlign w:val="bottom"/>
            <w:tcBorders>
              <w:bottom w:val="single" w:sz="8" w:color="342C82"/>
            </w:tcBorders>
          </w:tcPr>
          <w:p>
            <w:pPr>
              <w:ind w:left="80"/>
              <w:spacing w:after="0"/>
              <w:rPr>
                <w:sz w:val="20"/>
                <w:szCs w:val="20"/>
                <w:color w:val="auto"/>
              </w:rPr>
            </w:pPr>
            <w:r>
              <w:rPr>
                <w:rFonts w:ascii="Arial" w:cs="Arial" w:eastAsia="Arial" w:hAnsi="Arial"/>
                <w:sz w:val="14"/>
                <w:szCs w:val="14"/>
                <w:b w:val="1"/>
                <w:bCs w:val="1"/>
                <w:color w:val="auto"/>
              </w:rPr>
              <w:t>Name</w:t>
            </w:r>
          </w:p>
        </w:tc>
        <w:tc>
          <w:tcPr>
            <w:tcW w:w="2060" w:type="dxa"/>
            <w:vAlign w:val="bottom"/>
            <w:tcBorders>
              <w:bottom w:val="single" w:sz="8" w:color="342C82"/>
            </w:tcBorders>
          </w:tcPr>
          <w:p>
            <w:pPr>
              <w:ind w:left="1540"/>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342C82"/>
            </w:tcBorders>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980" w:type="dxa"/>
            <w:vAlign w:val="bottom"/>
            <w:tcBorders>
              <w:bottom w:val="single" w:sz="8" w:color="342C82"/>
            </w:tcBorders>
          </w:tcPr>
          <w:p>
            <w:pPr>
              <w:jc w:val="right"/>
              <w:ind w:right="283"/>
              <w:spacing w:after="0" w:line="230"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3"/>
                <w:szCs w:val="23"/>
                <w:b w:val="1"/>
                <w:bCs w:val="1"/>
                <w:color w:val="auto"/>
                <w:vertAlign w:val="superscript"/>
              </w:rPr>
              <w:t>(1)</w:t>
            </w:r>
          </w:p>
        </w:tc>
        <w:tc>
          <w:tcPr>
            <w:tcW w:w="1120" w:type="dxa"/>
            <w:vAlign w:val="bottom"/>
            <w:tcBorders>
              <w:bottom w:val="single" w:sz="8" w:color="342C82"/>
            </w:tcBorders>
            <w:gridSpan w:val="2"/>
          </w:tcPr>
          <w:p>
            <w:pPr>
              <w:jc w:val="right"/>
              <w:ind w:right="80"/>
              <w:spacing w:after="0" w:line="230"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3"/>
                <w:szCs w:val="23"/>
                <w:b w:val="1"/>
                <w:bCs w:val="1"/>
                <w:color w:val="auto"/>
                <w:vertAlign w:val="superscript"/>
              </w:rPr>
              <w:t>(2)</w:t>
            </w:r>
          </w:p>
        </w:tc>
      </w:tr>
      <w:tr>
        <w:trPr>
          <w:trHeight w:val="243"/>
        </w:trPr>
        <w:tc>
          <w:tcPr>
            <w:tcW w:w="1980" w:type="dxa"/>
            <w:vAlign w:val="bottom"/>
          </w:tcPr>
          <w:p>
            <w:pPr>
              <w:ind w:left="80"/>
              <w:spacing w:after="0"/>
              <w:rPr>
                <w:sz w:val="20"/>
                <w:szCs w:val="20"/>
                <w:color w:val="auto"/>
              </w:rPr>
            </w:pPr>
            <w:r>
              <w:rPr>
                <w:rFonts w:ascii="Arial" w:cs="Arial" w:eastAsia="Arial" w:hAnsi="Arial"/>
                <w:sz w:val="16"/>
                <w:szCs w:val="16"/>
                <w:b w:val="1"/>
                <w:bCs w:val="1"/>
                <w:color w:val="342C82"/>
              </w:rPr>
              <w:t>Dev Kurdikar</w:t>
            </w:r>
          </w:p>
        </w:tc>
        <w:tc>
          <w:tcPr>
            <w:tcW w:w="2060" w:type="dxa"/>
            <w:vAlign w:val="bottom"/>
          </w:tcPr>
          <w:p>
            <w:pPr>
              <w:ind w:left="154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980" w:type="dxa"/>
            <w:vAlign w:val="bottom"/>
          </w:tcPr>
          <w:p>
            <w:pPr>
              <w:jc w:val="right"/>
              <w:ind w:right="363"/>
              <w:spacing w:after="0"/>
              <w:rPr>
                <w:sz w:val="20"/>
                <w:szCs w:val="20"/>
                <w:color w:val="auto"/>
              </w:rPr>
            </w:pPr>
            <w:r>
              <w:rPr>
                <w:rFonts w:ascii="Arial" w:cs="Arial" w:eastAsia="Arial" w:hAnsi="Arial"/>
                <w:sz w:val="16"/>
                <w:szCs w:val="16"/>
                <w:color w:val="auto"/>
              </w:rPr>
              <w:t>41,432</w:t>
            </w: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1,340,039</w:t>
            </w:r>
          </w:p>
        </w:tc>
        <w:tc>
          <w:tcPr>
            <w:tcW w:w="80" w:type="dxa"/>
            <w:vAlign w:val="bottom"/>
          </w:tcPr>
          <w:p>
            <w:pPr>
              <w:spacing w:after="0"/>
              <w:rPr>
                <w:sz w:val="21"/>
                <w:szCs w:val="21"/>
                <w:color w:val="auto"/>
              </w:rPr>
            </w:pPr>
          </w:p>
        </w:tc>
      </w:tr>
      <w:tr>
        <w:trPr>
          <w:trHeight w:val="21"/>
        </w:trPr>
        <w:tc>
          <w:tcPr>
            <w:tcW w:w="1980" w:type="dxa"/>
            <w:vAlign w:val="bottom"/>
            <w:tcBorders>
              <w:bottom w:val="single" w:sz="8" w:color="808080"/>
            </w:tcBorders>
          </w:tcPr>
          <w:p>
            <w:pPr>
              <w:spacing w:after="0" w:line="20" w:lineRule="exact"/>
              <w:rPr>
                <w:sz w:val="1"/>
                <w:szCs w:val="1"/>
                <w:color w:val="auto"/>
              </w:rPr>
            </w:pPr>
          </w:p>
        </w:tc>
        <w:tc>
          <w:tcPr>
            <w:tcW w:w="206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gridSpan w:val="2"/>
          </w:tcPr>
          <w:p>
            <w:pPr>
              <w:spacing w:after="0" w:line="20" w:lineRule="exact"/>
              <w:rPr>
                <w:sz w:val="1"/>
                <w:szCs w:val="1"/>
                <w:color w:val="auto"/>
              </w:rPr>
            </w:pPr>
          </w:p>
        </w:tc>
        <w:tc>
          <w:tcPr>
            <w:tcW w:w="1980" w:type="dxa"/>
            <w:vAlign w:val="bottom"/>
            <w:tcBorders>
              <w:bottom w:val="single" w:sz="8" w:color="808080"/>
            </w:tcBorders>
          </w:tcPr>
          <w:p>
            <w:pPr>
              <w:spacing w:after="0" w:line="20" w:lineRule="exact"/>
              <w:rPr>
                <w:sz w:val="1"/>
                <w:szCs w:val="1"/>
                <w:color w:val="auto"/>
              </w:rPr>
            </w:pPr>
          </w:p>
        </w:tc>
        <w:tc>
          <w:tcPr>
            <w:tcW w:w="1040" w:type="dxa"/>
            <w:vAlign w:val="bottom"/>
            <w:tcBorders>
              <w:bottom w:val="single" w:sz="8" w:color="808080"/>
            </w:tcBorders>
          </w:tcPr>
          <w:p>
            <w:pPr>
              <w:spacing w:after="0" w:line="20" w:lineRule="exact"/>
              <w:rPr>
                <w:sz w:val="1"/>
                <w:szCs w:val="1"/>
                <w:color w:val="auto"/>
              </w:rPr>
            </w:pPr>
          </w:p>
        </w:tc>
        <w:tc>
          <w:tcPr>
            <w:tcW w:w="80" w:type="dxa"/>
            <w:vAlign w:val="bottom"/>
            <w:tcBorders>
              <w:bottom w:val="single" w:sz="8" w:color="808080"/>
            </w:tcBorders>
          </w:tcPr>
          <w:p>
            <w:pPr>
              <w:spacing w:after="0" w:line="20" w:lineRule="exact"/>
              <w:rPr>
                <w:sz w:val="1"/>
                <w:szCs w:val="1"/>
                <w:color w:val="auto"/>
              </w:rPr>
            </w:pPr>
          </w:p>
        </w:tc>
      </w:tr>
      <w:tr>
        <w:trPr>
          <w:trHeight w:val="229"/>
        </w:trPr>
        <w:tc>
          <w:tcPr>
            <w:tcW w:w="1980" w:type="dxa"/>
            <w:vAlign w:val="bottom"/>
          </w:tcPr>
          <w:p>
            <w:pPr>
              <w:ind w:left="80"/>
              <w:spacing w:after="0"/>
              <w:rPr>
                <w:sz w:val="20"/>
                <w:szCs w:val="20"/>
                <w:color w:val="auto"/>
              </w:rPr>
            </w:pPr>
            <w:r>
              <w:rPr>
                <w:rFonts w:ascii="Arial" w:cs="Arial" w:eastAsia="Arial" w:hAnsi="Arial"/>
                <w:sz w:val="16"/>
                <w:szCs w:val="16"/>
                <w:b w:val="1"/>
                <w:bCs w:val="1"/>
                <w:color w:val="342C82"/>
              </w:rPr>
              <w:t>Jake Elguicze</w:t>
            </w:r>
          </w:p>
        </w:tc>
        <w:tc>
          <w:tcPr>
            <w:tcW w:w="2060" w:type="dxa"/>
            <w:vAlign w:val="bottom"/>
          </w:tcPr>
          <w:p>
            <w:pPr>
              <w:ind w:left="154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980" w:type="dxa"/>
            <w:vAlign w:val="bottom"/>
          </w:tcPr>
          <w:p>
            <w:pPr>
              <w:jc w:val="right"/>
              <w:ind w:right="383"/>
              <w:spacing w:after="0"/>
              <w:rPr>
                <w:sz w:val="20"/>
                <w:szCs w:val="20"/>
                <w:color w:val="auto"/>
              </w:rPr>
            </w:pPr>
            <w:r>
              <w:rPr>
                <w:rFonts w:ascii="Arial" w:cs="Arial" w:eastAsia="Arial" w:hAnsi="Arial"/>
                <w:sz w:val="16"/>
                <w:szCs w:val="16"/>
                <w:color w:val="auto"/>
              </w:rPr>
              <w:t>8,812</w:t>
            </w: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260,048</w:t>
            </w:r>
          </w:p>
        </w:tc>
        <w:tc>
          <w:tcPr>
            <w:tcW w:w="80" w:type="dxa"/>
            <w:vAlign w:val="bottom"/>
          </w:tcPr>
          <w:p>
            <w:pPr>
              <w:spacing w:after="0"/>
              <w:rPr>
                <w:sz w:val="19"/>
                <w:szCs w:val="19"/>
                <w:color w:val="auto"/>
              </w:rPr>
            </w:pPr>
          </w:p>
        </w:tc>
      </w:tr>
      <w:tr>
        <w:trPr>
          <w:trHeight w:val="21"/>
        </w:trPr>
        <w:tc>
          <w:tcPr>
            <w:tcW w:w="1980" w:type="dxa"/>
            <w:vAlign w:val="bottom"/>
            <w:tcBorders>
              <w:bottom w:val="single" w:sz="8" w:color="808080"/>
            </w:tcBorders>
          </w:tcPr>
          <w:p>
            <w:pPr>
              <w:spacing w:after="0" w:line="20" w:lineRule="exact"/>
              <w:rPr>
                <w:sz w:val="1"/>
                <w:szCs w:val="1"/>
                <w:color w:val="auto"/>
              </w:rPr>
            </w:pPr>
          </w:p>
        </w:tc>
        <w:tc>
          <w:tcPr>
            <w:tcW w:w="206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gridSpan w:val="2"/>
          </w:tcPr>
          <w:p>
            <w:pPr>
              <w:spacing w:after="0" w:line="20" w:lineRule="exact"/>
              <w:rPr>
                <w:sz w:val="1"/>
                <w:szCs w:val="1"/>
                <w:color w:val="auto"/>
              </w:rPr>
            </w:pPr>
          </w:p>
        </w:tc>
        <w:tc>
          <w:tcPr>
            <w:tcW w:w="1980" w:type="dxa"/>
            <w:vAlign w:val="bottom"/>
            <w:tcBorders>
              <w:bottom w:val="single" w:sz="8" w:color="808080"/>
            </w:tcBorders>
          </w:tcPr>
          <w:p>
            <w:pPr>
              <w:spacing w:after="0" w:line="20" w:lineRule="exact"/>
              <w:rPr>
                <w:sz w:val="1"/>
                <w:szCs w:val="1"/>
                <w:color w:val="auto"/>
              </w:rPr>
            </w:pPr>
          </w:p>
        </w:tc>
        <w:tc>
          <w:tcPr>
            <w:tcW w:w="1040" w:type="dxa"/>
            <w:vAlign w:val="bottom"/>
            <w:tcBorders>
              <w:bottom w:val="single" w:sz="8" w:color="808080"/>
            </w:tcBorders>
          </w:tcPr>
          <w:p>
            <w:pPr>
              <w:spacing w:after="0" w:line="20" w:lineRule="exact"/>
              <w:rPr>
                <w:sz w:val="1"/>
                <w:szCs w:val="1"/>
                <w:color w:val="auto"/>
              </w:rPr>
            </w:pPr>
          </w:p>
        </w:tc>
        <w:tc>
          <w:tcPr>
            <w:tcW w:w="80" w:type="dxa"/>
            <w:vAlign w:val="bottom"/>
            <w:tcBorders>
              <w:bottom w:val="single" w:sz="8" w:color="808080"/>
            </w:tcBorders>
          </w:tcPr>
          <w:p>
            <w:pPr>
              <w:spacing w:after="0" w:line="20" w:lineRule="exact"/>
              <w:rPr>
                <w:sz w:val="1"/>
                <w:szCs w:val="1"/>
                <w:color w:val="auto"/>
              </w:rPr>
            </w:pPr>
          </w:p>
        </w:tc>
      </w:tr>
      <w:tr>
        <w:trPr>
          <w:trHeight w:val="229"/>
        </w:trPr>
        <w:tc>
          <w:tcPr>
            <w:tcW w:w="1980" w:type="dxa"/>
            <w:vAlign w:val="bottom"/>
          </w:tcPr>
          <w:p>
            <w:pPr>
              <w:ind w:left="80"/>
              <w:spacing w:after="0"/>
              <w:rPr>
                <w:sz w:val="20"/>
                <w:szCs w:val="20"/>
                <w:color w:val="auto"/>
              </w:rPr>
            </w:pPr>
            <w:r>
              <w:rPr>
                <w:rFonts w:ascii="Arial" w:cs="Arial" w:eastAsia="Arial" w:hAnsi="Arial"/>
                <w:sz w:val="16"/>
                <w:szCs w:val="16"/>
                <w:b w:val="1"/>
                <w:bCs w:val="1"/>
                <w:color w:val="342C82"/>
              </w:rPr>
              <w:t>Shaun Curtis</w:t>
            </w:r>
          </w:p>
        </w:tc>
        <w:tc>
          <w:tcPr>
            <w:tcW w:w="2060" w:type="dxa"/>
            <w:vAlign w:val="bottom"/>
          </w:tcPr>
          <w:p>
            <w:pPr>
              <w:ind w:left="154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980" w:type="dxa"/>
            <w:vAlign w:val="bottom"/>
          </w:tcPr>
          <w:p>
            <w:pPr>
              <w:jc w:val="right"/>
              <w:ind w:right="383"/>
              <w:spacing w:after="0"/>
              <w:rPr>
                <w:sz w:val="20"/>
                <w:szCs w:val="20"/>
                <w:color w:val="auto"/>
              </w:rPr>
            </w:pPr>
            <w:r>
              <w:rPr>
                <w:rFonts w:ascii="Arial" w:cs="Arial" w:eastAsia="Arial" w:hAnsi="Arial"/>
                <w:sz w:val="16"/>
                <w:szCs w:val="16"/>
                <w:color w:val="auto"/>
              </w:rPr>
              <w:t>4,252</w:t>
            </w: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150,466</w:t>
            </w:r>
          </w:p>
        </w:tc>
        <w:tc>
          <w:tcPr>
            <w:tcW w:w="80" w:type="dxa"/>
            <w:vAlign w:val="bottom"/>
          </w:tcPr>
          <w:p>
            <w:pPr>
              <w:spacing w:after="0"/>
              <w:rPr>
                <w:sz w:val="19"/>
                <w:szCs w:val="19"/>
                <w:color w:val="auto"/>
              </w:rPr>
            </w:pPr>
          </w:p>
        </w:tc>
      </w:tr>
      <w:tr>
        <w:trPr>
          <w:trHeight w:val="21"/>
        </w:trPr>
        <w:tc>
          <w:tcPr>
            <w:tcW w:w="1980" w:type="dxa"/>
            <w:vAlign w:val="bottom"/>
            <w:tcBorders>
              <w:bottom w:val="single" w:sz="8" w:color="808080"/>
            </w:tcBorders>
          </w:tcPr>
          <w:p>
            <w:pPr>
              <w:spacing w:after="0" w:line="20" w:lineRule="exact"/>
              <w:rPr>
                <w:sz w:val="1"/>
                <w:szCs w:val="1"/>
                <w:color w:val="auto"/>
              </w:rPr>
            </w:pPr>
          </w:p>
        </w:tc>
        <w:tc>
          <w:tcPr>
            <w:tcW w:w="206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gridSpan w:val="2"/>
          </w:tcPr>
          <w:p>
            <w:pPr>
              <w:spacing w:after="0" w:line="20" w:lineRule="exact"/>
              <w:rPr>
                <w:sz w:val="1"/>
                <w:szCs w:val="1"/>
                <w:color w:val="auto"/>
              </w:rPr>
            </w:pPr>
          </w:p>
        </w:tc>
        <w:tc>
          <w:tcPr>
            <w:tcW w:w="1980" w:type="dxa"/>
            <w:vAlign w:val="bottom"/>
            <w:tcBorders>
              <w:bottom w:val="single" w:sz="8" w:color="808080"/>
            </w:tcBorders>
          </w:tcPr>
          <w:p>
            <w:pPr>
              <w:spacing w:after="0" w:line="20" w:lineRule="exact"/>
              <w:rPr>
                <w:sz w:val="1"/>
                <w:szCs w:val="1"/>
                <w:color w:val="auto"/>
              </w:rPr>
            </w:pPr>
          </w:p>
        </w:tc>
        <w:tc>
          <w:tcPr>
            <w:tcW w:w="1040" w:type="dxa"/>
            <w:vAlign w:val="bottom"/>
            <w:tcBorders>
              <w:bottom w:val="single" w:sz="8" w:color="808080"/>
            </w:tcBorders>
          </w:tcPr>
          <w:p>
            <w:pPr>
              <w:spacing w:after="0" w:line="20" w:lineRule="exact"/>
              <w:rPr>
                <w:sz w:val="1"/>
                <w:szCs w:val="1"/>
                <w:color w:val="auto"/>
              </w:rPr>
            </w:pPr>
          </w:p>
        </w:tc>
        <w:tc>
          <w:tcPr>
            <w:tcW w:w="80" w:type="dxa"/>
            <w:vAlign w:val="bottom"/>
            <w:tcBorders>
              <w:bottom w:val="single" w:sz="8" w:color="808080"/>
            </w:tcBorders>
          </w:tcPr>
          <w:p>
            <w:pPr>
              <w:spacing w:after="0" w:line="20" w:lineRule="exact"/>
              <w:rPr>
                <w:sz w:val="1"/>
                <w:szCs w:val="1"/>
                <w:color w:val="auto"/>
              </w:rPr>
            </w:pPr>
          </w:p>
        </w:tc>
      </w:tr>
      <w:tr>
        <w:trPr>
          <w:trHeight w:val="229"/>
        </w:trPr>
        <w:tc>
          <w:tcPr>
            <w:tcW w:w="1980" w:type="dxa"/>
            <w:vAlign w:val="bottom"/>
          </w:tcPr>
          <w:p>
            <w:pPr>
              <w:ind w:left="80"/>
              <w:spacing w:after="0"/>
              <w:rPr>
                <w:sz w:val="20"/>
                <w:szCs w:val="20"/>
                <w:color w:val="auto"/>
              </w:rPr>
            </w:pPr>
            <w:r>
              <w:rPr>
                <w:rFonts w:ascii="Arial" w:cs="Arial" w:eastAsia="Arial" w:hAnsi="Arial"/>
                <w:sz w:val="16"/>
                <w:szCs w:val="16"/>
                <w:b w:val="1"/>
                <w:bCs w:val="1"/>
                <w:color w:val="342C82"/>
              </w:rPr>
              <w:t>Jeff Mann</w:t>
            </w:r>
          </w:p>
        </w:tc>
        <w:tc>
          <w:tcPr>
            <w:tcW w:w="2060" w:type="dxa"/>
            <w:vAlign w:val="bottom"/>
          </w:tcPr>
          <w:p>
            <w:pPr>
              <w:ind w:left="154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980" w:type="dxa"/>
            <w:vAlign w:val="bottom"/>
          </w:tcPr>
          <w:p>
            <w:pPr>
              <w:jc w:val="right"/>
              <w:ind w:right="383"/>
              <w:spacing w:after="0"/>
              <w:rPr>
                <w:sz w:val="20"/>
                <w:szCs w:val="20"/>
                <w:color w:val="auto"/>
              </w:rPr>
            </w:pPr>
            <w:r>
              <w:rPr>
                <w:rFonts w:ascii="Arial" w:cs="Arial" w:eastAsia="Arial" w:hAnsi="Arial"/>
                <w:sz w:val="16"/>
                <w:szCs w:val="16"/>
                <w:color w:val="auto"/>
              </w:rPr>
              <w:t>7,701</w:t>
            </w: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199,666</w:t>
            </w:r>
          </w:p>
        </w:tc>
        <w:tc>
          <w:tcPr>
            <w:tcW w:w="80" w:type="dxa"/>
            <w:vAlign w:val="bottom"/>
          </w:tcPr>
          <w:p>
            <w:pPr>
              <w:spacing w:after="0"/>
              <w:rPr>
                <w:sz w:val="19"/>
                <w:szCs w:val="19"/>
                <w:color w:val="auto"/>
              </w:rPr>
            </w:pPr>
          </w:p>
        </w:tc>
      </w:tr>
      <w:tr>
        <w:trPr>
          <w:trHeight w:val="21"/>
        </w:trPr>
        <w:tc>
          <w:tcPr>
            <w:tcW w:w="1980" w:type="dxa"/>
            <w:vAlign w:val="bottom"/>
            <w:tcBorders>
              <w:bottom w:val="single" w:sz="8" w:color="808080"/>
            </w:tcBorders>
          </w:tcPr>
          <w:p>
            <w:pPr>
              <w:spacing w:after="0" w:line="20" w:lineRule="exact"/>
              <w:rPr>
                <w:sz w:val="1"/>
                <w:szCs w:val="1"/>
                <w:color w:val="auto"/>
              </w:rPr>
            </w:pPr>
          </w:p>
        </w:tc>
        <w:tc>
          <w:tcPr>
            <w:tcW w:w="206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gridSpan w:val="2"/>
          </w:tcPr>
          <w:p>
            <w:pPr>
              <w:spacing w:after="0" w:line="20" w:lineRule="exact"/>
              <w:rPr>
                <w:sz w:val="1"/>
                <w:szCs w:val="1"/>
                <w:color w:val="auto"/>
              </w:rPr>
            </w:pPr>
          </w:p>
        </w:tc>
        <w:tc>
          <w:tcPr>
            <w:tcW w:w="1980" w:type="dxa"/>
            <w:vAlign w:val="bottom"/>
            <w:tcBorders>
              <w:bottom w:val="single" w:sz="8" w:color="808080"/>
            </w:tcBorders>
          </w:tcPr>
          <w:p>
            <w:pPr>
              <w:spacing w:after="0" w:line="20" w:lineRule="exact"/>
              <w:rPr>
                <w:sz w:val="1"/>
                <w:szCs w:val="1"/>
                <w:color w:val="auto"/>
              </w:rPr>
            </w:pPr>
          </w:p>
        </w:tc>
        <w:tc>
          <w:tcPr>
            <w:tcW w:w="1040" w:type="dxa"/>
            <w:vAlign w:val="bottom"/>
            <w:tcBorders>
              <w:bottom w:val="single" w:sz="8" w:color="808080"/>
            </w:tcBorders>
          </w:tcPr>
          <w:p>
            <w:pPr>
              <w:spacing w:after="0" w:line="20" w:lineRule="exact"/>
              <w:rPr>
                <w:sz w:val="1"/>
                <w:szCs w:val="1"/>
                <w:color w:val="auto"/>
              </w:rPr>
            </w:pPr>
          </w:p>
        </w:tc>
        <w:tc>
          <w:tcPr>
            <w:tcW w:w="80" w:type="dxa"/>
            <w:vAlign w:val="bottom"/>
            <w:tcBorders>
              <w:bottom w:val="single" w:sz="8" w:color="808080"/>
            </w:tcBorders>
          </w:tcPr>
          <w:p>
            <w:pPr>
              <w:spacing w:after="0" w:line="20" w:lineRule="exact"/>
              <w:rPr>
                <w:sz w:val="1"/>
                <w:szCs w:val="1"/>
                <w:color w:val="auto"/>
              </w:rPr>
            </w:pPr>
          </w:p>
        </w:tc>
      </w:tr>
      <w:tr>
        <w:trPr>
          <w:trHeight w:val="223"/>
        </w:trPr>
        <w:tc>
          <w:tcPr>
            <w:tcW w:w="1980" w:type="dxa"/>
            <w:vAlign w:val="bottom"/>
            <w:tcBorders>
              <w:bottom w:val="single" w:sz="8" w:color="342C82"/>
            </w:tcBorders>
          </w:tcPr>
          <w:p>
            <w:pPr>
              <w:ind w:left="80"/>
              <w:spacing w:after="0"/>
              <w:rPr>
                <w:sz w:val="20"/>
                <w:szCs w:val="20"/>
                <w:color w:val="auto"/>
              </w:rPr>
            </w:pPr>
            <w:r>
              <w:rPr>
                <w:rFonts w:ascii="Arial" w:cs="Arial" w:eastAsia="Arial" w:hAnsi="Arial"/>
                <w:sz w:val="16"/>
                <w:szCs w:val="16"/>
                <w:b w:val="1"/>
                <w:bCs w:val="1"/>
                <w:color w:val="342C82"/>
              </w:rPr>
              <w:t>Jean Casner</w:t>
            </w:r>
          </w:p>
        </w:tc>
        <w:tc>
          <w:tcPr>
            <w:tcW w:w="2060" w:type="dxa"/>
            <w:vAlign w:val="bottom"/>
            <w:tcBorders>
              <w:bottom w:val="single" w:sz="8" w:color="342C82"/>
            </w:tcBorders>
          </w:tcPr>
          <w:p>
            <w:pPr>
              <w:ind w:left="154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342C82"/>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980" w:type="dxa"/>
            <w:vAlign w:val="bottom"/>
            <w:tcBorders>
              <w:bottom w:val="single" w:sz="8" w:color="342C82"/>
            </w:tcBorders>
          </w:tcPr>
          <w:p>
            <w:pPr>
              <w:jc w:val="right"/>
              <w:ind w:right="383"/>
              <w:spacing w:after="0"/>
              <w:rPr>
                <w:sz w:val="20"/>
                <w:szCs w:val="20"/>
                <w:color w:val="auto"/>
              </w:rPr>
            </w:pPr>
            <w:r>
              <w:rPr>
                <w:rFonts w:ascii="Arial" w:cs="Arial" w:eastAsia="Arial" w:hAnsi="Arial"/>
                <w:sz w:val="16"/>
                <w:szCs w:val="16"/>
                <w:color w:val="auto"/>
              </w:rPr>
              <w:t>2,842</w:t>
            </w:r>
          </w:p>
        </w:tc>
        <w:tc>
          <w:tcPr>
            <w:tcW w:w="1040" w:type="dxa"/>
            <w:vAlign w:val="bottom"/>
            <w:tcBorders>
              <w:bottom w:val="single" w:sz="8" w:color="342C82"/>
            </w:tcBorders>
          </w:tcPr>
          <w:p>
            <w:pPr>
              <w:jc w:val="right"/>
              <w:ind w:right="42"/>
              <w:spacing w:after="0"/>
              <w:rPr>
                <w:sz w:val="20"/>
                <w:szCs w:val="20"/>
                <w:color w:val="auto"/>
              </w:rPr>
            </w:pPr>
            <w:r>
              <w:rPr>
                <w:rFonts w:ascii="Arial" w:cs="Arial" w:eastAsia="Arial" w:hAnsi="Arial"/>
                <w:sz w:val="16"/>
                <w:szCs w:val="16"/>
                <w:color w:val="auto"/>
              </w:rPr>
              <w:t>57,836</w:t>
            </w:r>
          </w:p>
        </w:tc>
        <w:tc>
          <w:tcPr>
            <w:tcW w:w="80" w:type="dxa"/>
            <w:vAlign w:val="bottom"/>
            <w:tcBorders>
              <w:bottom w:val="single" w:sz="8" w:color="342C82"/>
            </w:tcBorders>
          </w:tcPr>
          <w:p>
            <w:pPr>
              <w:spacing w:after="0"/>
              <w:rPr>
                <w:sz w:val="19"/>
                <w:szCs w:val="19"/>
                <w:color w:val="auto"/>
              </w:rPr>
            </w:pPr>
          </w:p>
        </w:tc>
      </w:tr>
    </w:tbl>
    <w:p>
      <w:pPr>
        <w:spacing w:after="0" w:line="104" w:lineRule="exact"/>
        <w:rPr>
          <w:sz w:val="20"/>
          <w:szCs w:val="20"/>
          <w:color w:val="auto"/>
        </w:rPr>
      </w:pPr>
    </w:p>
    <w:p>
      <w:pPr>
        <w:ind w:left="580" w:hanging="288"/>
        <w:spacing w:after="0"/>
        <w:tabs>
          <w:tab w:leader="none" w:pos="580" w:val="left"/>
        </w:tabs>
        <w:numPr>
          <w:ilvl w:val="0"/>
          <w:numId w:val="42"/>
        </w:numPr>
        <w:rPr>
          <w:rFonts w:ascii="Arial" w:cs="Arial" w:eastAsia="Arial" w:hAnsi="Arial"/>
          <w:sz w:val="22"/>
          <w:szCs w:val="22"/>
          <w:color w:val="auto"/>
          <w:vertAlign w:val="superscript"/>
        </w:rPr>
      </w:pPr>
      <w:r>
        <w:rPr>
          <w:rFonts w:ascii="Arial" w:cs="Arial" w:eastAsia="Arial" w:hAnsi="Arial"/>
          <w:sz w:val="14"/>
          <w:szCs w:val="14"/>
          <w:color w:val="auto"/>
        </w:rPr>
        <w:t>Represents the aggregate number of TVUs that vested during fiscal year 2024 with respect to each NEO.</w:t>
      </w:r>
    </w:p>
    <w:p>
      <w:pPr>
        <w:spacing w:after="0" w:line="39" w:lineRule="exact"/>
        <w:rPr>
          <w:rFonts w:ascii="Arial" w:cs="Arial" w:eastAsia="Arial" w:hAnsi="Arial"/>
          <w:sz w:val="22"/>
          <w:szCs w:val="22"/>
          <w:color w:val="auto"/>
          <w:vertAlign w:val="superscript"/>
        </w:rPr>
      </w:pPr>
    </w:p>
    <w:p>
      <w:pPr>
        <w:ind w:left="580" w:right="359" w:hanging="288"/>
        <w:spacing w:after="0" w:line="208" w:lineRule="auto"/>
        <w:tabs>
          <w:tab w:leader="none" w:pos="580" w:val="left"/>
        </w:tabs>
        <w:numPr>
          <w:ilvl w:val="0"/>
          <w:numId w:val="42"/>
        </w:numPr>
        <w:rPr>
          <w:rFonts w:ascii="Arial" w:cs="Arial" w:eastAsia="Arial" w:hAnsi="Arial"/>
          <w:sz w:val="22"/>
          <w:szCs w:val="22"/>
          <w:color w:val="auto"/>
          <w:vertAlign w:val="superscript"/>
        </w:rPr>
      </w:pPr>
      <w:r>
        <w:rPr>
          <w:rFonts w:ascii="Arial" w:cs="Arial" w:eastAsia="Arial" w:hAnsi="Arial"/>
          <w:sz w:val="14"/>
          <w:szCs w:val="14"/>
          <w:color w:val="auto"/>
        </w:rPr>
        <w:t>Represents the aggregate dollar amount realized by each NEO upon the vesting of TVUs during fiscal year 2024, calculated by multiplying the number of TVUs that vested during fiscal year 2024 by the closing price of Embecta stock on the applicable vesting date.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132080</wp:posOffset>
            </wp:positionV>
            <wp:extent cx="699516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6"/>
          <w:szCs w:val="16"/>
          <w:color w:val="342C82"/>
        </w:rPr>
        <w:t>Compensation of named executive officers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29"/>
          <w:szCs w:val="29"/>
          <w:color w:val="342C82"/>
        </w:rPr>
        <w:t>Payments upon termination of employment or change in control</w:t>
      </w:r>
    </w:p>
    <w:p>
      <w:pPr>
        <w:spacing w:after="0" w:line="2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Payments upon termination of employment</w:t>
      </w:r>
    </w:p>
    <w:p>
      <w:pPr>
        <w:spacing w:after="0" w:line="106" w:lineRule="exact"/>
        <w:rPr>
          <w:sz w:val="20"/>
          <w:szCs w:val="20"/>
          <w:color w:val="auto"/>
        </w:rPr>
      </w:pPr>
    </w:p>
    <w:p>
      <w:pPr>
        <w:ind w:left="340" w:right="340"/>
        <w:spacing w:after="0" w:line="256" w:lineRule="auto"/>
        <w:rPr>
          <w:sz w:val="20"/>
          <w:szCs w:val="20"/>
          <w:color w:val="auto"/>
        </w:rPr>
      </w:pPr>
      <w:r>
        <w:rPr>
          <w:rFonts w:ascii="Arial" w:cs="Arial" w:eastAsia="Arial" w:hAnsi="Arial"/>
          <w:sz w:val="16"/>
          <w:szCs w:val="16"/>
          <w:color w:val="auto"/>
        </w:rPr>
        <w:t>The following table shows the estimated payments and benefits that would be paid by Embecta to each of the NEOs as a result of a termination of employment under various scenarios. The amounts shown assume termination of employment on September 30, 2024, and the price per share of Embecta’s securities is the closing market price as of that date. However, the actual amounts that would be paid to these NEOs under each scenario can only be determined at the time of actual termination.</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40" w:type="dxa"/>
            <w:vAlign w:val="bottom"/>
          </w:tcPr>
          <w:p>
            <w:pPr>
              <w:spacing w:after="0"/>
              <w:rPr>
                <w:sz w:val="13"/>
                <w:szCs w:val="13"/>
                <w:color w:val="auto"/>
              </w:rPr>
            </w:pPr>
          </w:p>
        </w:tc>
        <w:tc>
          <w:tcPr>
            <w:tcW w:w="1280" w:type="dxa"/>
            <w:vAlign w:val="bottom"/>
          </w:tcPr>
          <w:p>
            <w:pPr>
              <w:jc w:val="right"/>
              <w:ind w:right="70"/>
              <w:spacing w:after="0"/>
              <w:rPr>
                <w:sz w:val="20"/>
                <w:szCs w:val="20"/>
                <w:color w:val="auto"/>
              </w:rPr>
            </w:pPr>
            <w:r>
              <w:rPr>
                <w:rFonts w:ascii="Arial" w:cs="Arial" w:eastAsia="Arial" w:hAnsi="Arial"/>
                <w:sz w:val="13"/>
                <w:szCs w:val="13"/>
                <w:b w:val="1"/>
                <w:bCs w:val="1"/>
                <w:color w:val="auto"/>
              </w:rPr>
              <w:t>Termination</w:t>
            </w:r>
          </w:p>
        </w:tc>
        <w:tc>
          <w:tcPr>
            <w:tcW w:w="1060" w:type="dxa"/>
            <w:vAlign w:val="bottom"/>
          </w:tcPr>
          <w:p>
            <w:pPr>
              <w:jc w:val="right"/>
              <w:ind w:right="70"/>
              <w:spacing w:after="0"/>
              <w:rPr>
                <w:sz w:val="20"/>
                <w:szCs w:val="20"/>
                <w:color w:val="auto"/>
              </w:rPr>
            </w:pPr>
            <w:r>
              <w:rPr>
                <w:rFonts w:ascii="Arial" w:cs="Arial" w:eastAsia="Arial" w:hAnsi="Arial"/>
                <w:sz w:val="13"/>
                <w:szCs w:val="13"/>
                <w:b w:val="1"/>
                <w:bCs w:val="1"/>
                <w:color w:val="auto"/>
              </w:rPr>
              <w:t>Termination</w:t>
            </w: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840" w:type="dxa"/>
            <w:vAlign w:val="bottom"/>
          </w:tcPr>
          <w:p>
            <w:pPr>
              <w:spacing w:after="0"/>
              <w:rPr>
                <w:sz w:val="11"/>
                <w:szCs w:val="11"/>
                <w:color w:val="auto"/>
              </w:rPr>
            </w:pPr>
          </w:p>
        </w:tc>
        <w:tc>
          <w:tcPr>
            <w:tcW w:w="1280" w:type="dxa"/>
            <w:vAlign w:val="bottom"/>
          </w:tcPr>
          <w:p>
            <w:pPr>
              <w:jc w:val="right"/>
              <w:ind w:right="70"/>
              <w:spacing w:after="0" w:line="135" w:lineRule="exact"/>
              <w:rPr>
                <w:sz w:val="20"/>
                <w:szCs w:val="20"/>
                <w:color w:val="auto"/>
              </w:rPr>
            </w:pPr>
            <w:r>
              <w:rPr>
                <w:rFonts w:ascii="Arial" w:cs="Arial" w:eastAsia="Arial" w:hAnsi="Arial"/>
                <w:sz w:val="13"/>
                <w:szCs w:val="13"/>
                <w:b w:val="1"/>
                <w:bCs w:val="1"/>
                <w:color w:val="auto"/>
              </w:rPr>
              <w:t>without</w:t>
            </w:r>
          </w:p>
        </w:tc>
        <w:tc>
          <w:tcPr>
            <w:tcW w:w="1060" w:type="dxa"/>
            <w:vAlign w:val="bottom"/>
          </w:tcPr>
          <w:p>
            <w:pPr>
              <w:jc w:val="right"/>
              <w:ind w:right="70"/>
              <w:spacing w:after="0" w:line="135" w:lineRule="exact"/>
              <w:rPr>
                <w:sz w:val="20"/>
                <w:szCs w:val="20"/>
                <w:color w:val="auto"/>
              </w:rPr>
            </w:pPr>
            <w:r>
              <w:rPr>
                <w:rFonts w:ascii="Arial" w:cs="Arial" w:eastAsia="Arial" w:hAnsi="Arial"/>
                <w:sz w:val="13"/>
                <w:szCs w:val="13"/>
                <w:b w:val="1"/>
                <w:bCs w:val="1"/>
                <w:color w:val="auto"/>
              </w:rPr>
              <w:t>without</w:t>
            </w:r>
          </w:p>
        </w:tc>
        <w:tc>
          <w:tcPr>
            <w:tcW w:w="980" w:type="dxa"/>
            <w:vAlign w:val="bottom"/>
          </w:tcPr>
          <w:p>
            <w:pPr>
              <w:spacing w:after="0"/>
              <w:rPr>
                <w:sz w:val="11"/>
                <w:szCs w:val="11"/>
                <w:color w:val="auto"/>
              </w:rPr>
            </w:pPr>
          </w:p>
        </w:tc>
        <w:tc>
          <w:tcPr>
            <w:tcW w:w="1000" w:type="dxa"/>
            <w:vAlign w:val="bottom"/>
            <w:vMerge w:val="restart"/>
          </w:tcPr>
          <w:p>
            <w:pPr>
              <w:jc w:val="right"/>
              <w:ind w:right="30"/>
              <w:spacing w:after="0"/>
              <w:rPr>
                <w:sz w:val="20"/>
                <w:szCs w:val="20"/>
                <w:color w:val="auto"/>
              </w:rPr>
            </w:pPr>
            <w:r>
              <w:rPr>
                <w:rFonts w:ascii="Arial" w:cs="Arial" w:eastAsia="Arial" w:hAnsi="Arial"/>
                <w:sz w:val="13"/>
                <w:szCs w:val="13"/>
                <w:b w:val="1"/>
                <w:bCs w:val="1"/>
                <w:color w:val="auto"/>
              </w:rPr>
              <w:t>Voluntary</w:t>
            </w:r>
          </w:p>
        </w:tc>
        <w:tc>
          <w:tcPr>
            <w:tcW w:w="9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40" w:type="dxa"/>
            <w:vAlign w:val="bottom"/>
          </w:tcPr>
          <w:p>
            <w:pPr>
              <w:spacing w:after="0"/>
              <w:rPr>
                <w:sz w:val="11"/>
                <w:szCs w:val="11"/>
                <w:color w:val="auto"/>
              </w:rPr>
            </w:pPr>
          </w:p>
        </w:tc>
        <w:tc>
          <w:tcPr>
            <w:tcW w:w="1280" w:type="dxa"/>
            <w:vAlign w:val="bottom"/>
          </w:tcPr>
          <w:p>
            <w:pPr>
              <w:jc w:val="right"/>
              <w:ind w:right="70"/>
              <w:spacing w:after="0" w:line="135" w:lineRule="exact"/>
              <w:rPr>
                <w:sz w:val="20"/>
                <w:szCs w:val="20"/>
                <w:color w:val="auto"/>
              </w:rPr>
            </w:pPr>
            <w:r>
              <w:rPr>
                <w:rFonts w:ascii="Arial" w:cs="Arial" w:eastAsia="Arial" w:hAnsi="Arial"/>
                <w:sz w:val="13"/>
                <w:szCs w:val="13"/>
                <w:b w:val="1"/>
                <w:bCs w:val="1"/>
                <w:color w:val="auto"/>
              </w:rPr>
              <w:t>Cause or for</w:t>
            </w:r>
          </w:p>
        </w:tc>
        <w:tc>
          <w:tcPr>
            <w:tcW w:w="1060" w:type="dxa"/>
            <w:vAlign w:val="bottom"/>
          </w:tcPr>
          <w:p>
            <w:pPr>
              <w:jc w:val="right"/>
              <w:ind w:right="70"/>
              <w:spacing w:after="0" w:line="135" w:lineRule="exact"/>
              <w:rPr>
                <w:sz w:val="20"/>
                <w:szCs w:val="20"/>
                <w:color w:val="auto"/>
              </w:rPr>
            </w:pPr>
            <w:r>
              <w:rPr>
                <w:rFonts w:ascii="Arial" w:cs="Arial" w:eastAsia="Arial" w:hAnsi="Arial"/>
                <w:sz w:val="13"/>
                <w:szCs w:val="13"/>
                <w:b w:val="1"/>
                <w:bCs w:val="1"/>
                <w:color w:val="auto"/>
              </w:rPr>
              <w:t>Cause or for</w:t>
            </w:r>
          </w:p>
        </w:tc>
        <w:tc>
          <w:tcPr>
            <w:tcW w:w="98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9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40" w:type="dxa"/>
            <w:vAlign w:val="bottom"/>
          </w:tcPr>
          <w:p>
            <w:pPr>
              <w:spacing w:after="0"/>
              <w:rPr>
                <w:sz w:val="11"/>
                <w:szCs w:val="11"/>
                <w:color w:val="auto"/>
              </w:rPr>
            </w:pPr>
          </w:p>
        </w:tc>
        <w:tc>
          <w:tcPr>
            <w:tcW w:w="1280" w:type="dxa"/>
            <w:vAlign w:val="bottom"/>
          </w:tcPr>
          <w:p>
            <w:pPr>
              <w:jc w:val="right"/>
              <w:ind w:right="70"/>
              <w:spacing w:after="0" w:line="135" w:lineRule="exact"/>
              <w:rPr>
                <w:sz w:val="20"/>
                <w:szCs w:val="20"/>
                <w:color w:val="auto"/>
              </w:rPr>
            </w:pPr>
            <w:r>
              <w:rPr>
                <w:rFonts w:ascii="Arial" w:cs="Arial" w:eastAsia="Arial" w:hAnsi="Arial"/>
                <w:sz w:val="13"/>
                <w:szCs w:val="13"/>
                <w:b w:val="1"/>
                <w:bCs w:val="1"/>
                <w:color w:val="auto"/>
              </w:rPr>
              <w:t>Good Reason</w:t>
            </w:r>
          </w:p>
        </w:tc>
        <w:tc>
          <w:tcPr>
            <w:tcW w:w="1060" w:type="dxa"/>
            <w:vAlign w:val="bottom"/>
          </w:tcPr>
          <w:p>
            <w:pPr>
              <w:jc w:val="right"/>
              <w:ind w:right="70"/>
              <w:spacing w:after="0" w:line="135" w:lineRule="exact"/>
              <w:rPr>
                <w:sz w:val="20"/>
                <w:szCs w:val="20"/>
                <w:color w:val="auto"/>
              </w:rPr>
            </w:pPr>
            <w:r>
              <w:rPr>
                <w:rFonts w:ascii="Arial" w:cs="Arial" w:eastAsia="Arial" w:hAnsi="Arial"/>
                <w:sz w:val="13"/>
                <w:szCs w:val="13"/>
                <w:b w:val="1"/>
                <w:bCs w:val="1"/>
                <w:color w:val="auto"/>
              </w:rPr>
              <w:t>Good Reason</w:t>
            </w:r>
          </w:p>
        </w:tc>
        <w:tc>
          <w:tcPr>
            <w:tcW w:w="98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Termination/</w:t>
            </w:r>
          </w:p>
        </w:tc>
        <w:tc>
          <w:tcPr>
            <w:tcW w:w="9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40" w:type="dxa"/>
            <w:vAlign w:val="bottom"/>
          </w:tcPr>
          <w:p>
            <w:pPr>
              <w:spacing w:after="0"/>
              <w:rPr>
                <w:sz w:val="11"/>
                <w:szCs w:val="11"/>
                <w:color w:val="auto"/>
              </w:rPr>
            </w:pPr>
          </w:p>
        </w:tc>
        <w:tc>
          <w:tcPr>
            <w:tcW w:w="1280" w:type="dxa"/>
            <w:vAlign w:val="bottom"/>
          </w:tcPr>
          <w:p>
            <w:pPr>
              <w:jc w:val="right"/>
              <w:ind w:right="70"/>
              <w:spacing w:after="0" w:line="135" w:lineRule="exact"/>
              <w:rPr>
                <w:sz w:val="20"/>
                <w:szCs w:val="20"/>
                <w:color w:val="auto"/>
              </w:rPr>
            </w:pPr>
            <w:r>
              <w:rPr>
                <w:rFonts w:ascii="Arial" w:cs="Arial" w:eastAsia="Arial" w:hAnsi="Arial"/>
                <w:sz w:val="13"/>
                <w:szCs w:val="13"/>
                <w:b w:val="1"/>
                <w:bCs w:val="1"/>
                <w:color w:val="auto"/>
              </w:rPr>
              <w:t>Following</w:t>
            </w:r>
          </w:p>
        </w:tc>
        <w:tc>
          <w:tcPr>
            <w:tcW w:w="1060" w:type="dxa"/>
            <w:vAlign w:val="bottom"/>
          </w:tcPr>
          <w:p>
            <w:pPr>
              <w:jc w:val="right"/>
              <w:ind w:right="70"/>
              <w:spacing w:after="0" w:line="135" w:lineRule="exact"/>
              <w:rPr>
                <w:sz w:val="20"/>
                <w:szCs w:val="20"/>
                <w:color w:val="auto"/>
              </w:rPr>
            </w:pPr>
            <w:r>
              <w:rPr>
                <w:rFonts w:ascii="Arial" w:cs="Arial" w:eastAsia="Arial" w:hAnsi="Arial"/>
                <w:sz w:val="13"/>
                <w:szCs w:val="13"/>
                <w:b w:val="1"/>
                <w:bCs w:val="1"/>
                <w:color w:val="auto"/>
              </w:rPr>
              <w:t>Outside of a</w:t>
            </w:r>
          </w:p>
        </w:tc>
        <w:tc>
          <w:tcPr>
            <w:tcW w:w="980" w:type="dxa"/>
            <w:vAlign w:val="bottom"/>
            <w:vMerge w:val="restart"/>
          </w:tcPr>
          <w:p>
            <w:pPr>
              <w:jc w:val="right"/>
              <w:ind w:right="129"/>
              <w:spacing w:after="0"/>
              <w:rPr>
                <w:sz w:val="20"/>
                <w:szCs w:val="20"/>
                <w:color w:val="auto"/>
              </w:rPr>
            </w:pPr>
            <w:r>
              <w:rPr>
                <w:rFonts w:ascii="Arial" w:cs="Arial" w:eastAsia="Arial" w:hAnsi="Arial"/>
                <w:sz w:val="13"/>
                <w:szCs w:val="13"/>
                <w:b w:val="1"/>
                <w:bCs w:val="1"/>
                <w:color w:val="auto"/>
              </w:rPr>
              <w:t>Retirement</w:t>
            </w:r>
          </w:p>
        </w:tc>
        <w:tc>
          <w:tcPr>
            <w:tcW w:w="1000" w:type="dxa"/>
            <w:vAlign w:val="bottom"/>
          </w:tcPr>
          <w:p>
            <w:pPr>
              <w:jc w:val="right"/>
              <w:ind w:right="30"/>
              <w:spacing w:after="0" w:line="135" w:lineRule="exact"/>
              <w:rPr>
                <w:sz w:val="20"/>
                <w:szCs w:val="20"/>
                <w:color w:val="auto"/>
              </w:rPr>
            </w:pPr>
            <w:r>
              <w:rPr>
                <w:rFonts w:ascii="Arial" w:cs="Arial" w:eastAsia="Arial" w:hAnsi="Arial"/>
                <w:sz w:val="13"/>
                <w:szCs w:val="13"/>
                <w:b w:val="1"/>
                <w:bCs w:val="1"/>
                <w:color w:val="auto"/>
              </w:rPr>
              <w:t>Termination</w:t>
            </w:r>
          </w:p>
        </w:tc>
        <w:tc>
          <w:tcPr>
            <w:tcW w:w="960" w:type="dxa"/>
            <w:vAlign w:val="bottom"/>
            <w:vMerge w:val="restart"/>
          </w:tcPr>
          <w:p>
            <w:pPr>
              <w:jc w:val="right"/>
              <w:ind w:right="29"/>
              <w:spacing w:after="0"/>
              <w:rPr>
                <w:sz w:val="20"/>
                <w:szCs w:val="20"/>
                <w:color w:val="auto"/>
              </w:rPr>
            </w:pPr>
            <w:r>
              <w:rPr>
                <w:rFonts w:ascii="Arial" w:cs="Arial" w:eastAsia="Arial" w:hAnsi="Arial"/>
                <w:sz w:val="13"/>
                <w:szCs w:val="13"/>
                <w:b w:val="1"/>
                <w:bCs w:val="1"/>
                <w:color w:val="auto"/>
              </w:rPr>
              <w:t>Disability</w:t>
            </w:r>
          </w:p>
        </w:tc>
        <w:tc>
          <w:tcPr>
            <w:tcW w:w="960" w:type="dxa"/>
            <w:vAlign w:val="bottom"/>
            <w:vMerge w:val="restart"/>
          </w:tcPr>
          <w:p>
            <w:pPr>
              <w:jc w:val="right"/>
              <w:ind w:right="29"/>
              <w:spacing w:after="0"/>
              <w:rPr>
                <w:sz w:val="20"/>
                <w:szCs w:val="20"/>
                <w:color w:val="auto"/>
              </w:rPr>
            </w:pPr>
            <w:r>
              <w:rPr>
                <w:rFonts w:ascii="Arial" w:cs="Arial" w:eastAsia="Arial" w:hAnsi="Arial"/>
                <w:sz w:val="13"/>
                <w:szCs w:val="13"/>
                <w:b w:val="1"/>
                <w:bCs w:val="1"/>
                <w:color w:val="auto"/>
              </w:rPr>
              <w:t>Death</w:t>
            </w:r>
          </w:p>
        </w:tc>
        <w:tc>
          <w:tcPr>
            <w:tcW w:w="0" w:type="dxa"/>
            <w:vAlign w:val="bottom"/>
          </w:tcPr>
          <w:p>
            <w:pPr>
              <w:spacing w:after="0"/>
              <w:rPr>
                <w:sz w:val="1"/>
                <w:szCs w:val="1"/>
                <w:color w:val="auto"/>
              </w:rPr>
            </w:pPr>
          </w:p>
        </w:tc>
      </w:tr>
      <w:tr>
        <w:trPr>
          <w:trHeight w:val="143"/>
        </w:trPr>
        <w:tc>
          <w:tcPr>
            <w:tcW w:w="2840" w:type="dxa"/>
            <w:vAlign w:val="bottom"/>
          </w:tcPr>
          <w:p>
            <w:pPr>
              <w:spacing w:after="0"/>
              <w:rPr>
                <w:sz w:val="12"/>
                <w:szCs w:val="12"/>
                <w:color w:val="auto"/>
              </w:rPr>
            </w:pPr>
          </w:p>
        </w:tc>
        <w:tc>
          <w:tcPr>
            <w:tcW w:w="1280" w:type="dxa"/>
            <w:vAlign w:val="bottom"/>
          </w:tcPr>
          <w:p>
            <w:pPr>
              <w:jc w:val="right"/>
              <w:ind w:right="70"/>
              <w:spacing w:after="0" w:line="143" w:lineRule="exact"/>
              <w:rPr>
                <w:sz w:val="20"/>
                <w:szCs w:val="20"/>
                <w:color w:val="auto"/>
              </w:rPr>
            </w:pPr>
            <w:r>
              <w:rPr>
                <w:rFonts w:ascii="Arial" w:cs="Arial" w:eastAsia="Arial" w:hAnsi="Arial"/>
                <w:sz w:val="13"/>
                <w:szCs w:val="13"/>
                <w:b w:val="1"/>
                <w:bCs w:val="1"/>
                <w:color w:val="auto"/>
              </w:rPr>
              <w:t>a CIC</w:t>
            </w:r>
          </w:p>
        </w:tc>
        <w:tc>
          <w:tcPr>
            <w:tcW w:w="1060" w:type="dxa"/>
            <w:vAlign w:val="bottom"/>
          </w:tcPr>
          <w:p>
            <w:pPr>
              <w:jc w:val="right"/>
              <w:ind w:right="70"/>
              <w:spacing w:after="0" w:line="143" w:lineRule="exact"/>
              <w:rPr>
                <w:sz w:val="20"/>
                <w:szCs w:val="20"/>
                <w:color w:val="auto"/>
              </w:rPr>
            </w:pPr>
            <w:r>
              <w:rPr>
                <w:rFonts w:ascii="Arial" w:cs="Arial" w:eastAsia="Arial" w:hAnsi="Arial"/>
                <w:sz w:val="13"/>
                <w:szCs w:val="13"/>
                <w:b w:val="1"/>
                <w:bCs w:val="1"/>
                <w:color w:val="auto"/>
              </w:rPr>
              <w:t>CIC Period</w:t>
            </w:r>
          </w:p>
        </w:tc>
        <w:tc>
          <w:tcPr>
            <w:tcW w:w="980" w:type="dxa"/>
            <w:vAlign w:val="bottom"/>
            <w:vMerge w:val="continue"/>
          </w:tcPr>
          <w:p>
            <w:pPr>
              <w:spacing w:after="0"/>
              <w:rPr>
                <w:sz w:val="12"/>
                <w:szCs w:val="12"/>
                <w:color w:val="auto"/>
              </w:rPr>
            </w:pPr>
          </w:p>
        </w:tc>
        <w:tc>
          <w:tcPr>
            <w:tcW w:w="1000" w:type="dxa"/>
            <w:vAlign w:val="bottom"/>
          </w:tcPr>
          <w:p>
            <w:pPr>
              <w:jc w:val="right"/>
              <w:ind w:right="30"/>
              <w:spacing w:after="0" w:line="143" w:lineRule="exact"/>
              <w:rPr>
                <w:sz w:val="20"/>
                <w:szCs w:val="20"/>
                <w:color w:val="auto"/>
              </w:rPr>
            </w:pPr>
            <w:r>
              <w:rPr>
                <w:rFonts w:ascii="Arial" w:cs="Arial" w:eastAsia="Arial" w:hAnsi="Arial"/>
                <w:sz w:val="13"/>
                <w:szCs w:val="13"/>
                <w:b w:val="1"/>
                <w:bCs w:val="1"/>
                <w:color w:val="auto"/>
              </w:rPr>
              <w:t>for Cause</w:t>
            </w:r>
          </w:p>
        </w:tc>
        <w:tc>
          <w:tcPr>
            <w:tcW w:w="96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2840" w:type="dxa"/>
            <w:vAlign w:val="bottom"/>
            <w:tcBorders>
              <w:bottom w:val="single" w:sz="8" w:color="342C82"/>
            </w:tcBorders>
          </w:tcPr>
          <w:p>
            <w:pPr>
              <w:spacing w:after="0"/>
              <w:rPr>
                <w:sz w:val="19"/>
                <w:szCs w:val="19"/>
                <w:color w:val="auto"/>
              </w:rPr>
            </w:pPr>
          </w:p>
        </w:tc>
        <w:tc>
          <w:tcPr>
            <w:tcW w:w="1280" w:type="dxa"/>
            <w:vAlign w:val="bottom"/>
            <w:tcBorders>
              <w:bottom w:val="single" w:sz="8" w:color="342C82"/>
            </w:tcBorders>
          </w:tcPr>
          <w:p>
            <w:pPr>
              <w:jc w:val="right"/>
              <w:ind w:right="30"/>
              <w:spacing w:after="0" w:line="227"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(1)</w:t>
            </w:r>
          </w:p>
        </w:tc>
        <w:tc>
          <w:tcPr>
            <w:tcW w:w="1060" w:type="dxa"/>
            <w:vAlign w:val="bottom"/>
            <w:tcBorders>
              <w:bottom w:val="single" w:sz="8" w:color="342C82"/>
            </w:tcBorders>
          </w:tcPr>
          <w:p>
            <w:pPr>
              <w:jc w:val="right"/>
              <w:ind w:right="30"/>
              <w:spacing w:after="0" w:line="227"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(2)</w:t>
            </w:r>
          </w:p>
        </w:tc>
        <w:tc>
          <w:tcPr>
            <w:tcW w:w="980" w:type="dxa"/>
            <w:vAlign w:val="bottom"/>
            <w:tcBorders>
              <w:bottom w:val="single" w:sz="8" w:color="342C82"/>
            </w:tcBorders>
          </w:tcPr>
          <w:p>
            <w:pPr>
              <w:jc w:val="right"/>
              <w:ind w:right="109"/>
              <w:spacing w:after="0" w:line="227"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(3)</w:t>
            </w:r>
          </w:p>
        </w:tc>
        <w:tc>
          <w:tcPr>
            <w:tcW w:w="1000" w:type="dxa"/>
            <w:vAlign w:val="bottom"/>
            <w:tcBorders>
              <w:bottom w:val="single" w:sz="8" w:color="342C82"/>
            </w:tcBorders>
          </w:tcPr>
          <w:p>
            <w:pPr>
              <w:jc w:val="right"/>
              <w:spacing w:after="0" w:line="227"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(4)</w:t>
            </w:r>
          </w:p>
        </w:tc>
        <w:tc>
          <w:tcPr>
            <w:tcW w:w="960" w:type="dxa"/>
            <w:vAlign w:val="bottom"/>
            <w:tcBorders>
              <w:bottom w:val="single" w:sz="8" w:color="342C82"/>
            </w:tcBorders>
          </w:tcPr>
          <w:p>
            <w:pPr>
              <w:jc w:val="right"/>
              <w:spacing w:after="0" w:line="227"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(5)</w:t>
            </w:r>
          </w:p>
        </w:tc>
        <w:tc>
          <w:tcPr>
            <w:tcW w:w="960" w:type="dxa"/>
            <w:vAlign w:val="bottom"/>
            <w:tcBorders>
              <w:bottom w:val="single" w:sz="8" w:color="342C82"/>
            </w:tcBorders>
          </w:tcPr>
          <w:p>
            <w:pPr>
              <w:jc w:val="right"/>
              <w:spacing w:after="0" w:line="227"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(5)</w:t>
            </w:r>
          </w:p>
        </w:tc>
        <w:tc>
          <w:tcPr>
            <w:tcW w:w="0" w:type="dxa"/>
            <w:vAlign w:val="bottom"/>
          </w:tcPr>
          <w:p>
            <w:pPr>
              <w:spacing w:after="0"/>
              <w:rPr>
                <w:sz w:val="1"/>
                <w:szCs w:val="1"/>
                <w:color w:val="auto"/>
              </w:rPr>
            </w:pPr>
          </w:p>
        </w:tc>
      </w:tr>
      <w:tr>
        <w:trPr>
          <w:trHeight w:val="230"/>
        </w:trPr>
        <w:tc>
          <w:tcPr>
            <w:tcW w:w="2840" w:type="dxa"/>
            <w:vAlign w:val="bottom"/>
            <w:tcBorders>
              <w:bottom w:val="single" w:sz="8" w:color="808080"/>
            </w:tcBorders>
          </w:tcPr>
          <w:p>
            <w:pPr>
              <w:ind w:left="80"/>
              <w:spacing w:after="0"/>
              <w:rPr>
                <w:sz w:val="20"/>
                <w:szCs w:val="20"/>
                <w:color w:val="auto"/>
              </w:rPr>
            </w:pPr>
            <w:r>
              <w:rPr>
                <w:rFonts w:ascii="Arial" w:cs="Arial" w:eastAsia="Arial" w:hAnsi="Arial"/>
                <w:sz w:val="14"/>
                <w:szCs w:val="14"/>
                <w:b w:val="1"/>
                <w:bCs w:val="1"/>
                <w:color w:val="342C82"/>
              </w:rPr>
              <w:t>Dev Kurdikar</w:t>
            </w:r>
          </w:p>
        </w:tc>
        <w:tc>
          <w:tcPr>
            <w:tcW w:w="1280" w:type="dxa"/>
            <w:vAlign w:val="bottom"/>
            <w:tcBorders>
              <w:bottom w:val="single" w:sz="8" w:color="808080"/>
            </w:tcBorders>
          </w:tcPr>
          <w:p>
            <w:pPr>
              <w:spacing w:after="0"/>
              <w:rPr>
                <w:sz w:val="20"/>
                <w:szCs w:val="20"/>
                <w:color w:val="auto"/>
              </w:rPr>
            </w:pPr>
          </w:p>
        </w:tc>
        <w:tc>
          <w:tcPr>
            <w:tcW w:w="1060" w:type="dxa"/>
            <w:vAlign w:val="bottom"/>
            <w:tcBorders>
              <w:bottom w:val="single" w:sz="8" w:color="808080"/>
            </w:tcBorders>
          </w:tcPr>
          <w:p>
            <w:pPr>
              <w:spacing w:after="0"/>
              <w:rPr>
                <w:sz w:val="20"/>
                <w:szCs w:val="20"/>
                <w:color w:val="auto"/>
              </w:rPr>
            </w:pPr>
          </w:p>
        </w:tc>
        <w:tc>
          <w:tcPr>
            <w:tcW w:w="980" w:type="dxa"/>
            <w:vAlign w:val="bottom"/>
            <w:tcBorders>
              <w:bottom w:val="single" w:sz="8" w:color="808080"/>
            </w:tcBorders>
          </w:tcPr>
          <w:p>
            <w:pPr>
              <w:spacing w:after="0"/>
              <w:rPr>
                <w:sz w:val="20"/>
                <w:szCs w:val="20"/>
                <w:color w:val="auto"/>
              </w:rPr>
            </w:pPr>
          </w:p>
        </w:tc>
        <w:tc>
          <w:tcPr>
            <w:tcW w:w="1000" w:type="dxa"/>
            <w:vAlign w:val="bottom"/>
            <w:tcBorders>
              <w:bottom w:val="single" w:sz="8" w:color="808080"/>
            </w:tcBorders>
          </w:tcPr>
          <w:p>
            <w:pPr>
              <w:spacing w:after="0"/>
              <w:rPr>
                <w:sz w:val="20"/>
                <w:szCs w:val="20"/>
                <w:color w:val="auto"/>
              </w:rPr>
            </w:pPr>
          </w:p>
        </w:tc>
        <w:tc>
          <w:tcPr>
            <w:tcW w:w="960" w:type="dxa"/>
            <w:vAlign w:val="bottom"/>
            <w:tcBorders>
              <w:bottom w:val="single" w:sz="8" w:color="808080"/>
            </w:tcBorders>
          </w:tcPr>
          <w:p>
            <w:pPr>
              <w:spacing w:after="0"/>
              <w:rPr>
                <w:sz w:val="20"/>
                <w:szCs w:val="20"/>
                <w:color w:val="auto"/>
              </w:rPr>
            </w:pPr>
          </w:p>
        </w:tc>
        <w:tc>
          <w:tcPr>
            <w:tcW w:w="96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840" w:type="dxa"/>
            <w:vAlign w:val="bottom"/>
          </w:tcPr>
          <w:p>
            <w:pPr>
              <w:ind w:left="80"/>
              <w:spacing w:after="0"/>
              <w:rPr>
                <w:sz w:val="20"/>
                <w:szCs w:val="20"/>
                <w:color w:val="auto"/>
              </w:rPr>
            </w:pPr>
            <w:r>
              <w:rPr>
                <w:rFonts w:ascii="Arial" w:cs="Arial" w:eastAsia="Arial" w:hAnsi="Arial"/>
                <w:sz w:val="14"/>
                <w:szCs w:val="14"/>
                <w:color w:val="auto"/>
              </w:rPr>
              <w:t>Severance Payments</w:t>
            </w:r>
          </w:p>
        </w:tc>
        <w:tc>
          <w:tcPr>
            <w:tcW w:w="1280" w:type="dxa"/>
            <w:vAlign w:val="bottom"/>
          </w:tcPr>
          <w:p>
            <w:pPr>
              <w:jc w:val="right"/>
              <w:ind w:right="230"/>
              <w:spacing w:after="0"/>
              <w:rPr>
                <w:sz w:val="20"/>
                <w:szCs w:val="20"/>
                <w:color w:val="auto"/>
              </w:rPr>
            </w:pPr>
            <w:r>
              <w:rPr>
                <w:rFonts w:ascii="Arial" w:cs="Arial" w:eastAsia="Arial" w:hAnsi="Arial"/>
                <w:sz w:val="14"/>
                <w:szCs w:val="14"/>
                <w:color w:val="auto"/>
              </w:rPr>
              <w:t>6,129,000</w:t>
            </w:r>
          </w:p>
        </w:tc>
        <w:tc>
          <w:tcPr>
            <w:tcW w:w="1060" w:type="dxa"/>
            <w:vAlign w:val="bottom"/>
          </w:tcPr>
          <w:p>
            <w:pPr>
              <w:jc w:val="right"/>
              <w:ind w:right="210"/>
              <w:spacing w:after="0"/>
              <w:rPr>
                <w:sz w:val="20"/>
                <w:szCs w:val="20"/>
                <w:color w:val="auto"/>
              </w:rPr>
            </w:pPr>
            <w:r>
              <w:rPr>
                <w:rFonts w:ascii="Arial" w:cs="Arial" w:eastAsia="Arial" w:hAnsi="Arial"/>
                <w:sz w:val="14"/>
                <w:szCs w:val="14"/>
                <w:color w:val="auto"/>
              </w:rPr>
              <w:t>4,086,000</w:t>
            </w:r>
          </w:p>
        </w:tc>
        <w:tc>
          <w:tcPr>
            <w:tcW w:w="98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000" w:type="dxa"/>
            <w:vAlign w:val="bottom"/>
          </w:tcPr>
          <w:p>
            <w:pPr>
              <w:ind w:left="76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28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1060" w:type="dxa"/>
            <w:vAlign w:val="bottom"/>
            <w:tcBorders>
              <w:bottom w:val="single" w:sz="8" w:color="808080"/>
            </w:tcBorders>
          </w:tcPr>
          <w:p>
            <w:pPr>
              <w:spacing w:after="0" w:line="20" w:lineRule="exact"/>
              <w:rPr>
                <w:sz w:val="1"/>
                <w:szCs w:val="1"/>
                <w:color w:val="auto"/>
              </w:rPr>
            </w:pPr>
          </w:p>
        </w:tc>
        <w:tc>
          <w:tcPr>
            <w:tcW w:w="980" w:type="dxa"/>
            <w:vAlign w:val="bottom"/>
            <w:tcBorders>
              <w:bottom w:val="single" w:sz="8" w:color="808080"/>
            </w:tcBorders>
          </w:tcPr>
          <w:p>
            <w:pPr>
              <w:spacing w:after="0" w:line="20" w:lineRule="exact"/>
              <w:rPr>
                <w:sz w:val="1"/>
                <w:szCs w:val="1"/>
                <w:color w:val="auto"/>
              </w:rPr>
            </w:pPr>
          </w:p>
        </w:tc>
        <w:tc>
          <w:tcPr>
            <w:tcW w:w="1000" w:type="dxa"/>
            <w:vAlign w:val="bottom"/>
            <w:tcBorders>
              <w:bottom w:val="single" w:sz="8" w:color="808080"/>
            </w:tcBorders>
          </w:tcPr>
          <w:p>
            <w:pPr>
              <w:spacing w:after="0" w:line="20" w:lineRule="exact"/>
              <w:rPr>
                <w:sz w:val="1"/>
                <w:szCs w:val="1"/>
                <w:color w:val="auto"/>
              </w:rPr>
            </w:pPr>
          </w:p>
        </w:tc>
        <w:tc>
          <w:tcPr>
            <w:tcW w:w="960" w:type="dxa"/>
            <w:vAlign w:val="bottom"/>
            <w:tcBorders>
              <w:bottom w:val="single" w:sz="8" w:color="808080"/>
            </w:tcBorders>
          </w:tcPr>
          <w:p>
            <w:pPr>
              <w:spacing w:after="0" w:line="20" w:lineRule="exact"/>
              <w:rPr>
                <w:sz w:val="1"/>
                <w:szCs w:val="1"/>
                <w:color w:val="auto"/>
              </w:rPr>
            </w:pPr>
          </w:p>
        </w:tc>
        <w:tc>
          <w:tcPr>
            <w:tcW w:w="96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840" w:type="dxa"/>
            <w:vAlign w:val="bottom"/>
            <w:tcBorders>
              <w:bottom w:val="single" w:sz="8" w:color="808080"/>
            </w:tcBorders>
          </w:tcPr>
          <w:p>
            <w:pPr>
              <w:ind w:left="80"/>
              <w:spacing w:after="0" w:line="250" w:lineRule="exact"/>
              <w:rPr>
                <w:sz w:val="20"/>
                <w:szCs w:val="20"/>
                <w:color w:val="auto"/>
              </w:rPr>
            </w:pPr>
            <w:r>
              <w:rPr>
                <w:rFonts w:ascii="Arial" w:cs="Arial" w:eastAsia="Arial" w:hAnsi="Arial"/>
                <w:sz w:val="14"/>
                <w:szCs w:val="14"/>
                <w:color w:val="auto"/>
              </w:rPr>
              <w:t>Prorated Annual Incentive Payments</w:t>
            </w:r>
            <w:r>
              <w:rPr>
                <w:rFonts w:ascii="Arial" w:cs="Arial" w:eastAsia="Arial" w:hAnsi="Arial"/>
                <w:sz w:val="23"/>
                <w:szCs w:val="23"/>
                <w:color w:val="auto"/>
                <w:vertAlign w:val="superscript"/>
              </w:rPr>
              <w:t>(7)</w:t>
            </w:r>
          </w:p>
        </w:tc>
        <w:tc>
          <w:tcPr>
            <w:tcW w:w="1280" w:type="dxa"/>
            <w:vAlign w:val="bottom"/>
            <w:tcBorders>
              <w:bottom w:val="single" w:sz="8" w:color="808080"/>
            </w:tcBorders>
          </w:tcPr>
          <w:p>
            <w:pPr>
              <w:jc w:val="right"/>
              <w:ind w:right="230"/>
              <w:spacing w:after="0"/>
              <w:rPr>
                <w:sz w:val="20"/>
                <w:szCs w:val="20"/>
                <w:color w:val="auto"/>
              </w:rPr>
            </w:pPr>
            <w:r>
              <w:rPr>
                <w:rFonts w:ascii="Arial" w:cs="Arial" w:eastAsia="Arial" w:hAnsi="Arial"/>
                <w:sz w:val="14"/>
                <w:szCs w:val="14"/>
                <w:color w:val="auto"/>
              </w:rPr>
              <w:t>1,143,000</w:t>
            </w:r>
          </w:p>
        </w:tc>
        <w:tc>
          <w:tcPr>
            <w:tcW w:w="1060" w:type="dxa"/>
            <w:vAlign w:val="bottom"/>
            <w:tcBorders>
              <w:bottom w:val="single" w:sz="8" w:color="808080"/>
            </w:tcBorders>
          </w:tcPr>
          <w:p>
            <w:pPr>
              <w:jc w:val="right"/>
              <w:ind w:right="210"/>
              <w:spacing w:after="0"/>
              <w:rPr>
                <w:sz w:val="20"/>
                <w:szCs w:val="20"/>
                <w:color w:val="auto"/>
              </w:rPr>
            </w:pPr>
            <w:r>
              <w:rPr>
                <w:rFonts w:ascii="Arial" w:cs="Arial" w:eastAsia="Arial" w:hAnsi="Arial"/>
                <w:sz w:val="14"/>
                <w:szCs w:val="14"/>
                <w:color w:val="auto"/>
              </w:rPr>
              <w:t>1,143,000</w:t>
            </w:r>
          </w:p>
        </w:tc>
        <w:tc>
          <w:tcPr>
            <w:tcW w:w="980" w:type="dxa"/>
            <w:vAlign w:val="bottom"/>
            <w:tcBorders>
              <w:bottom w:val="single" w:sz="8" w:color="808080"/>
            </w:tcBorders>
          </w:tcPr>
          <w:p>
            <w:pPr>
              <w:jc w:val="right"/>
              <w:ind w:right="22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808080"/>
            </w:tcBorders>
          </w:tcPr>
          <w:p>
            <w:pPr>
              <w:ind w:left="76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808080"/>
            </w:tcBorders>
          </w:tcPr>
          <w:p>
            <w:pPr>
              <w:jc w:val="right"/>
              <w:ind w:right="16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808080"/>
            </w:tcBorders>
          </w:tcPr>
          <w:p>
            <w:pPr>
              <w:jc w:val="right"/>
              <w:ind w:right="1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2840" w:type="dxa"/>
            <w:vAlign w:val="bottom"/>
          </w:tcPr>
          <w:p>
            <w:pPr>
              <w:ind w:left="80"/>
              <w:spacing w:after="0"/>
              <w:rPr>
                <w:sz w:val="20"/>
                <w:szCs w:val="20"/>
                <w:color w:val="auto"/>
              </w:rPr>
            </w:pPr>
            <w:r>
              <w:rPr>
                <w:rFonts w:ascii="Arial" w:cs="Arial" w:eastAsia="Arial" w:hAnsi="Arial"/>
                <w:sz w:val="14"/>
                <w:szCs w:val="14"/>
                <w:color w:val="auto"/>
              </w:rPr>
              <w:t>Health &amp; Welfare Benefits Coverage</w:t>
            </w:r>
          </w:p>
        </w:tc>
        <w:tc>
          <w:tcPr>
            <w:tcW w:w="1280" w:type="dxa"/>
            <w:vAlign w:val="bottom"/>
          </w:tcPr>
          <w:p>
            <w:pPr>
              <w:jc w:val="right"/>
              <w:ind w:right="230"/>
              <w:spacing w:after="0"/>
              <w:rPr>
                <w:sz w:val="20"/>
                <w:szCs w:val="20"/>
                <w:color w:val="auto"/>
              </w:rPr>
            </w:pPr>
            <w:r>
              <w:rPr>
                <w:rFonts w:ascii="Arial" w:cs="Arial" w:eastAsia="Arial" w:hAnsi="Arial"/>
                <w:sz w:val="14"/>
                <w:szCs w:val="14"/>
                <w:color w:val="auto"/>
              </w:rPr>
              <w:t>29,409</w:t>
            </w:r>
          </w:p>
        </w:tc>
        <w:tc>
          <w:tcPr>
            <w:tcW w:w="1060" w:type="dxa"/>
            <w:vAlign w:val="bottom"/>
          </w:tcPr>
          <w:p>
            <w:pPr>
              <w:jc w:val="right"/>
              <w:ind w:right="210"/>
              <w:spacing w:after="0"/>
              <w:rPr>
                <w:sz w:val="20"/>
                <w:szCs w:val="20"/>
                <w:color w:val="auto"/>
              </w:rPr>
            </w:pPr>
            <w:r>
              <w:rPr>
                <w:rFonts w:ascii="Arial" w:cs="Arial" w:eastAsia="Arial" w:hAnsi="Arial"/>
                <w:sz w:val="14"/>
                <w:szCs w:val="14"/>
                <w:color w:val="auto"/>
              </w:rPr>
              <w:t>19,606</w:t>
            </w:r>
          </w:p>
        </w:tc>
        <w:tc>
          <w:tcPr>
            <w:tcW w:w="98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000" w:type="dxa"/>
            <w:vAlign w:val="bottom"/>
          </w:tcPr>
          <w:p>
            <w:pPr>
              <w:ind w:left="76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28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1060" w:type="dxa"/>
            <w:vAlign w:val="bottom"/>
            <w:tcBorders>
              <w:bottom w:val="single" w:sz="8" w:color="808080"/>
            </w:tcBorders>
          </w:tcPr>
          <w:p>
            <w:pPr>
              <w:spacing w:after="0" w:line="20" w:lineRule="exact"/>
              <w:rPr>
                <w:sz w:val="1"/>
                <w:szCs w:val="1"/>
                <w:color w:val="auto"/>
              </w:rPr>
            </w:pPr>
          </w:p>
        </w:tc>
        <w:tc>
          <w:tcPr>
            <w:tcW w:w="980" w:type="dxa"/>
            <w:vAlign w:val="bottom"/>
            <w:tcBorders>
              <w:bottom w:val="single" w:sz="8" w:color="808080"/>
            </w:tcBorders>
          </w:tcPr>
          <w:p>
            <w:pPr>
              <w:spacing w:after="0" w:line="20" w:lineRule="exact"/>
              <w:rPr>
                <w:sz w:val="1"/>
                <w:szCs w:val="1"/>
                <w:color w:val="auto"/>
              </w:rPr>
            </w:pPr>
          </w:p>
        </w:tc>
        <w:tc>
          <w:tcPr>
            <w:tcW w:w="1000" w:type="dxa"/>
            <w:vAlign w:val="bottom"/>
            <w:tcBorders>
              <w:bottom w:val="single" w:sz="8" w:color="808080"/>
            </w:tcBorders>
          </w:tcPr>
          <w:p>
            <w:pPr>
              <w:spacing w:after="0" w:line="20" w:lineRule="exact"/>
              <w:rPr>
                <w:sz w:val="1"/>
                <w:szCs w:val="1"/>
                <w:color w:val="auto"/>
              </w:rPr>
            </w:pPr>
          </w:p>
        </w:tc>
        <w:tc>
          <w:tcPr>
            <w:tcW w:w="960" w:type="dxa"/>
            <w:vAlign w:val="bottom"/>
            <w:tcBorders>
              <w:bottom w:val="single" w:sz="8" w:color="808080"/>
            </w:tcBorders>
          </w:tcPr>
          <w:p>
            <w:pPr>
              <w:spacing w:after="0" w:line="20" w:lineRule="exact"/>
              <w:rPr>
                <w:sz w:val="1"/>
                <w:szCs w:val="1"/>
                <w:color w:val="auto"/>
              </w:rPr>
            </w:pPr>
          </w:p>
        </w:tc>
        <w:tc>
          <w:tcPr>
            <w:tcW w:w="96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2840" w:type="dxa"/>
            <w:vAlign w:val="bottom"/>
          </w:tcPr>
          <w:p>
            <w:pPr>
              <w:ind w:left="80"/>
              <w:spacing w:after="0"/>
              <w:rPr>
                <w:sz w:val="20"/>
                <w:szCs w:val="20"/>
                <w:color w:val="auto"/>
              </w:rPr>
            </w:pPr>
            <w:r>
              <w:rPr>
                <w:rFonts w:ascii="Arial" w:cs="Arial" w:eastAsia="Arial" w:hAnsi="Arial"/>
                <w:sz w:val="14"/>
                <w:szCs w:val="14"/>
                <w:color w:val="auto"/>
              </w:rPr>
              <w:t>Accelerated Vesting of Equity Awards</w:t>
            </w:r>
          </w:p>
        </w:tc>
        <w:tc>
          <w:tcPr>
            <w:tcW w:w="1280" w:type="dxa"/>
            <w:vAlign w:val="bottom"/>
          </w:tcPr>
          <w:p>
            <w:pPr>
              <w:jc w:val="right"/>
              <w:ind w:right="230"/>
              <w:spacing w:after="0"/>
              <w:rPr>
                <w:sz w:val="20"/>
                <w:szCs w:val="20"/>
                <w:color w:val="auto"/>
              </w:rPr>
            </w:pPr>
            <w:r>
              <w:rPr>
                <w:rFonts w:ascii="Arial" w:cs="Arial" w:eastAsia="Arial" w:hAnsi="Arial"/>
                <w:sz w:val="14"/>
                <w:szCs w:val="14"/>
                <w:color w:val="auto"/>
              </w:rPr>
              <w:t>8,476,427</w:t>
            </w:r>
          </w:p>
        </w:tc>
        <w:tc>
          <w:tcPr>
            <w:tcW w:w="106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000" w:type="dxa"/>
            <w:vAlign w:val="bottom"/>
          </w:tcPr>
          <w:p>
            <w:pPr>
              <w:ind w:left="76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69"/>
              <w:spacing w:after="0"/>
              <w:rPr>
                <w:sz w:val="20"/>
                <w:szCs w:val="20"/>
                <w:color w:val="auto"/>
              </w:rPr>
            </w:pPr>
            <w:r>
              <w:rPr>
                <w:rFonts w:ascii="Arial" w:cs="Arial" w:eastAsia="Arial" w:hAnsi="Arial"/>
                <w:sz w:val="14"/>
                <w:szCs w:val="14"/>
                <w:color w:val="auto"/>
              </w:rPr>
              <w:t>8,476,427</w:t>
            </w:r>
          </w:p>
        </w:tc>
        <w:tc>
          <w:tcPr>
            <w:tcW w:w="960" w:type="dxa"/>
            <w:vAlign w:val="bottom"/>
          </w:tcPr>
          <w:p>
            <w:pPr>
              <w:jc w:val="right"/>
              <w:ind w:right="189"/>
              <w:spacing w:after="0"/>
              <w:rPr>
                <w:sz w:val="20"/>
                <w:szCs w:val="20"/>
                <w:color w:val="auto"/>
              </w:rPr>
            </w:pPr>
            <w:r>
              <w:rPr>
                <w:rFonts w:ascii="Arial" w:cs="Arial" w:eastAsia="Arial" w:hAnsi="Arial"/>
                <w:sz w:val="14"/>
                <w:szCs w:val="14"/>
                <w:color w:val="auto"/>
              </w:rPr>
              <w:t>8,476,427</w:t>
            </w:r>
          </w:p>
        </w:tc>
        <w:tc>
          <w:tcPr>
            <w:tcW w:w="0" w:type="dxa"/>
            <w:vAlign w:val="bottom"/>
          </w:tcPr>
          <w:p>
            <w:pPr>
              <w:spacing w:after="0"/>
              <w:rPr>
                <w:sz w:val="1"/>
                <w:szCs w:val="1"/>
                <w:color w:val="auto"/>
              </w:rPr>
            </w:pPr>
          </w:p>
        </w:tc>
      </w:tr>
      <w:tr>
        <w:trPr>
          <w:trHeight w:val="22"/>
        </w:trPr>
        <w:tc>
          <w:tcPr>
            <w:tcW w:w="28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1060" w:type="dxa"/>
            <w:vAlign w:val="bottom"/>
            <w:tcBorders>
              <w:bottom w:val="single" w:sz="8" w:color="808080"/>
            </w:tcBorders>
          </w:tcPr>
          <w:p>
            <w:pPr>
              <w:spacing w:after="0" w:line="20" w:lineRule="exact"/>
              <w:rPr>
                <w:sz w:val="1"/>
                <w:szCs w:val="1"/>
                <w:color w:val="auto"/>
              </w:rPr>
            </w:pPr>
          </w:p>
        </w:tc>
        <w:tc>
          <w:tcPr>
            <w:tcW w:w="980" w:type="dxa"/>
            <w:vAlign w:val="bottom"/>
            <w:tcBorders>
              <w:bottom w:val="single" w:sz="8" w:color="808080"/>
            </w:tcBorders>
          </w:tcPr>
          <w:p>
            <w:pPr>
              <w:spacing w:after="0" w:line="20" w:lineRule="exact"/>
              <w:rPr>
                <w:sz w:val="1"/>
                <w:szCs w:val="1"/>
                <w:color w:val="auto"/>
              </w:rPr>
            </w:pPr>
          </w:p>
        </w:tc>
        <w:tc>
          <w:tcPr>
            <w:tcW w:w="1000" w:type="dxa"/>
            <w:vAlign w:val="bottom"/>
            <w:tcBorders>
              <w:bottom w:val="single" w:sz="8" w:color="808080"/>
            </w:tcBorders>
          </w:tcPr>
          <w:p>
            <w:pPr>
              <w:spacing w:after="0" w:line="20" w:lineRule="exact"/>
              <w:rPr>
                <w:sz w:val="1"/>
                <w:szCs w:val="1"/>
                <w:color w:val="auto"/>
              </w:rPr>
            </w:pPr>
          </w:p>
        </w:tc>
        <w:tc>
          <w:tcPr>
            <w:tcW w:w="960" w:type="dxa"/>
            <w:vAlign w:val="bottom"/>
            <w:tcBorders>
              <w:bottom w:val="single" w:sz="8" w:color="808080"/>
            </w:tcBorders>
          </w:tcPr>
          <w:p>
            <w:pPr>
              <w:spacing w:after="0" w:line="20" w:lineRule="exact"/>
              <w:rPr>
                <w:sz w:val="1"/>
                <w:szCs w:val="1"/>
                <w:color w:val="auto"/>
              </w:rPr>
            </w:pPr>
          </w:p>
        </w:tc>
        <w:tc>
          <w:tcPr>
            <w:tcW w:w="96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2840" w:type="dxa"/>
            <w:vAlign w:val="bottom"/>
          </w:tcPr>
          <w:p>
            <w:pPr>
              <w:ind w:left="80"/>
              <w:spacing w:after="0"/>
              <w:rPr>
                <w:sz w:val="20"/>
                <w:szCs w:val="20"/>
                <w:color w:val="auto"/>
              </w:rPr>
            </w:pPr>
            <w:r>
              <w:rPr>
                <w:rFonts w:ascii="Arial" w:cs="Arial" w:eastAsia="Arial" w:hAnsi="Arial"/>
                <w:sz w:val="14"/>
                <w:szCs w:val="14"/>
                <w:color w:val="auto"/>
              </w:rPr>
              <w:t>Outplacement Expenses</w:t>
            </w:r>
          </w:p>
        </w:tc>
        <w:tc>
          <w:tcPr>
            <w:tcW w:w="1280" w:type="dxa"/>
            <w:vAlign w:val="bottom"/>
          </w:tcPr>
          <w:p>
            <w:pPr>
              <w:jc w:val="right"/>
              <w:ind w:right="230"/>
              <w:spacing w:after="0"/>
              <w:rPr>
                <w:sz w:val="20"/>
                <w:szCs w:val="20"/>
                <w:color w:val="auto"/>
              </w:rPr>
            </w:pPr>
            <w:r>
              <w:rPr>
                <w:rFonts w:ascii="Arial" w:cs="Arial" w:eastAsia="Arial" w:hAnsi="Arial"/>
                <w:sz w:val="14"/>
                <w:szCs w:val="14"/>
                <w:color w:val="auto"/>
              </w:rPr>
              <w:t>40,000</w:t>
            </w:r>
          </w:p>
        </w:tc>
        <w:tc>
          <w:tcPr>
            <w:tcW w:w="1060" w:type="dxa"/>
            <w:vAlign w:val="bottom"/>
          </w:tcPr>
          <w:p>
            <w:pPr>
              <w:jc w:val="right"/>
              <w:ind w:right="210"/>
              <w:spacing w:after="0"/>
              <w:rPr>
                <w:sz w:val="20"/>
                <w:szCs w:val="20"/>
                <w:color w:val="auto"/>
              </w:rPr>
            </w:pPr>
            <w:r>
              <w:rPr>
                <w:rFonts w:ascii="Arial" w:cs="Arial" w:eastAsia="Arial" w:hAnsi="Arial"/>
                <w:sz w:val="14"/>
                <w:szCs w:val="14"/>
                <w:color w:val="auto"/>
              </w:rPr>
              <w:t>40,000</w:t>
            </w:r>
          </w:p>
        </w:tc>
        <w:tc>
          <w:tcPr>
            <w:tcW w:w="98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000" w:type="dxa"/>
            <w:vAlign w:val="bottom"/>
          </w:tcPr>
          <w:p>
            <w:pPr>
              <w:ind w:left="76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28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1060" w:type="dxa"/>
            <w:vAlign w:val="bottom"/>
            <w:tcBorders>
              <w:bottom w:val="single" w:sz="8" w:color="808080"/>
            </w:tcBorders>
          </w:tcPr>
          <w:p>
            <w:pPr>
              <w:spacing w:after="0" w:line="20" w:lineRule="exact"/>
              <w:rPr>
                <w:sz w:val="1"/>
                <w:szCs w:val="1"/>
                <w:color w:val="auto"/>
              </w:rPr>
            </w:pPr>
          </w:p>
        </w:tc>
        <w:tc>
          <w:tcPr>
            <w:tcW w:w="980" w:type="dxa"/>
            <w:vAlign w:val="bottom"/>
            <w:tcBorders>
              <w:bottom w:val="single" w:sz="8" w:color="808080"/>
            </w:tcBorders>
          </w:tcPr>
          <w:p>
            <w:pPr>
              <w:spacing w:after="0" w:line="20" w:lineRule="exact"/>
              <w:rPr>
                <w:sz w:val="1"/>
                <w:szCs w:val="1"/>
                <w:color w:val="auto"/>
              </w:rPr>
            </w:pPr>
          </w:p>
        </w:tc>
        <w:tc>
          <w:tcPr>
            <w:tcW w:w="1000" w:type="dxa"/>
            <w:vAlign w:val="bottom"/>
            <w:tcBorders>
              <w:bottom w:val="single" w:sz="8" w:color="808080"/>
            </w:tcBorders>
          </w:tcPr>
          <w:p>
            <w:pPr>
              <w:spacing w:after="0" w:line="20" w:lineRule="exact"/>
              <w:rPr>
                <w:sz w:val="1"/>
                <w:szCs w:val="1"/>
                <w:color w:val="auto"/>
              </w:rPr>
            </w:pPr>
          </w:p>
        </w:tc>
        <w:tc>
          <w:tcPr>
            <w:tcW w:w="960" w:type="dxa"/>
            <w:vAlign w:val="bottom"/>
            <w:tcBorders>
              <w:bottom w:val="single" w:sz="8" w:color="808080"/>
            </w:tcBorders>
          </w:tcPr>
          <w:p>
            <w:pPr>
              <w:spacing w:after="0" w:line="20" w:lineRule="exact"/>
              <w:rPr>
                <w:sz w:val="1"/>
                <w:szCs w:val="1"/>
                <w:color w:val="auto"/>
              </w:rPr>
            </w:pPr>
          </w:p>
        </w:tc>
        <w:tc>
          <w:tcPr>
            <w:tcW w:w="96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840" w:type="dxa"/>
            <w:vAlign w:val="bottom"/>
            <w:tcBorders>
              <w:bottom w:val="single" w:sz="8" w:color="342C82"/>
            </w:tcBorders>
          </w:tcPr>
          <w:p>
            <w:pPr>
              <w:ind w:left="80"/>
              <w:spacing w:after="0"/>
              <w:rPr>
                <w:sz w:val="20"/>
                <w:szCs w:val="20"/>
                <w:color w:val="auto"/>
              </w:rPr>
            </w:pPr>
            <w:r>
              <w:rPr>
                <w:rFonts w:ascii="Arial" w:cs="Arial" w:eastAsia="Arial" w:hAnsi="Arial"/>
                <w:sz w:val="14"/>
                <w:szCs w:val="14"/>
                <w:b w:val="1"/>
                <w:bCs w:val="1"/>
                <w:color w:val="auto"/>
              </w:rPr>
              <w:t>Total</w:t>
            </w:r>
          </w:p>
        </w:tc>
        <w:tc>
          <w:tcPr>
            <w:tcW w:w="1280" w:type="dxa"/>
            <w:vAlign w:val="bottom"/>
            <w:tcBorders>
              <w:bottom w:val="single" w:sz="8" w:color="342C82"/>
            </w:tcBorders>
          </w:tcPr>
          <w:p>
            <w:pPr>
              <w:jc w:val="right"/>
              <w:ind w:right="230"/>
              <w:spacing w:after="0"/>
              <w:rPr>
                <w:sz w:val="20"/>
                <w:szCs w:val="20"/>
                <w:color w:val="auto"/>
              </w:rPr>
            </w:pPr>
            <w:r>
              <w:rPr>
                <w:rFonts w:ascii="Arial" w:cs="Arial" w:eastAsia="Arial" w:hAnsi="Arial"/>
                <w:sz w:val="14"/>
                <w:szCs w:val="14"/>
                <w:b w:val="1"/>
                <w:bCs w:val="1"/>
                <w:color w:val="auto"/>
              </w:rPr>
              <w:t>15,817,836</w:t>
            </w:r>
          </w:p>
        </w:tc>
        <w:tc>
          <w:tcPr>
            <w:tcW w:w="1060" w:type="dxa"/>
            <w:vAlign w:val="bottom"/>
            <w:tcBorders>
              <w:bottom w:val="single" w:sz="8" w:color="342C82"/>
            </w:tcBorders>
          </w:tcPr>
          <w:p>
            <w:pPr>
              <w:jc w:val="right"/>
              <w:ind w:right="210"/>
              <w:spacing w:after="0"/>
              <w:rPr>
                <w:sz w:val="20"/>
                <w:szCs w:val="20"/>
                <w:color w:val="auto"/>
              </w:rPr>
            </w:pPr>
            <w:r>
              <w:rPr>
                <w:rFonts w:ascii="Arial" w:cs="Arial" w:eastAsia="Arial" w:hAnsi="Arial"/>
                <w:sz w:val="14"/>
                <w:szCs w:val="14"/>
                <w:b w:val="1"/>
                <w:bCs w:val="1"/>
                <w:color w:val="auto"/>
              </w:rPr>
              <w:t>5,288,606</w:t>
            </w:r>
          </w:p>
        </w:tc>
        <w:tc>
          <w:tcPr>
            <w:tcW w:w="980" w:type="dxa"/>
            <w:vAlign w:val="bottom"/>
            <w:tcBorders>
              <w:bottom w:val="single" w:sz="8" w:color="342C82"/>
            </w:tcBorders>
          </w:tcPr>
          <w:p>
            <w:pPr>
              <w:jc w:val="right"/>
              <w:ind w:right="229"/>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342C82"/>
            </w:tcBorders>
          </w:tcPr>
          <w:p>
            <w:pPr>
              <w:ind w:left="760"/>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342C82"/>
            </w:tcBorders>
          </w:tcPr>
          <w:p>
            <w:pPr>
              <w:jc w:val="right"/>
              <w:ind w:right="169"/>
              <w:spacing w:after="0"/>
              <w:rPr>
                <w:sz w:val="20"/>
                <w:szCs w:val="20"/>
                <w:color w:val="auto"/>
              </w:rPr>
            </w:pPr>
            <w:r>
              <w:rPr>
                <w:rFonts w:ascii="Arial" w:cs="Arial" w:eastAsia="Arial" w:hAnsi="Arial"/>
                <w:sz w:val="14"/>
                <w:szCs w:val="14"/>
                <w:b w:val="1"/>
                <w:bCs w:val="1"/>
                <w:color w:val="auto"/>
              </w:rPr>
              <w:t>8,476,427</w:t>
            </w:r>
          </w:p>
        </w:tc>
        <w:tc>
          <w:tcPr>
            <w:tcW w:w="960" w:type="dxa"/>
            <w:vAlign w:val="bottom"/>
            <w:tcBorders>
              <w:bottom w:val="single" w:sz="8" w:color="342C82"/>
            </w:tcBorders>
          </w:tcPr>
          <w:p>
            <w:pPr>
              <w:jc w:val="right"/>
              <w:ind w:right="189"/>
              <w:spacing w:after="0"/>
              <w:rPr>
                <w:sz w:val="20"/>
                <w:szCs w:val="20"/>
                <w:color w:val="auto"/>
              </w:rPr>
            </w:pPr>
            <w:r>
              <w:rPr>
                <w:rFonts w:ascii="Arial" w:cs="Arial" w:eastAsia="Arial" w:hAnsi="Arial"/>
                <w:sz w:val="14"/>
                <w:szCs w:val="14"/>
                <w:b w:val="1"/>
                <w:bCs w:val="1"/>
                <w:color w:val="auto"/>
              </w:rPr>
              <w:t>8,476,427</w:t>
            </w:r>
          </w:p>
        </w:tc>
        <w:tc>
          <w:tcPr>
            <w:tcW w:w="0" w:type="dxa"/>
            <w:vAlign w:val="bottom"/>
          </w:tcPr>
          <w:p>
            <w:pPr>
              <w:spacing w:after="0"/>
              <w:rPr>
                <w:sz w:val="1"/>
                <w:szCs w:val="1"/>
                <w:color w:val="auto"/>
              </w:rPr>
            </w:pPr>
          </w:p>
        </w:tc>
      </w:tr>
      <w:tr>
        <w:trPr>
          <w:trHeight w:val="210"/>
        </w:trPr>
        <w:tc>
          <w:tcPr>
            <w:tcW w:w="2840" w:type="dxa"/>
            <w:vAlign w:val="bottom"/>
            <w:tcBorders>
              <w:bottom w:val="single" w:sz="8" w:color="342C82"/>
            </w:tcBorders>
          </w:tcPr>
          <w:p>
            <w:pPr>
              <w:ind w:left="80"/>
              <w:spacing w:after="0"/>
              <w:rPr>
                <w:sz w:val="20"/>
                <w:szCs w:val="20"/>
                <w:color w:val="auto"/>
              </w:rPr>
            </w:pPr>
            <w:r>
              <w:rPr>
                <w:rFonts w:ascii="Arial" w:cs="Arial" w:eastAsia="Arial" w:hAnsi="Arial"/>
                <w:sz w:val="14"/>
                <w:szCs w:val="14"/>
                <w:b w:val="1"/>
                <w:bCs w:val="1"/>
                <w:color w:val="342C82"/>
              </w:rPr>
              <w:t>Jake Elguicze</w:t>
            </w:r>
          </w:p>
        </w:tc>
        <w:tc>
          <w:tcPr>
            <w:tcW w:w="1280" w:type="dxa"/>
            <w:vAlign w:val="bottom"/>
            <w:tcBorders>
              <w:bottom w:val="single" w:sz="8" w:color="342C82"/>
            </w:tcBorders>
          </w:tcPr>
          <w:p>
            <w:pPr>
              <w:spacing w:after="0"/>
              <w:rPr>
                <w:sz w:val="18"/>
                <w:szCs w:val="18"/>
                <w:color w:val="auto"/>
              </w:rPr>
            </w:pPr>
          </w:p>
        </w:tc>
        <w:tc>
          <w:tcPr>
            <w:tcW w:w="1060" w:type="dxa"/>
            <w:vAlign w:val="bottom"/>
            <w:tcBorders>
              <w:bottom w:val="single" w:sz="8" w:color="342C82"/>
            </w:tcBorders>
          </w:tcPr>
          <w:p>
            <w:pPr>
              <w:spacing w:after="0"/>
              <w:rPr>
                <w:sz w:val="18"/>
                <w:szCs w:val="18"/>
                <w:color w:val="auto"/>
              </w:rPr>
            </w:pPr>
          </w:p>
        </w:tc>
        <w:tc>
          <w:tcPr>
            <w:tcW w:w="980" w:type="dxa"/>
            <w:vAlign w:val="bottom"/>
            <w:tcBorders>
              <w:bottom w:val="single" w:sz="8" w:color="342C82"/>
            </w:tcBorders>
          </w:tcPr>
          <w:p>
            <w:pPr>
              <w:spacing w:after="0"/>
              <w:rPr>
                <w:sz w:val="18"/>
                <w:szCs w:val="18"/>
                <w:color w:val="auto"/>
              </w:rPr>
            </w:pPr>
          </w:p>
        </w:tc>
        <w:tc>
          <w:tcPr>
            <w:tcW w:w="1000" w:type="dxa"/>
            <w:vAlign w:val="bottom"/>
            <w:tcBorders>
              <w:bottom w:val="single" w:sz="8" w:color="342C82"/>
            </w:tcBorders>
          </w:tcPr>
          <w:p>
            <w:pPr>
              <w:spacing w:after="0"/>
              <w:rPr>
                <w:sz w:val="18"/>
                <w:szCs w:val="18"/>
                <w:color w:val="auto"/>
              </w:rPr>
            </w:pPr>
          </w:p>
        </w:tc>
        <w:tc>
          <w:tcPr>
            <w:tcW w:w="960" w:type="dxa"/>
            <w:vAlign w:val="bottom"/>
            <w:tcBorders>
              <w:bottom w:val="single" w:sz="8" w:color="342C82"/>
            </w:tcBorders>
          </w:tcPr>
          <w:p>
            <w:pPr>
              <w:spacing w:after="0"/>
              <w:rPr>
                <w:sz w:val="18"/>
                <w:szCs w:val="18"/>
                <w:color w:val="auto"/>
              </w:rPr>
            </w:pPr>
          </w:p>
        </w:tc>
        <w:tc>
          <w:tcPr>
            <w:tcW w:w="960" w:type="dxa"/>
            <w:vAlign w:val="bottom"/>
            <w:tcBorders>
              <w:bottom w:val="single" w:sz="8" w:color="342C82"/>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840" w:type="dxa"/>
            <w:vAlign w:val="bottom"/>
            <w:tcBorders>
              <w:bottom w:val="single" w:sz="8" w:color="808080"/>
            </w:tcBorders>
          </w:tcPr>
          <w:p>
            <w:pPr>
              <w:ind w:left="80"/>
              <w:spacing w:after="0" w:line="243" w:lineRule="exact"/>
              <w:rPr>
                <w:sz w:val="20"/>
                <w:szCs w:val="20"/>
                <w:color w:val="auto"/>
              </w:rPr>
            </w:pPr>
            <w:r>
              <w:rPr>
                <w:rFonts w:ascii="Arial" w:cs="Arial" w:eastAsia="Arial" w:hAnsi="Arial"/>
                <w:sz w:val="14"/>
                <w:szCs w:val="14"/>
                <w:color w:val="auto"/>
              </w:rPr>
              <w:t>Severance Payments</w:t>
            </w:r>
            <w:r>
              <w:rPr>
                <w:rFonts w:ascii="Arial" w:cs="Arial" w:eastAsia="Arial" w:hAnsi="Arial"/>
                <w:sz w:val="23"/>
                <w:szCs w:val="23"/>
                <w:color w:val="auto"/>
                <w:vertAlign w:val="superscript"/>
              </w:rPr>
              <w:t>(6)</w:t>
            </w:r>
          </w:p>
        </w:tc>
        <w:tc>
          <w:tcPr>
            <w:tcW w:w="1280" w:type="dxa"/>
            <w:vAlign w:val="bottom"/>
            <w:tcBorders>
              <w:bottom w:val="single" w:sz="8" w:color="808080"/>
            </w:tcBorders>
          </w:tcPr>
          <w:p>
            <w:pPr>
              <w:jc w:val="right"/>
              <w:ind w:right="230"/>
              <w:spacing w:after="0"/>
              <w:rPr>
                <w:sz w:val="20"/>
                <w:szCs w:val="20"/>
                <w:color w:val="auto"/>
              </w:rPr>
            </w:pPr>
            <w:r>
              <w:rPr>
                <w:rFonts w:ascii="Arial" w:cs="Arial" w:eastAsia="Arial" w:hAnsi="Arial"/>
                <w:sz w:val="14"/>
                <w:szCs w:val="14"/>
                <w:color w:val="auto"/>
              </w:rPr>
              <w:t>1,972,000</w:t>
            </w:r>
          </w:p>
        </w:tc>
        <w:tc>
          <w:tcPr>
            <w:tcW w:w="1060" w:type="dxa"/>
            <w:vAlign w:val="bottom"/>
            <w:tcBorders>
              <w:bottom w:val="single" w:sz="8" w:color="808080"/>
            </w:tcBorders>
          </w:tcPr>
          <w:p>
            <w:pPr>
              <w:jc w:val="right"/>
              <w:ind w:right="210"/>
              <w:spacing w:after="0"/>
              <w:rPr>
                <w:sz w:val="20"/>
                <w:szCs w:val="20"/>
                <w:color w:val="auto"/>
              </w:rPr>
            </w:pPr>
            <w:r>
              <w:rPr>
                <w:rFonts w:ascii="Arial" w:cs="Arial" w:eastAsia="Arial" w:hAnsi="Arial"/>
                <w:sz w:val="14"/>
                <w:szCs w:val="14"/>
                <w:color w:val="auto"/>
              </w:rPr>
              <w:t>986,000</w:t>
            </w:r>
          </w:p>
        </w:tc>
        <w:tc>
          <w:tcPr>
            <w:tcW w:w="980" w:type="dxa"/>
            <w:vAlign w:val="bottom"/>
            <w:tcBorders>
              <w:bottom w:val="single" w:sz="8" w:color="808080"/>
            </w:tcBorders>
          </w:tcPr>
          <w:p>
            <w:pPr>
              <w:jc w:val="right"/>
              <w:ind w:right="22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808080"/>
            </w:tcBorders>
          </w:tcPr>
          <w:p>
            <w:pPr>
              <w:ind w:left="76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808080"/>
            </w:tcBorders>
          </w:tcPr>
          <w:p>
            <w:pPr>
              <w:jc w:val="right"/>
              <w:ind w:right="16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808080"/>
            </w:tcBorders>
          </w:tcPr>
          <w:p>
            <w:pPr>
              <w:jc w:val="right"/>
              <w:ind w:right="1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2840" w:type="dxa"/>
            <w:vAlign w:val="bottom"/>
            <w:tcBorders>
              <w:bottom w:val="single" w:sz="8" w:color="808080"/>
            </w:tcBorders>
          </w:tcPr>
          <w:p>
            <w:pPr>
              <w:ind w:left="80"/>
              <w:spacing w:after="0" w:line="250" w:lineRule="exact"/>
              <w:rPr>
                <w:sz w:val="20"/>
                <w:szCs w:val="20"/>
                <w:color w:val="auto"/>
              </w:rPr>
            </w:pPr>
            <w:r>
              <w:rPr>
                <w:rFonts w:ascii="Arial" w:cs="Arial" w:eastAsia="Arial" w:hAnsi="Arial"/>
                <w:sz w:val="14"/>
                <w:szCs w:val="14"/>
                <w:color w:val="auto"/>
              </w:rPr>
              <w:t>Prorated Annual Incentive Payments</w:t>
            </w:r>
            <w:r>
              <w:rPr>
                <w:rFonts w:ascii="Arial" w:cs="Arial" w:eastAsia="Arial" w:hAnsi="Arial"/>
                <w:sz w:val="23"/>
                <w:szCs w:val="23"/>
                <w:color w:val="auto"/>
                <w:vertAlign w:val="superscript"/>
              </w:rPr>
              <w:t>(7)</w:t>
            </w:r>
          </w:p>
        </w:tc>
        <w:tc>
          <w:tcPr>
            <w:tcW w:w="1280" w:type="dxa"/>
            <w:vAlign w:val="bottom"/>
            <w:tcBorders>
              <w:bottom w:val="single" w:sz="8" w:color="808080"/>
            </w:tcBorders>
          </w:tcPr>
          <w:p>
            <w:pPr>
              <w:jc w:val="right"/>
              <w:ind w:right="230"/>
              <w:spacing w:after="0"/>
              <w:rPr>
                <w:sz w:val="20"/>
                <w:szCs w:val="20"/>
                <w:color w:val="auto"/>
              </w:rPr>
            </w:pPr>
            <w:r>
              <w:rPr>
                <w:rFonts w:ascii="Arial" w:cs="Arial" w:eastAsia="Arial" w:hAnsi="Arial"/>
                <w:sz w:val="14"/>
                <w:szCs w:val="14"/>
                <w:color w:val="auto"/>
              </w:rPr>
              <w:t>406,000</w:t>
            </w:r>
          </w:p>
        </w:tc>
        <w:tc>
          <w:tcPr>
            <w:tcW w:w="1060" w:type="dxa"/>
            <w:vAlign w:val="bottom"/>
            <w:tcBorders>
              <w:bottom w:val="single" w:sz="8" w:color="808080"/>
            </w:tcBorders>
          </w:tcPr>
          <w:p>
            <w:pPr>
              <w:jc w:val="right"/>
              <w:ind w:right="210"/>
              <w:spacing w:after="0"/>
              <w:rPr>
                <w:sz w:val="20"/>
                <w:szCs w:val="20"/>
                <w:color w:val="auto"/>
              </w:rPr>
            </w:pPr>
            <w:r>
              <w:rPr>
                <w:rFonts w:ascii="Arial" w:cs="Arial" w:eastAsia="Arial" w:hAnsi="Arial"/>
                <w:sz w:val="14"/>
                <w:szCs w:val="14"/>
                <w:color w:val="auto"/>
              </w:rPr>
              <w:t>406,000</w:t>
            </w:r>
          </w:p>
        </w:tc>
        <w:tc>
          <w:tcPr>
            <w:tcW w:w="980" w:type="dxa"/>
            <w:vAlign w:val="bottom"/>
            <w:tcBorders>
              <w:bottom w:val="single" w:sz="8" w:color="808080"/>
            </w:tcBorders>
          </w:tcPr>
          <w:p>
            <w:pPr>
              <w:jc w:val="right"/>
              <w:ind w:right="22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808080"/>
            </w:tcBorders>
          </w:tcPr>
          <w:p>
            <w:pPr>
              <w:ind w:left="76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808080"/>
            </w:tcBorders>
          </w:tcPr>
          <w:p>
            <w:pPr>
              <w:jc w:val="right"/>
              <w:ind w:right="16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808080"/>
            </w:tcBorders>
          </w:tcPr>
          <w:p>
            <w:pPr>
              <w:jc w:val="right"/>
              <w:ind w:right="1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2840" w:type="dxa"/>
            <w:vAlign w:val="bottom"/>
          </w:tcPr>
          <w:p>
            <w:pPr>
              <w:ind w:left="80"/>
              <w:spacing w:after="0"/>
              <w:rPr>
                <w:sz w:val="20"/>
                <w:szCs w:val="20"/>
                <w:color w:val="auto"/>
              </w:rPr>
            </w:pPr>
            <w:r>
              <w:rPr>
                <w:rFonts w:ascii="Arial" w:cs="Arial" w:eastAsia="Arial" w:hAnsi="Arial"/>
                <w:sz w:val="14"/>
                <w:szCs w:val="14"/>
                <w:color w:val="auto"/>
              </w:rPr>
              <w:t>Health &amp; Welfare Benefits Coverage</w:t>
            </w:r>
          </w:p>
        </w:tc>
        <w:tc>
          <w:tcPr>
            <w:tcW w:w="1280" w:type="dxa"/>
            <w:vAlign w:val="bottom"/>
          </w:tcPr>
          <w:p>
            <w:pPr>
              <w:jc w:val="right"/>
              <w:ind w:right="230"/>
              <w:spacing w:after="0"/>
              <w:rPr>
                <w:sz w:val="20"/>
                <w:szCs w:val="20"/>
                <w:color w:val="auto"/>
              </w:rPr>
            </w:pPr>
            <w:r>
              <w:rPr>
                <w:rFonts w:ascii="Arial" w:cs="Arial" w:eastAsia="Arial" w:hAnsi="Arial"/>
                <w:sz w:val="14"/>
                <w:szCs w:val="14"/>
                <w:color w:val="auto"/>
              </w:rPr>
              <w:t>62,409</w:t>
            </w:r>
          </w:p>
        </w:tc>
        <w:tc>
          <w:tcPr>
            <w:tcW w:w="1060" w:type="dxa"/>
            <w:vAlign w:val="bottom"/>
          </w:tcPr>
          <w:p>
            <w:pPr>
              <w:jc w:val="right"/>
              <w:ind w:right="210"/>
              <w:spacing w:after="0"/>
              <w:rPr>
                <w:sz w:val="20"/>
                <w:szCs w:val="20"/>
                <w:color w:val="auto"/>
              </w:rPr>
            </w:pPr>
            <w:r>
              <w:rPr>
                <w:rFonts w:ascii="Arial" w:cs="Arial" w:eastAsia="Arial" w:hAnsi="Arial"/>
                <w:sz w:val="14"/>
                <w:szCs w:val="14"/>
                <w:color w:val="auto"/>
              </w:rPr>
              <w:t>31,204</w:t>
            </w:r>
          </w:p>
        </w:tc>
        <w:tc>
          <w:tcPr>
            <w:tcW w:w="98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000" w:type="dxa"/>
            <w:vAlign w:val="bottom"/>
          </w:tcPr>
          <w:p>
            <w:pPr>
              <w:ind w:left="76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28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1060" w:type="dxa"/>
            <w:vAlign w:val="bottom"/>
            <w:tcBorders>
              <w:bottom w:val="single" w:sz="8" w:color="808080"/>
            </w:tcBorders>
          </w:tcPr>
          <w:p>
            <w:pPr>
              <w:spacing w:after="0" w:line="20" w:lineRule="exact"/>
              <w:rPr>
                <w:sz w:val="1"/>
                <w:szCs w:val="1"/>
                <w:color w:val="auto"/>
              </w:rPr>
            </w:pPr>
          </w:p>
        </w:tc>
        <w:tc>
          <w:tcPr>
            <w:tcW w:w="980" w:type="dxa"/>
            <w:vAlign w:val="bottom"/>
            <w:tcBorders>
              <w:bottom w:val="single" w:sz="8" w:color="808080"/>
            </w:tcBorders>
          </w:tcPr>
          <w:p>
            <w:pPr>
              <w:spacing w:after="0" w:line="20" w:lineRule="exact"/>
              <w:rPr>
                <w:sz w:val="1"/>
                <w:szCs w:val="1"/>
                <w:color w:val="auto"/>
              </w:rPr>
            </w:pPr>
          </w:p>
        </w:tc>
        <w:tc>
          <w:tcPr>
            <w:tcW w:w="1000" w:type="dxa"/>
            <w:vAlign w:val="bottom"/>
            <w:tcBorders>
              <w:bottom w:val="single" w:sz="8" w:color="808080"/>
            </w:tcBorders>
          </w:tcPr>
          <w:p>
            <w:pPr>
              <w:spacing w:after="0" w:line="20" w:lineRule="exact"/>
              <w:rPr>
                <w:sz w:val="1"/>
                <w:szCs w:val="1"/>
                <w:color w:val="auto"/>
              </w:rPr>
            </w:pPr>
          </w:p>
        </w:tc>
        <w:tc>
          <w:tcPr>
            <w:tcW w:w="960" w:type="dxa"/>
            <w:vAlign w:val="bottom"/>
            <w:tcBorders>
              <w:bottom w:val="single" w:sz="8" w:color="808080"/>
            </w:tcBorders>
          </w:tcPr>
          <w:p>
            <w:pPr>
              <w:spacing w:after="0" w:line="20" w:lineRule="exact"/>
              <w:rPr>
                <w:sz w:val="1"/>
                <w:szCs w:val="1"/>
                <w:color w:val="auto"/>
              </w:rPr>
            </w:pPr>
          </w:p>
        </w:tc>
        <w:tc>
          <w:tcPr>
            <w:tcW w:w="96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840" w:type="dxa"/>
            <w:vAlign w:val="bottom"/>
          </w:tcPr>
          <w:p>
            <w:pPr>
              <w:ind w:left="80"/>
              <w:spacing w:after="0"/>
              <w:rPr>
                <w:sz w:val="20"/>
                <w:szCs w:val="20"/>
                <w:color w:val="auto"/>
              </w:rPr>
            </w:pPr>
            <w:r>
              <w:rPr>
                <w:rFonts w:ascii="Arial" w:cs="Arial" w:eastAsia="Arial" w:hAnsi="Arial"/>
                <w:sz w:val="14"/>
                <w:szCs w:val="14"/>
                <w:color w:val="auto"/>
              </w:rPr>
              <w:t>Accelerated Vesting of Equity Awards</w:t>
            </w:r>
          </w:p>
        </w:tc>
        <w:tc>
          <w:tcPr>
            <w:tcW w:w="1280" w:type="dxa"/>
            <w:vAlign w:val="bottom"/>
          </w:tcPr>
          <w:p>
            <w:pPr>
              <w:jc w:val="right"/>
              <w:ind w:right="230"/>
              <w:spacing w:after="0"/>
              <w:rPr>
                <w:sz w:val="20"/>
                <w:szCs w:val="20"/>
                <w:color w:val="auto"/>
              </w:rPr>
            </w:pPr>
            <w:r>
              <w:rPr>
                <w:rFonts w:ascii="Arial" w:cs="Arial" w:eastAsia="Arial" w:hAnsi="Arial"/>
                <w:sz w:val="14"/>
                <w:szCs w:val="14"/>
                <w:color w:val="auto"/>
              </w:rPr>
              <w:t>2,568,498</w:t>
            </w:r>
          </w:p>
        </w:tc>
        <w:tc>
          <w:tcPr>
            <w:tcW w:w="106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000" w:type="dxa"/>
            <w:vAlign w:val="bottom"/>
          </w:tcPr>
          <w:p>
            <w:pPr>
              <w:ind w:left="76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69"/>
              <w:spacing w:after="0"/>
              <w:rPr>
                <w:sz w:val="20"/>
                <w:szCs w:val="20"/>
                <w:color w:val="auto"/>
              </w:rPr>
            </w:pPr>
            <w:r>
              <w:rPr>
                <w:rFonts w:ascii="Arial" w:cs="Arial" w:eastAsia="Arial" w:hAnsi="Arial"/>
                <w:sz w:val="14"/>
                <w:szCs w:val="14"/>
                <w:color w:val="auto"/>
              </w:rPr>
              <w:t>2,568,498</w:t>
            </w:r>
          </w:p>
        </w:tc>
        <w:tc>
          <w:tcPr>
            <w:tcW w:w="960" w:type="dxa"/>
            <w:vAlign w:val="bottom"/>
          </w:tcPr>
          <w:p>
            <w:pPr>
              <w:jc w:val="right"/>
              <w:ind w:right="189"/>
              <w:spacing w:after="0"/>
              <w:rPr>
                <w:sz w:val="20"/>
                <w:szCs w:val="20"/>
                <w:color w:val="auto"/>
              </w:rPr>
            </w:pPr>
            <w:r>
              <w:rPr>
                <w:rFonts w:ascii="Arial" w:cs="Arial" w:eastAsia="Arial" w:hAnsi="Arial"/>
                <w:sz w:val="14"/>
                <w:szCs w:val="14"/>
                <w:color w:val="auto"/>
              </w:rPr>
              <w:t>2,568,498</w:t>
            </w:r>
          </w:p>
        </w:tc>
        <w:tc>
          <w:tcPr>
            <w:tcW w:w="0" w:type="dxa"/>
            <w:vAlign w:val="bottom"/>
          </w:tcPr>
          <w:p>
            <w:pPr>
              <w:spacing w:after="0"/>
              <w:rPr>
                <w:sz w:val="1"/>
                <w:szCs w:val="1"/>
                <w:color w:val="auto"/>
              </w:rPr>
            </w:pPr>
          </w:p>
        </w:tc>
      </w:tr>
      <w:tr>
        <w:trPr>
          <w:trHeight w:val="22"/>
        </w:trPr>
        <w:tc>
          <w:tcPr>
            <w:tcW w:w="28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1060" w:type="dxa"/>
            <w:vAlign w:val="bottom"/>
            <w:tcBorders>
              <w:bottom w:val="single" w:sz="8" w:color="808080"/>
            </w:tcBorders>
          </w:tcPr>
          <w:p>
            <w:pPr>
              <w:spacing w:after="0" w:line="20" w:lineRule="exact"/>
              <w:rPr>
                <w:sz w:val="1"/>
                <w:szCs w:val="1"/>
                <w:color w:val="auto"/>
              </w:rPr>
            </w:pPr>
          </w:p>
        </w:tc>
        <w:tc>
          <w:tcPr>
            <w:tcW w:w="980" w:type="dxa"/>
            <w:vAlign w:val="bottom"/>
            <w:tcBorders>
              <w:bottom w:val="single" w:sz="8" w:color="808080"/>
            </w:tcBorders>
          </w:tcPr>
          <w:p>
            <w:pPr>
              <w:spacing w:after="0" w:line="20" w:lineRule="exact"/>
              <w:rPr>
                <w:sz w:val="1"/>
                <w:szCs w:val="1"/>
                <w:color w:val="auto"/>
              </w:rPr>
            </w:pPr>
          </w:p>
        </w:tc>
        <w:tc>
          <w:tcPr>
            <w:tcW w:w="1000" w:type="dxa"/>
            <w:vAlign w:val="bottom"/>
            <w:tcBorders>
              <w:bottom w:val="single" w:sz="8" w:color="808080"/>
            </w:tcBorders>
          </w:tcPr>
          <w:p>
            <w:pPr>
              <w:spacing w:after="0" w:line="20" w:lineRule="exact"/>
              <w:rPr>
                <w:sz w:val="1"/>
                <w:szCs w:val="1"/>
                <w:color w:val="auto"/>
              </w:rPr>
            </w:pPr>
          </w:p>
        </w:tc>
        <w:tc>
          <w:tcPr>
            <w:tcW w:w="960" w:type="dxa"/>
            <w:vAlign w:val="bottom"/>
            <w:tcBorders>
              <w:bottom w:val="single" w:sz="8" w:color="808080"/>
            </w:tcBorders>
          </w:tcPr>
          <w:p>
            <w:pPr>
              <w:spacing w:after="0" w:line="20" w:lineRule="exact"/>
              <w:rPr>
                <w:sz w:val="1"/>
                <w:szCs w:val="1"/>
                <w:color w:val="auto"/>
              </w:rPr>
            </w:pPr>
          </w:p>
        </w:tc>
        <w:tc>
          <w:tcPr>
            <w:tcW w:w="96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840" w:type="dxa"/>
            <w:vAlign w:val="bottom"/>
          </w:tcPr>
          <w:p>
            <w:pPr>
              <w:ind w:left="80"/>
              <w:spacing w:after="0"/>
              <w:rPr>
                <w:sz w:val="20"/>
                <w:szCs w:val="20"/>
                <w:color w:val="auto"/>
              </w:rPr>
            </w:pPr>
            <w:r>
              <w:rPr>
                <w:rFonts w:ascii="Arial" w:cs="Arial" w:eastAsia="Arial" w:hAnsi="Arial"/>
                <w:sz w:val="14"/>
                <w:szCs w:val="14"/>
                <w:color w:val="auto"/>
              </w:rPr>
              <w:t>Outplacement Expenses</w:t>
            </w:r>
          </w:p>
        </w:tc>
        <w:tc>
          <w:tcPr>
            <w:tcW w:w="1280" w:type="dxa"/>
            <w:vAlign w:val="bottom"/>
          </w:tcPr>
          <w:p>
            <w:pPr>
              <w:jc w:val="right"/>
              <w:ind w:right="230"/>
              <w:spacing w:after="0"/>
              <w:rPr>
                <w:sz w:val="20"/>
                <w:szCs w:val="20"/>
                <w:color w:val="auto"/>
              </w:rPr>
            </w:pPr>
            <w:r>
              <w:rPr>
                <w:rFonts w:ascii="Arial" w:cs="Arial" w:eastAsia="Arial" w:hAnsi="Arial"/>
                <w:sz w:val="14"/>
                <w:szCs w:val="14"/>
                <w:color w:val="auto"/>
              </w:rPr>
              <w:t>40,000</w:t>
            </w:r>
          </w:p>
        </w:tc>
        <w:tc>
          <w:tcPr>
            <w:tcW w:w="1060" w:type="dxa"/>
            <w:vAlign w:val="bottom"/>
          </w:tcPr>
          <w:p>
            <w:pPr>
              <w:jc w:val="right"/>
              <w:ind w:right="210"/>
              <w:spacing w:after="0"/>
              <w:rPr>
                <w:sz w:val="20"/>
                <w:szCs w:val="20"/>
                <w:color w:val="auto"/>
              </w:rPr>
            </w:pPr>
            <w:r>
              <w:rPr>
                <w:rFonts w:ascii="Arial" w:cs="Arial" w:eastAsia="Arial" w:hAnsi="Arial"/>
                <w:sz w:val="14"/>
                <w:szCs w:val="14"/>
                <w:color w:val="auto"/>
              </w:rPr>
              <w:t>40,000</w:t>
            </w:r>
          </w:p>
        </w:tc>
        <w:tc>
          <w:tcPr>
            <w:tcW w:w="98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000" w:type="dxa"/>
            <w:vAlign w:val="bottom"/>
          </w:tcPr>
          <w:p>
            <w:pPr>
              <w:ind w:left="76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28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1060" w:type="dxa"/>
            <w:vAlign w:val="bottom"/>
            <w:tcBorders>
              <w:bottom w:val="single" w:sz="8" w:color="808080"/>
            </w:tcBorders>
          </w:tcPr>
          <w:p>
            <w:pPr>
              <w:spacing w:after="0" w:line="20" w:lineRule="exact"/>
              <w:rPr>
                <w:sz w:val="1"/>
                <w:szCs w:val="1"/>
                <w:color w:val="auto"/>
              </w:rPr>
            </w:pPr>
          </w:p>
        </w:tc>
        <w:tc>
          <w:tcPr>
            <w:tcW w:w="980" w:type="dxa"/>
            <w:vAlign w:val="bottom"/>
            <w:tcBorders>
              <w:bottom w:val="single" w:sz="8" w:color="808080"/>
            </w:tcBorders>
          </w:tcPr>
          <w:p>
            <w:pPr>
              <w:spacing w:after="0" w:line="20" w:lineRule="exact"/>
              <w:rPr>
                <w:sz w:val="1"/>
                <w:szCs w:val="1"/>
                <w:color w:val="auto"/>
              </w:rPr>
            </w:pPr>
          </w:p>
        </w:tc>
        <w:tc>
          <w:tcPr>
            <w:tcW w:w="1000" w:type="dxa"/>
            <w:vAlign w:val="bottom"/>
            <w:tcBorders>
              <w:bottom w:val="single" w:sz="8" w:color="808080"/>
            </w:tcBorders>
          </w:tcPr>
          <w:p>
            <w:pPr>
              <w:spacing w:after="0" w:line="20" w:lineRule="exact"/>
              <w:rPr>
                <w:sz w:val="1"/>
                <w:szCs w:val="1"/>
                <w:color w:val="auto"/>
              </w:rPr>
            </w:pPr>
          </w:p>
        </w:tc>
        <w:tc>
          <w:tcPr>
            <w:tcW w:w="960" w:type="dxa"/>
            <w:vAlign w:val="bottom"/>
            <w:tcBorders>
              <w:bottom w:val="single" w:sz="8" w:color="808080"/>
            </w:tcBorders>
          </w:tcPr>
          <w:p>
            <w:pPr>
              <w:spacing w:after="0" w:line="20" w:lineRule="exact"/>
              <w:rPr>
                <w:sz w:val="1"/>
                <w:szCs w:val="1"/>
                <w:color w:val="auto"/>
              </w:rPr>
            </w:pPr>
          </w:p>
        </w:tc>
        <w:tc>
          <w:tcPr>
            <w:tcW w:w="96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2840" w:type="dxa"/>
            <w:vAlign w:val="bottom"/>
            <w:tcBorders>
              <w:bottom w:val="single" w:sz="8" w:color="342C82"/>
            </w:tcBorders>
          </w:tcPr>
          <w:p>
            <w:pPr>
              <w:ind w:left="80"/>
              <w:spacing w:after="0"/>
              <w:rPr>
                <w:sz w:val="20"/>
                <w:szCs w:val="20"/>
                <w:color w:val="auto"/>
              </w:rPr>
            </w:pPr>
            <w:r>
              <w:rPr>
                <w:rFonts w:ascii="Arial" w:cs="Arial" w:eastAsia="Arial" w:hAnsi="Arial"/>
                <w:sz w:val="14"/>
                <w:szCs w:val="14"/>
                <w:b w:val="1"/>
                <w:bCs w:val="1"/>
                <w:color w:val="auto"/>
              </w:rPr>
              <w:t>Total</w:t>
            </w:r>
          </w:p>
        </w:tc>
        <w:tc>
          <w:tcPr>
            <w:tcW w:w="1280" w:type="dxa"/>
            <w:vAlign w:val="bottom"/>
            <w:tcBorders>
              <w:bottom w:val="single" w:sz="8" w:color="342C82"/>
            </w:tcBorders>
          </w:tcPr>
          <w:p>
            <w:pPr>
              <w:jc w:val="right"/>
              <w:ind w:right="230"/>
              <w:spacing w:after="0"/>
              <w:rPr>
                <w:sz w:val="20"/>
                <w:szCs w:val="20"/>
                <w:color w:val="auto"/>
              </w:rPr>
            </w:pPr>
            <w:r>
              <w:rPr>
                <w:rFonts w:ascii="Arial" w:cs="Arial" w:eastAsia="Arial" w:hAnsi="Arial"/>
                <w:sz w:val="14"/>
                <w:szCs w:val="14"/>
                <w:b w:val="1"/>
                <w:bCs w:val="1"/>
                <w:color w:val="auto"/>
              </w:rPr>
              <w:t>5,048,907</w:t>
            </w:r>
          </w:p>
        </w:tc>
        <w:tc>
          <w:tcPr>
            <w:tcW w:w="1060" w:type="dxa"/>
            <w:vAlign w:val="bottom"/>
            <w:tcBorders>
              <w:bottom w:val="single" w:sz="8" w:color="342C82"/>
            </w:tcBorders>
          </w:tcPr>
          <w:p>
            <w:pPr>
              <w:jc w:val="right"/>
              <w:ind w:right="210"/>
              <w:spacing w:after="0"/>
              <w:rPr>
                <w:sz w:val="20"/>
                <w:szCs w:val="20"/>
                <w:color w:val="auto"/>
              </w:rPr>
            </w:pPr>
            <w:r>
              <w:rPr>
                <w:rFonts w:ascii="Arial" w:cs="Arial" w:eastAsia="Arial" w:hAnsi="Arial"/>
                <w:sz w:val="14"/>
                <w:szCs w:val="14"/>
                <w:b w:val="1"/>
                <w:bCs w:val="1"/>
                <w:color w:val="auto"/>
              </w:rPr>
              <w:t>1,463,204</w:t>
            </w:r>
          </w:p>
        </w:tc>
        <w:tc>
          <w:tcPr>
            <w:tcW w:w="980" w:type="dxa"/>
            <w:vAlign w:val="bottom"/>
            <w:tcBorders>
              <w:bottom w:val="single" w:sz="8" w:color="342C82"/>
            </w:tcBorders>
          </w:tcPr>
          <w:p>
            <w:pPr>
              <w:jc w:val="right"/>
              <w:ind w:right="229"/>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342C82"/>
            </w:tcBorders>
          </w:tcPr>
          <w:p>
            <w:pPr>
              <w:ind w:left="760"/>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342C82"/>
            </w:tcBorders>
          </w:tcPr>
          <w:p>
            <w:pPr>
              <w:jc w:val="right"/>
              <w:ind w:right="169"/>
              <w:spacing w:after="0"/>
              <w:rPr>
                <w:sz w:val="20"/>
                <w:szCs w:val="20"/>
                <w:color w:val="auto"/>
              </w:rPr>
            </w:pPr>
            <w:r>
              <w:rPr>
                <w:rFonts w:ascii="Arial" w:cs="Arial" w:eastAsia="Arial" w:hAnsi="Arial"/>
                <w:sz w:val="14"/>
                <w:szCs w:val="14"/>
                <w:b w:val="1"/>
                <w:bCs w:val="1"/>
                <w:color w:val="auto"/>
              </w:rPr>
              <w:t>2,568,498</w:t>
            </w:r>
          </w:p>
        </w:tc>
        <w:tc>
          <w:tcPr>
            <w:tcW w:w="960" w:type="dxa"/>
            <w:vAlign w:val="bottom"/>
            <w:tcBorders>
              <w:bottom w:val="single" w:sz="8" w:color="342C82"/>
            </w:tcBorders>
          </w:tcPr>
          <w:p>
            <w:pPr>
              <w:jc w:val="right"/>
              <w:ind w:right="189"/>
              <w:spacing w:after="0"/>
              <w:rPr>
                <w:sz w:val="20"/>
                <w:szCs w:val="20"/>
                <w:color w:val="auto"/>
              </w:rPr>
            </w:pPr>
            <w:r>
              <w:rPr>
                <w:rFonts w:ascii="Arial" w:cs="Arial" w:eastAsia="Arial" w:hAnsi="Arial"/>
                <w:sz w:val="14"/>
                <w:szCs w:val="14"/>
                <w:b w:val="1"/>
                <w:bCs w:val="1"/>
                <w:color w:val="auto"/>
              </w:rPr>
              <w:t>2,568,498</w:t>
            </w:r>
          </w:p>
        </w:tc>
        <w:tc>
          <w:tcPr>
            <w:tcW w:w="0" w:type="dxa"/>
            <w:vAlign w:val="bottom"/>
          </w:tcPr>
          <w:p>
            <w:pPr>
              <w:spacing w:after="0"/>
              <w:rPr>
                <w:sz w:val="1"/>
                <w:szCs w:val="1"/>
                <w:color w:val="auto"/>
              </w:rPr>
            </w:pPr>
          </w:p>
        </w:tc>
      </w:tr>
      <w:tr>
        <w:trPr>
          <w:trHeight w:val="209"/>
        </w:trPr>
        <w:tc>
          <w:tcPr>
            <w:tcW w:w="2840" w:type="dxa"/>
            <w:vAlign w:val="bottom"/>
            <w:tcBorders>
              <w:bottom w:val="single" w:sz="8" w:color="342C82"/>
            </w:tcBorders>
          </w:tcPr>
          <w:p>
            <w:pPr>
              <w:ind w:left="80"/>
              <w:spacing w:after="0"/>
              <w:rPr>
                <w:sz w:val="20"/>
                <w:szCs w:val="20"/>
                <w:color w:val="auto"/>
              </w:rPr>
            </w:pPr>
            <w:r>
              <w:rPr>
                <w:rFonts w:ascii="Arial" w:cs="Arial" w:eastAsia="Arial" w:hAnsi="Arial"/>
                <w:sz w:val="14"/>
                <w:szCs w:val="14"/>
                <w:b w:val="1"/>
                <w:bCs w:val="1"/>
                <w:color w:val="342C82"/>
              </w:rPr>
              <w:t>Shaun Curtis</w:t>
            </w:r>
          </w:p>
        </w:tc>
        <w:tc>
          <w:tcPr>
            <w:tcW w:w="1280" w:type="dxa"/>
            <w:vAlign w:val="bottom"/>
            <w:tcBorders>
              <w:bottom w:val="single" w:sz="8" w:color="342C82"/>
            </w:tcBorders>
          </w:tcPr>
          <w:p>
            <w:pPr>
              <w:spacing w:after="0"/>
              <w:rPr>
                <w:sz w:val="18"/>
                <w:szCs w:val="18"/>
                <w:color w:val="auto"/>
              </w:rPr>
            </w:pPr>
          </w:p>
        </w:tc>
        <w:tc>
          <w:tcPr>
            <w:tcW w:w="1060" w:type="dxa"/>
            <w:vAlign w:val="bottom"/>
            <w:tcBorders>
              <w:bottom w:val="single" w:sz="8" w:color="342C82"/>
            </w:tcBorders>
          </w:tcPr>
          <w:p>
            <w:pPr>
              <w:spacing w:after="0"/>
              <w:rPr>
                <w:sz w:val="18"/>
                <w:szCs w:val="18"/>
                <w:color w:val="auto"/>
              </w:rPr>
            </w:pPr>
          </w:p>
        </w:tc>
        <w:tc>
          <w:tcPr>
            <w:tcW w:w="980" w:type="dxa"/>
            <w:vAlign w:val="bottom"/>
            <w:tcBorders>
              <w:bottom w:val="single" w:sz="8" w:color="342C82"/>
            </w:tcBorders>
          </w:tcPr>
          <w:p>
            <w:pPr>
              <w:spacing w:after="0"/>
              <w:rPr>
                <w:sz w:val="18"/>
                <w:szCs w:val="18"/>
                <w:color w:val="auto"/>
              </w:rPr>
            </w:pPr>
          </w:p>
        </w:tc>
        <w:tc>
          <w:tcPr>
            <w:tcW w:w="1000" w:type="dxa"/>
            <w:vAlign w:val="bottom"/>
            <w:tcBorders>
              <w:bottom w:val="single" w:sz="8" w:color="342C82"/>
            </w:tcBorders>
          </w:tcPr>
          <w:p>
            <w:pPr>
              <w:spacing w:after="0"/>
              <w:rPr>
                <w:sz w:val="18"/>
                <w:szCs w:val="18"/>
                <w:color w:val="auto"/>
              </w:rPr>
            </w:pPr>
          </w:p>
        </w:tc>
        <w:tc>
          <w:tcPr>
            <w:tcW w:w="960" w:type="dxa"/>
            <w:vAlign w:val="bottom"/>
            <w:tcBorders>
              <w:bottom w:val="single" w:sz="8" w:color="342C82"/>
            </w:tcBorders>
          </w:tcPr>
          <w:p>
            <w:pPr>
              <w:spacing w:after="0"/>
              <w:rPr>
                <w:sz w:val="18"/>
                <w:szCs w:val="18"/>
                <w:color w:val="auto"/>
              </w:rPr>
            </w:pPr>
          </w:p>
        </w:tc>
        <w:tc>
          <w:tcPr>
            <w:tcW w:w="960" w:type="dxa"/>
            <w:vAlign w:val="bottom"/>
            <w:tcBorders>
              <w:bottom w:val="single" w:sz="8" w:color="342C82"/>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840" w:type="dxa"/>
            <w:vAlign w:val="bottom"/>
          </w:tcPr>
          <w:p>
            <w:pPr>
              <w:ind w:left="80"/>
              <w:spacing w:after="0"/>
              <w:rPr>
                <w:sz w:val="20"/>
                <w:szCs w:val="20"/>
                <w:color w:val="auto"/>
              </w:rPr>
            </w:pPr>
            <w:r>
              <w:rPr>
                <w:rFonts w:ascii="Arial" w:cs="Arial" w:eastAsia="Arial" w:hAnsi="Arial"/>
                <w:sz w:val="14"/>
                <w:szCs w:val="14"/>
                <w:color w:val="auto"/>
              </w:rPr>
              <w:t>Severance Payments</w:t>
            </w:r>
          </w:p>
        </w:tc>
        <w:tc>
          <w:tcPr>
            <w:tcW w:w="1280" w:type="dxa"/>
            <w:vAlign w:val="bottom"/>
          </w:tcPr>
          <w:p>
            <w:pPr>
              <w:jc w:val="right"/>
              <w:ind w:right="230"/>
              <w:spacing w:after="0"/>
              <w:rPr>
                <w:sz w:val="20"/>
                <w:szCs w:val="20"/>
                <w:color w:val="auto"/>
              </w:rPr>
            </w:pPr>
            <w:r>
              <w:rPr>
                <w:rFonts w:ascii="Arial" w:cs="Arial" w:eastAsia="Arial" w:hAnsi="Arial"/>
                <w:sz w:val="14"/>
                <w:szCs w:val="14"/>
                <w:color w:val="auto"/>
              </w:rPr>
              <w:t>1,667,055</w:t>
            </w:r>
          </w:p>
        </w:tc>
        <w:tc>
          <w:tcPr>
            <w:tcW w:w="1060" w:type="dxa"/>
            <w:vAlign w:val="bottom"/>
          </w:tcPr>
          <w:p>
            <w:pPr>
              <w:jc w:val="right"/>
              <w:ind w:right="210"/>
              <w:spacing w:after="0"/>
              <w:rPr>
                <w:sz w:val="20"/>
                <w:szCs w:val="20"/>
                <w:color w:val="auto"/>
              </w:rPr>
            </w:pPr>
            <w:r>
              <w:rPr>
                <w:rFonts w:ascii="Arial" w:cs="Arial" w:eastAsia="Arial" w:hAnsi="Arial"/>
                <w:sz w:val="14"/>
                <w:szCs w:val="14"/>
                <w:color w:val="auto"/>
              </w:rPr>
              <w:t>833,527</w:t>
            </w:r>
          </w:p>
        </w:tc>
        <w:tc>
          <w:tcPr>
            <w:tcW w:w="98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000" w:type="dxa"/>
            <w:vAlign w:val="bottom"/>
          </w:tcPr>
          <w:p>
            <w:pPr>
              <w:ind w:left="76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28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1060" w:type="dxa"/>
            <w:vAlign w:val="bottom"/>
            <w:tcBorders>
              <w:bottom w:val="single" w:sz="8" w:color="808080"/>
            </w:tcBorders>
          </w:tcPr>
          <w:p>
            <w:pPr>
              <w:spacing w:after="0" w:line="20" w:lineRule="exact"/>
              <w:rPr>
                <w:sz w:val="1"/>
                <w:szCs w:val="1"/>
                <w:color w:val="auto"/>
              </w:rPr>
            </w:pPr>
          </w:p>
        </w:tc>
        <w:tc>
          <w:tcPr>
            <w:tcW w:w="980" w:type="dxa"/>
            <w:vAlign w:val="bottom"/>
            <w:tcBorders>
              <w:bottom w:val="single" w:sz="8" w:color="808080"/>
            </w:tcBorders>
          </w:tcPr>
          <w:p>
            <w:pPr>
              <w:spacing w:after="0" w:line="20" w:lineRule="exact"/>
              <w:rPr>
                <w:sz w:val="1"/>
                <w:szCs w:val="1"/>
                <w:color w:val="auto"/>
              </w:rPr>
            </w:pPr>
          </w:p>
        </w:tc>
        <w:tc>
          <w:tcPr>
            <w:tcW w:w="1000" w:type="dxa"/>
            <w:vAlign w:val="bottom"/>
            <w:tcBorders>
              <w:bottom w:val="single" w:sz="8" w:color="808080"/>
            </w:tcBorders>
          </w:tcPr>
          <w:p>
            <w:pPr>
              <w:spacing w:after="0" w:line="20" w:lineRule="exact"/>
              <w:rPr>
                <w:sz w:val="1"/>
                <w:szCs w:val="1"/>
                <w:color w:val="auto"/>
              </w:rPr>
            </w:pPr>
          </w:p>
        </w:tc>
        <w:tc>
          <w:tcPr>
            <w:tcW w:w="960" w:type="dxa"/>
            <w:vAlign w:val="bottom"/>
            <w:tcBorders>
              <w:bottom w:val="single" w:sz="8" w:color="808080"/>
            </w:tcBorders>
          </w:tcPr>
          <w:p>
            <w:pPr>
              <w:spacing w:after="0" w:line="20" w:lineRule="exact"/>
              <w:rPr>
                <w:sz w:val="1"/>
                <w:szCs w:val="1"/>
                <w:color w:val="auto"/>
              </w:rPr>
            </w:pPr>
          </w:p>
        </w:tc>
        <w:tc>
          <w:tcPr>
            <w:tcW w:w="96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840" w:type="dxa"/>
            <w:vAlign w:val="bottom"/>
            <w:tcBorders>
              <w:bottom w:val="single" w:sz="8" w:color="808080"/>
            </w:tcBorders>
          </w:tcPr>
          <w:p>
            <w:pPr>
              <w:ind w:left="80"/>
              <w:spacing w:after="0" w:line="250" w:lineRule="exact"/>
              <w:rPr>
                <w:sz w:val="20"/>
                <w:szCs w:val="20"/>
                <w:color w:val="auto"/>
              </w:rPr>
            </w:pPr>
            <w:r>
              <w:rPr>
                <w:rFonts w:ascii="Arial" w:cs="Arial" w:eastAsia="Arial" w:hAnsi="Arial"/>
                <w:sz w:val="14"/>
                <w:szCs w:val="14"/>
                <w:color w:val="auto"/>
              </w:rPr>
              <w:t>Prorated Annual Incentive Payments</w:t>
            </w:r>
            <w:r>
              <w:rPr>
                <w:rFonts w:ascii="Arial" w:cs="Arial" w:eastAsia="Arial" w:hAnsi="Arial"/>
                <w:sz w:val="23"/>
                <w:szCs w:val="23"/>
                <w:color w:val="auto"/>
                <w:vertAlign w:val="superscript"/>
              </w:rPr>
              <w:t>(7)</w:t>
            </w:r>
          </w:p>
        </w:tc>
        <w:tc>
          <w:tcPr>
            <w:tcW w:w="1280" w:type="dxa"/>
            <w:vAlign w:val="bottom"/>
            <w:tcBorders>
              <w:bottom w:val="single" w:sz="8" w:color="808080"/>
            </w:tcBorders>
          </w:tcPr>
          <w:p>
            <w:pPr>
              <w:jc w:val="right"/>
              <w:ind w:right="230"/>
              <w:spacing w:after="0"/>
              <w:rPr>
                <w:sz w:val="20"/>
                <w:szCs w:val="20"/>
                <w:color w:val="auto"/>
              </w:rPr>
            </w:pPr>
            <w:r>
              <w:rPr>
                <w:rFonts w:ascii="Arial" w:cs="Arial" w:eastAsia="Arial" w:hAnsi="Arial"/>
                <w:sz w:val="14"/>
                <w:szCs w:val="14"/>
                <w:color w:val="auto"/>
              </w:rPr>
              <w:t>312,573</w:t>
            </w:r>
          </w:p>
        </w:tc>
        <w:tc>
          <w:tcPr>
            <w:tcW w:w="1060" w:type="dxa"/>
            <w:vAlign w:val="bottom"/>
            <w:tcBorders>
              <w:bottom w:val="single" w:sz="8" w:color="808080"/>
            </w:tcBorders>
          </w:tcPr>
          <w:p>
            <w:pPr>
              <w:jc w:val="right"/>
              <w:ind w:right="210"/>
              <w:spacing w:after="0"/>
              <w:rPr>
                <w:sz w:val="20"/>
                <w:szCs w:val="20"/>
                <w:color w:val="auto"/>
              </w:rPr>
            </w:pPr>
            <w:r>
              <w:rPr>
                <w:rFonts w:ascii="Arial" w:cs="Arial" w:eastAsia="Arial" w:hAnsi="Arial"/>
                <w:sz w:val="14"/>
                <w:szCs w:val="14"/>
                <w:color w:val="auto"/>
              </w:rPr>
              <w:t>312,573</w:t>
            </w:r>
          </w:p>
        </w:tc>
        <w:tc>
          <w:tcPr>
            <w:tcW w:w="980" w:type="dxa"/>
            <w:vAlign w:val="bottom"/>
            <w:tcBorders>
              <w:bottom w:val="single" w:sz="8" w:color="808080"/>
            </w:tcBorders>
          </w:tcPr>
          <w:p>
            <w:pPr>
              <w:jc w:val="right"/>
              <w:ind w:right="22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808080"/>
            </w:tcBorders>
          </w:tcPr>
          <w:p>
            <w:pPr>
              <w:ind w:left="76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808080"/>
            </w:tcBorders>
          </w:tcPr>
          <w:p>
            <w:pPr>
              <w:jc w:val="right"/>
              <w:ind w:right="16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808080"/>
            </w:tcBorders>
          </w:tcPr>
          <w:p>
            <w:pPr>
              <w:jc w:val="right"/>
              <w:ind w:right="1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2840" w:type="dxa"/>
            <w:vAlign w:val="bottom"/>
          </w:tcPr>
          <w:p>
            <w:pPr>
              <w:ind w:left="80"/>
              <w:spacing w:after="0"/>
              <w:rPr>
                <w:sz w:val="20"/>
                <w:szCs w:val="20"/>
                <w:color w:val="auto"/>
              </w:rPr>
            </w:pPr>
            <w:r>
              <w:rPr>
                <w:rFonts w:ascii="Arial" w:cs="Arial" w:eastAsia="Arial" w:hAnsi="Arial"/>
                <w:sz w:val="14"/>
                <w:szCs w:val="14"/>
                <w:color w:val="auto"/>
              </w:rPr>
              <w:t>Health &amp; Welfare Benefits Coverage</w:t>
            </w:r>
          </w:p>
        </w:tc>
        <w:tc>
          <w:tcPr>
            <w:tcW w:w="128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000" w:type="dxa"/>
            <w:vAlign w:val="bottom"/>
          </w:tcPr>
          <w:p>
            <w:pPr>
              <w:ind w:left="76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28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1060" w:type="dxa"/>
            <w:vAlign w:val="bottom"/>
            <w:tcBorders>
              <w:bottom w:val="single" w:sz="8" w:color="808080"/>
            </w:tcBorders>
          </w:tcPr>
          <w:p>
            <w:pPr>
              <w:spacing w:after="0" w:line="20" w:lineRule="exact"/>
              <w:rPr>
                <w:sz w:val="1"/>
                <w:szCs w:val="1"/>
                <w:color w:val="auto"/>
              </w:rPr>
            </w:pPr>
          </w:p>
        </w:tc>
        <w:tc>
          <w:tcPr>
            <w:tcW w:w="980" w:type="dxa"/>
            <w:vAlign w:val="bottom"/>
            <w:tcBorders>
              <w:bottom w:val="single" w:sz="8" w:color="808080"/>
            </w:tcBorders>
          </w:tcPr>
          <w:p>
            <w:pPr>
              <w:spacing w:after="0" w:line="20" w:lineRule="exact"/>
              <w:rPr>
                <w:sz w:val="1"/>
                <w:szCs w:val="1"/>
                <w:color w:val="auto"/>
              </w:rPr>
            </w:pPr>
          </w:p>
        </w:tc>
        <w:tc>
          <w:tcPr>
            <w:tcW w:w="1000" w:type="dxa"/>
            <w:vAlign w:val="bottom"/>
            <w:tcBorders>
              <w:bottom w:val="single" w:sz="8" w:color="808080"/>
            </w:tcBorders>
          </w:tcPr>
          <w:p>
            <w:pPr>
              <w:spacing w:after="0" w:line="20" w:lineRule="exact"/>
              <w:rPr>
                <w:sz w:val="1"/>
                <w:szCs w:val="1"/>
                <w:color w:val="auto"/>
              </w:rPr>
            </w:pPr>
          </w:p>
        </w:tc>
        <w:tc>
          <w:tcPr>
            <w:tcW w:w="960" w:type="dxa"/>
            <w:vAlign w:val="bottom"/>
            <w:tcBorders>
              <w:bottom w:val="single" w:sz="8" w:color="808080"/>
            </w:tcBorders>
          </w:tcPr>
          <w:p>
            <w:pPr>
              <w:spacing w:after="0" w:line="20" w:lineRule="exact"/>
              <w:rPr>
                <w:sz w:val="1"/>
                <w:szCs w:val="1"/>
                <w:color w:val="auto"/>
              </w:rPr>
            </w:pPr>
          </w:p>
        </w:tc>
        <w:tc>
          <w:tcPr>
            <w:tcW w:w="96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840" w:type="dxa"/>
            <w:vAlign w:val="bottom"/>
          </w:tcPr>
          <w:p>
            <w:pPr>
              <w:ind w:left="80"/>
              <w:spacing w:after="0"/>
              <w:rPr>
                <w:sz w:val="20"/>
                <w:szCs w:val="20"/>
                <w:color w:val="auto"/>
              </w:rPr>
            </w:pPr>
            <w:r>
              <w:rPr>
                <w:rFonts w:ascii="Arial" w:cs="Arial" w:eastAsia="Arial" w:hAnsi="Arial"/>
                <w:sz w:val="14"/>
                <w:szCs w:val="14"/>
                <w:color w:val="auto"/>
              </w:rPr>
              <w:t>Accelerated Vesting of Equity Awards</w:t>
            </w:r>
          </w:p>
        </w:tc>
        <w:tc>
          <w:tcPr>
            <w:tcW w:w="1280" w:type="dxa"/>
            <w:vAlign w:val="bottom"/>
          </w:tcPr>
          <w:p>
            <w:pPr>
              <w:jc w:val="right"/>
              <w:ind w:right="230"/>
              <w:spacing w:after="0"/>
              <w:rPr>
                <w:sz w:val="20"/>
                <w:szCs w:val="20"/>
                <w:color w:val="auto"/>
              </w:rPr>
            </w:pPr>
            <w:r>
              <w:rPr>
                <w:rFonts w:ascii="Arial" w:cs="Arial" w:eastAsia="Arial" w:hAnsi="Arial"/>
                <w:sz w:val="14"/>
                <w:szCs w:val="14"/>
                <w:color w:val="auto"/>
              </w:rPr>
              <w:t>870,703</w:t>
            </w:r>
          </w:p>
        </w:tc>
        <w:tc>
          <w:tcPr>
            <w:tcW w:w="106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29"/>
              <w:spacing w:after="0"/>
              <w:rPr>
                <w:sz w:val="20"/>
                <w:szCs w:val="20"/>
                <w:color w:val="auto"/>
              </w:rPr>
            </w:pPr>
            <w:r>
              <w:rPr>
                <w:rFonts w:ascii="Arial" w:cs="Arial" w:eastAsia="Arial" w:hAnsi="Arial"/>
                <w:sz w:val="14"/>
                <w:szCs w:val="14"/>
                <w:color w:val="auto"/>
              </w:rPr>
              <w:t>623,765</w:t>
            </w:r>
          </w:p>
        </w:tc>
        <w:tc>
          <w:tcPr>
            <w:tcW w:w="1000" w:type="dxa"/>
            <w:vAlign w:val="bottom"/>
          </w:tcPr>
          <w:p>
            <w:pPr>
              <w:ind w:left="76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69"/>
              <w:spacing w:after="0"/>
              <w:rPr>
                <w:sz w:val="20"/>
                <w:szCs w:val="20"/>
                <w:color w:val="auto"/>
              </w:rPr>
            </w:pPr>
            <w:r>
              <w:rPr>
                <w:rFonts w:ascii="Arial" w:cs="Arial" w:eastAsia="Arial" w:hAnsi="Arial"/>
                <w:sz w:val="14"/>
                <w:szCs w:val="14"/>
                <w:color w:val="auto"/>
              </w:rPr>
              <w:t>870,703</w:t>
            </w:r>
          </w:p>
        </w:tc>
        <w:tc>
          <w:tcPr>
            <w:tcW w:w="960" w:type="dxa"/>
            <w:vAlign w:val="bottom"/>
          </w:tcPr>
          <w:p>
            <w:pPr>
              <w:jc w:val="right"/>
              <w:ind w:right="169"/>
              <w:spacing w:after="0"/>
              <w:rPr>
                <w:sz w:val="20"/>
                <w:szCs w:val="20"/>
                <w:color w:val="auto"/>
              </w:rPr>
            </w:pPr>
            <w:r>
              <w:rPr>
                <w:rFonts w:ascii="Arial" w:cs="Arial" w:eastAsia="Arial" w:hAnsi="Arial"/>
                <w:sz w:val="14"/>
                <w:szCs w:val="14"/>
                <w:color w:val="auto"/>
              </w:rPr>
              <w:t>870,703</w:t>
            </w:r>
          </w:p>
        </w:tc>
        <w:tc>
          <w:tcPr>
            <w:tcW w:w="0" w:type="dxa"/>
            <w:vAlign w:val="bottom"/>
          </w:tcPr>
          <w:p>
            <w:pPr>
              <w:spacing w:after="0"/>
              <w:rPr>
                <w:sz w:val="1"/>
                <w:szCs w:val="1"/>
                <w:color w:val="auto"/>
              </w:rPr>
            </w:pPr>
          </w:p>
        </w:tc>
      </w:tr>
      <w:tr>
        <w:trPr>
          <w:trHeight w:val="22"/>
        </w:trPr>
        <w:tc>
          <w:tcPr>
            <w:tcW w:w="28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1060" w:type="dxa"/>
            <w:vAlign w:val="bottom"/>
            <w:tcBorders>
              <w:bottom w:val="single" w:sz="8" w:color="808080"/>
            </w:tcBorders>
          </w:tcPr>
          <w:p>
            <w:pPr>
              <w:spacing w:after="0" w:line="20" w:lineRule="exact"/>
              <w:rPr>
                <w:sz w:val="1"/>
                <w:szCs w:val="1"/>
                <w:color w:val="auto"/>
              </w:rPr>
            </w:pPr>
          </w:p>
        </w:tc>
        <w:tc>
          <w:tcPr>
            <w:tcW w:w="980" w:type="dxa"/>
            <w:vAlign w:val="bottom"/>
            <w:tcBorders>
              <w:bottom w:val="single" w:sz="8" w:color="808080"/>
            </w:tcBorders>
          </w:tcPr>
          <w:p>
            <w:pPr>
              <w:spacing w:after="0" w:line="20" w:lineRule="exact"/>
              <w:rPr>
                <w:sz w:val="1"/>
                <w:szCs w:val="1"/>
                <w:color w:val="auto"/>
              </w:rPr>
            </w:pPr>
          </w:p>
        </w:tc>
        <w:tc>
          <w:tcPr>
            <w:tcW w:w="1000" w:type="dxa"/>
            <w:vAlign w:val="bottom"/>
            <w:tcBorders>
              <w:bottom w:val="single" w:sz="8" w:color="808080"/>
            </w:tcBorders>
          </w:tcPr>
          <w:p>
            <w:pPr>
              <w:spacing w:after="0" w:line="20" w:lineRule="exact"/>
              <w:rPr>
                <w:sz w:val="1"/>
                <w:szCs w:val="1"/>
                <w:color w:val="auto"/>
              </w:rPr>
            </w:pPr>
          </w:p>
        </w:tc>
        <w:tc>
          <w:tcPr>
            <w:tcW w:w="960" w:type="dxa"/>
            <w:vAlign w:val="bottom"/>
            <w:tcBorders>
              <w:bottom w:val="single" w:sz="8" w:color="808080"/>
            </w:tcBorders>
          </w:tcPr>
          <w:p>
            <w:pPr>
              <w:spacing w:after="0" w:line="20" w:lineRule="exact"/>
              <w:rPr>
                <w:sz w:val="1"/>
                <w:szCs w:val="1"/>
                <w:color w:val="auto"/>
              </w:rPr>
            </w:pPr>
          </w:p>
        </w:tc>
        <w:tc>
          <w:tcPr>
            <w:tcW w:w="96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840" w:type="dxa"/>
            <w:vAlign w:val="bottom"/>
          </w:tcPr>
          <w:p>
            <w:pPr>
              <w:ind w:left="80"/>
              <w:spacing w:after="0"/>
              <w:rPr>
                <w:sz w:val="20"/>
                <w:szCs w:val="20"/>
                <w:color w:val="auto"/>
              </w:rPr>
            </w:pPr>
            <w:r>
              <w:rPr>
                <w:rFonts w:ascii="Arial" w:cs="Arial" w:eastAsia="Arial" w:hAnsi="Arial"/>
                <w:sz w:val="14"/>
                <w:szCs w:val="14"/>
                <w:color w:val="auto"/>
              </w:rPr>
              <w:t>Outplacement Expenses</w:t>
            </w:r>
          </w:p>
        </w:tc>
        <w:tc>
          <w:tcPr>
            <w:tcW w:w="1280" w:type="dxa"/>
            <w:vAlign w:val="bottom"/>
          </w:tcPr>
          <w:p>
            <w:pPr>
              <w:jc w:val="right"/>
              <w:ind w:right="230"/>
              <w:spacing w:after="0"/>
              <w:rPr>
                <w:sz w:val="20"/>
                <w:szCs w:val="20"/>
                <w:color w:val="auto"/>
              </w:rPr>
            </w:pPr>
            <w:r>
              <w:rPr>
                <w:rFonts w:ascii="Arial" w:cs="Arial" w:eastAsia="Arial" w:hAnsi="Arial"/>
                <w:sz w:val="14"/>
                <w:szCs w:val="14"/>
                <w:color w:val="auto"/>
              </w:rPr>
              <w:t>40,000</w:t>
            </w:r>
          </w:p>
        </w:tc>
        <w:tc>
          <w:tcPr>
            <w:tcW w:w="1060" w:type="dxa"/>
            <w:vAlign w:val="bottom"/>
          </w:tcPr>
          <w:p>
            <w:pPr>
              <w:jc w:val="right"/>
              <w:ind w:right="210"/>
              <w:spacing w:after="0"/>
              <w:rPr>
                <w:sz w:val="20"/>
                <w:szCs w:val="20"/>
                <w:color w:val="auto"/>
              </w:rPr>
            </w:pPr>
            <w:r>
              <w:rPr>
                <w:rFonts w:ascii="Arial" w:cs="Arial" w:eastAsia="Arial" w:hAnsi="Arial"/>
                <w:sz w:val="14"/>
                <w:szCs w:val="14"/>
                <w:color w:val="auto"/>
              </w:rPr>
              <w:t>40,000</w:t>
            </w:r>
          </w:p>
        </w:tc>
        <w:tc>
          <w:tcPr>
            <w:tcW w:w="98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000" w:type="dxa"/>
            <w:vAlign w:val="bottom"/>
          </w:tcPr>
          <w:p>
            <w:pPr>
              <w:ind w:left="76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28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1060" w:type="dxa"/>
            <w:vAlign w:val="bottom"/>
            <w:tcBorders>
              <w:bottom w:val="single" w:sz="8" w:color="808080"/>
            </w:tcBorders>
          </w:tcPr>
          <w:p>
            <w:pPr>
              <w:spacing w:after="0" w:line="20" w:lineRule="exact"/>
              <w:rPr>
                <w:sz w:val="1"/>
                <w:szCs w:val="1"/>
                <w:color w:val="auto"/>
              </w:rPr>
            </w:pPr>
          </w:p>
        </w:tc>
        <w:tc>
          <w:tcPr>
            <w:tcW w:w="980" w:type="dxa"/>
            <w:vAlign w:val="bottom"/>
            <w:tcBorders>
              <w:bottom w:val="single" w:sz="8" w:color="808080"/>
            </w:tcBorders>
          </w:tcPr>
          <w:p>
            <w:pPr>
              <w:spacing w:after="0" w:line="20" w:lineRule="exact"/>
              <w:rPr>
                <w:sz w:val="1"/>
                <w:szCs w:val="1"/>
                <w:color w:val="auto"/>
              </w:rPr>
            </w:pPr>
          </w:p>
        </w:tc>
        <w:tc>
          <w:tcPr>
            <w:tcW w:w="1000" w:type="dxa"/>
            <w:vAlign w:val="bottom"/>
            <w:tcBorders>
              <w:bottom w:val="single" w:sz="8" w:color="808080"/>
            </w:tcBorders>
          </w:tcPr>
          <w:p>
            <w:pPr>
              <w:spacing w:after="0" w:line="20" w:lineRule="exact"/>
              <w:rPr>
                <w:sz w:val="1"/>
                <w:szCs w:val="1"/>
                <w:color w:val="auto"/>
              </w:rPr>
            </w:pPr>
          </w:p>
        </w:tc>
        <w:tc>
          <w:tcPr>
            <w:tcW w:w="960" w:type="dxa"/>
            <w:vAlign w:val="bottom"/>
            <w:tcBorders>
              <w:bottom w:val="single" w:sz="8" w:color="808080"/>
            </w:tcBorders>
          </w:tcPr>
          <w:p>
            <w:pPr>
              <w:spacing w:after="0" w:line="20" w:lineRule="exact"/>
              <w:rPr>
                <w:sz w:val="1"/>
                <w:szCs w:val="1"/>
                <w:color w:val="auto"/>
              </w:rPr>
            </w:pPr>
          </w:p>
        </w:tc>
        <w:tc>
          <w:tcPr>
            <w:tcW w:w="96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2840" w:type="dxa"/>
            <w:vAlign w:val="bottom"/>
            <w:tcBorders>
              <w:bottom w:val="single" w:sz="8" w:color="342C82"/>
            </w:tcBorders>
          </w:tcPr>
          <w:p>
            <w:pPr>
              <w:ind w:left="80"/>
              <w:spacing w:after="0"/>
              <w:rPr>
                <w:sz w:val="20"/>
                <w:szCs w:val="20"/>
                <w:color w:val="auto"/>
              </w:rPr>
            </w:pPr>
            <w:r>
              <w:rPr>
                <w:rFonts w:ascii="Arial" w:cs="Arial" w:eastAsia="Arial" w:hAnsi="Arial"/>
                <w:sz w:val="14"/>
                <w:szCs w:val="14"/>
                <w:b w:val="1"/>
                <w:bCs w:val="1"/>
                <w:color w:val="auto"/>
              </w:rPr>
              <w:t>Total</w:t>
            </w:r>
          </w:p>
        </w:tc>
        <w:tc>
          <w:tcPr>
            <w:tcW w:w="1280" w:type="dxa"/>
            <w:vAlign w:val="bottom"/>
            <w:tcBorders>
              <w:bottom w:val="single" w:sz="8" w:color="342C82"/>
            </w:tcBorders>
          </w:tcPr>
          <w:p>
            <w:pPr>
              <w:jc w:val="right"/>
              <w:ind w:right="230"/>
              <w:spacing w:after="0"/>
              <w:rPr>
                <w:sz w:val="20"/>
                <w:szCs w:val="20"/>
                <w:color w:val="auto"/>
              </w:rPr>
            </w:pPr>
            <w:r>
              <w:rPr>
                <w:rFonts w:ascii="Arial" w:cs="Arial" w:eastAsia="Arial" w:hAnsi="Arial"/>
                <w:sz w:val="14"/>
                <w:szCs w:val="14"/>
                <w:b w:val="1"/>
                <w:bCs w:val="1"/>
                <w:color w:val="auto"/>
              </w:rPr>
              <w:t>2,890,331</w:t>
            </w:r>
          </w:p>
        </w:tc>
        <w:tc>
          <w:tcPr>
            <w:tcW w:w="1060" w:type="dxa"/>
            <w:vAlign w:val="bottom"/>
            <w:tcBorders>
              <w:bottom w:val="single" w:sz="8" w:color="342C82"/>
            </w:tcBorders>
          </w:tcPr>
          <w:p>
            <w:pPr>
              <w:jc w:val="right"/>
              <w:ind w:right="210"/>
              <w:spacing w:after="0"/>
              <w:rPr>
                <w:sz w:val="20"/>
                <w:szCs w:val="20"/>
                <w:color w:val="auto"/>
              </w:rPr>
            </w:pPr>
            <w:r>
              <w:rPr>
                <w:rFonts w:ascii="Arial" w:cs="Arial" w:eastAsia="Arial" w:hAnsi="Arial"/>
                <w:sz w:val="14"/>
                <w:szCs w:val="14"/>
                <w:b w:val="1"/>
                <w:bCs w:val="1"/>
                <w:color w:val="auto"/>
              </w:rPr>
              <w:t>1,186,100</w:t>
            </w:r>
          </w:p>
        </w:tc>
        <w:tc>
          <w:tcPr>
            <w:tcW w:w="980" w:type="dxa"/>
            <w:vAlign w:val="bottom"/>
            <w:tcBorders>
              <w:bottom w:val="single" w:sz="8" w:color="342C82"/>
            </w:tcBorders>
          </w:tcPr>
          <w:p>
            <w:pPr>
              <w:jc w:val="right"/>
              <w:ind w:right="229"/>
              <w:spacing w:after="0"/>
              <w:rPr>
                <w:sz w:val="20"/>
                <w:szCs w:val="20"/>
                <w:color w:val="auto"/>
              </w:rPr>
            </w:pPr>
            <w:r>
              <w:rPr>
                <w:rFonts w:ascii="Arial" w:cs="Arial" w:eastAsia="Arial" w:hAnsi="Arial"/>
                <w:sz w:val="14"/>
                <w:szCs w:val="14"/>
                <w:b w:val="1"/>
                <w:bCs w:val="1"/>
                <w:color w:val="auto"/>
              </w:rPr>
              <w:t>623,765</w:t>
            </w:r>
          </w:p>
        </w:tc>
        <w:tc>
          <w:tcPr>
            <w:tcW w:w="1000" w:type="dxa"/>
            <w:vAlign w:val="bottom"/>
            <w:tcBorders>
              <w:bottom w:val="single" w:sz="8" w:color="342C82"/>
            </w:tcBorders>
          </w:tcPr>
          <w:p>
            <w:pPr>
              <w:ind w:left="760"/>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342C82"/>
            </w:tcBorders>
          </w:tcPr>
          <w:p>
            <w:pPr>
              <w:jc w:val="right"/>
              <w:ind w:right="169"/>
              <w:spacing w:after="0"/>
              <w:rPr>
                <w:sz w:val="20"/>
                <w:szCs w:val="20"/>
                <w:color w:val="auto"/>
              </w:rPr>
            </w:pPr>
            <w:r>
              <w:rPr>
                <w:rFonts w:ascii="Arial" w:cs="Arial" w:eastAsia="Arial" w:hAnsi="Arial"/>
                <w:sz w:val="14"/>
                <w:szCs w:val="14"/>
                <w:b w:val="1"/>
                <w:bCs w:val="1"/>
                <w:color w:val="auto"/>
              </w:rPr>
              <w:t>870,703</w:t>
            </w:r>
          </w:p>
        </w:tc>
        <w:tc>
          <w:tcPr>
            <w:tcW w:w="960" w:type="dxa"/>
            <w:vAlign w:val="bottom"/>
            <w:tcBorders>
              <w:bottom w:val="single" w:sz="8" w:color="342C82"/>
            </w:tcBorders>
          </w:tcPr>
          <w:p>
            <w:pPr>
              <w:jc w:val="right"/>
              <w:ind w:right="169"/>
              <w:spacing w:after="0"/>
              <w:rPr>
                <w:sz w:val="20"/>
                <w:szCs w:val="20"/>
                <w:color w:val="auto"/>
              </w:rPr>
            </w:pPr>
            <w:r>
              <w:rPr>
                <w:rFonts w:ascii="Arial" w:cs="Arial" w:eastAsia="Arial" w:hAnsi="Arial"/>
                <w:sz w:val="14"/>
                <w:szCs w:val="14"/>
                <w:b w:val="1"/>
                <w:bCs w:val="1"/>
                <w:color w:val="auto"/>
              </w:rPr>
              <w:t>870,703</w:t>
            </w:r>
          </w:p>
        </w:tc>
        <w:tc>
          <w:tcPr>
            <w:tcW w:w="0" w:type="dxa"/>
            <w:vAlign w:val="bottom"/>
          </w:tcPr>
          <w:p>
            <w:pPr>
              <w:spacing w:after="0"/>
              <w:rPr>
                <w:sz w:val="1"/>
                <w:szCs w:val="1"/>
                <w:color w:val="auto"/>
              </w:rPr>
            </w:pPr>
          </w:p>
        </w:tc>
      </w:tr>
      <w:tr>
        <w:trPr>
          <w:trHeight w:val="210"/>
        </w:trPr>
        <w:tc>
          <w:tcPr>
            <w:tcW w:w="2840" w:type="dxa"/>
            <w:vAlign w:val="bottom"/>
            <w:tcBorders>
              <w:bottom w:val="single" w:sz="8" w:color="342C82"/>
            </w:tcBorders>
          </w:tcPr>
          <w:p>
            <w:pPr>
              <w:ind w:left="80"/>
              <w:spacing w:after="0"/>
              <w:rPr>
                <w:sz w:val="20"/>
                <w:szCs w:val="20"/>
                <w:color w:val="auto"/>
              </w:rPr>
            </w:pPr>
            <w:r>
              <w:rPr>
                <w:rFonts w:ascii="Arial" w:cs="Arial" w:eastAsia="Arial" w:hAnsi="Arial"/>
                <w:sz w:val="14"/>
                <w:szCs w:val="14"/>
                <w:b w:val="1"/>
                <w:bCs w:val="1"/>
                <w:color w:val="342C82"/>
              </w:rPr>
              <w:t>Jeff Mann</w:t>
            </w:r>
          </w:p>
        </w:tc>
        <w:tc>
          <w:tcPr>
            <w:tcW w:w="1280" w:type="dxa"/>
            <w:vAlign w:val="bottom"/>
            <w:tcBorders>
              <w:bottom w:val="single" w:sz="8" w:color="342C82"/>
            </w:tcBorders>
          </w:tcPr>
          <w:p>
            <w:pPr>
              <w:spacing w:after="0"/>
              <w:rPr>
                <w:sz w:val="18"/>
                <w:szCs w:val="18"/>
                <w:color w:val="auto"/>
              </w:rPr>
            </w:pPr>
          </w:p>
        </w:tc>
        <w:tc>
          <w:tcPr>
            <w:tcW w:w="1060" w:type="dxa"/>
            <w:vAlign w:val="bottom"/>
            <w:tcBorders>
              <w:bottom w:val="single" w:sz="8" w:color="342C82"/>
            </w:tcBorders>
          </w:tcPr>
          <w:p>
            <w:pPr>
              <w:spacing w:after="0"/>
              <w:rPr>
                <w:sz w:val="18"/>
                <w:szCs w:val="18"/>
                <w:color w:val="auto"/>
              </w:rPr>
            </w:pPr>
          </w:p>
        </w:tc>
        <w:tc>
          <w:tcPr>
            <w:tcW w:w="980" w:type="dxa"/>
            <w:vAlign w:val="bottom"/>
            <w:tcBorders>
              <w:bottom w:val="single" w:sz="8" w:color="342C82"/>
            </w:tcBorders>
          </w:tcPr>
          <w:p>
            <w:pPr>
              <w:spacing w:after="0"/>
              <w:rPr>
                <w:sz w:val="18"/>
                <w:szCs w:val="18"/>
                <w:color w:val="auto"/>
              </w:rPr>
            </w:pPr>
          </w:p>
        </w:tc>
        <w:tc>
          <w:tcPr>
            <w:tcW w:w="1000" w:type="dxa"/>
            <w:vAlign w:val="bottom"/>
            <w:tcBorders>
              <w:bottom w:val="single" w:sz="8" w:color="342C82"/>
            </w:tcBorders>
          </w:tcPr>
          <w:p>
            <w:pPr>
              <w:spacing w:after="0"/>
              <w:rPr>
                <w:sz w:val="18"/>
                <w:szCs w:val="18"/>
                <w:color w:val="auto"/>
              </w:rPr>
            </w:pPr>
          </w:p>
        </w:tc>
        <w:tc>
          <w:tcPr>
            <w:tcW w:w="960" w:type="dxa"/>
            <w:vAlign w:val="bottom"/>
            <w:tcBorders>
              <w:bottom w:val="single" w:sz="8" w:color="342C82"/>
            </w:tcBorders>
          </w:tcPr>
          <w:p>
            <w:pPr>
              <w:spacing w:after="0"/>
              <w:rPr>
                <w:sz w:val="18"/>
                <w:szCs w:val="18"/>
                <w:color w:val="auto"/>
              </w:rPr>
            </w:pPr>
          </w:p>
        </w:tc>
        <w:tc>
          <w:tcPr>
            <w:tcW w:w="960" w:type="dxa"/>
            <w:vAlign w:val="bottom"/>
            <w:tcBorders>
              <w:bottom w:val="single" w:sz="8" w:color="342C82"/>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840" w:type="dxa"/>
            <w:vAlign w:val="bottom"/>
            <w:tcBorders>
              <w:bottom w:val="single" w:sz="8" w:color="808080"/>
            </w:tcBorders>
          </w:tcPr>
          <w:p>
            <w:pPr>
              <w:ind w:left="80"/>
              <w:spacing w:after="0" w:line="243" w:lineRule="exact"/>
              <w:rPr>
                <w:sz w:val="20"/>
                <w:szCs w:val="20"/>
                <w:color w:val="auto"/>
              </w:rPr>
            </w:pPr>
            <w:r>
              <w:rPr>
                <w:rFonts w:ascii="Arial" w:cs="Arial" w:eastAsia="Arial" w:hAnsi="Arial"/>
                <w:sz w:val="14"/>
                <w:szCs w:val="14"/>
                <w:color w:val="auto"/>
              </w:rPr>
              <w:t>Severance Payments</w:t>
            </w:r>
            <w:r>
              <w:rPr>
                <w:rFonts w:ascii="Arial" w:cs="Arial" w:eastAsia="Arial" w:hAnsi="Arial"/>
                <w:sz w:val="23"/>
                <w:szCs w:val="23"/>
                <w:color w:val="auto"/>
                <w:vertAlign w:val="superscript"/>
              </w:rPr>
              <w:t>(6)</w:t>
            </w:r>
          </w:p>
        </w:tc>
        <w:tc>
          <w:tcPr>
            <w:tcW w:w="1280" w:type="dxa"/>
            <w:vAlign w:val="bottom"/>
            <w:tcBorders>
              <w:bottom w:val="single" w:sz="8" w:color="808080"/>
            </w:tcBorders>
          </w:tcPr>
          <w:p>
            <w:pPr>
              <w:jc w:val="right"/>
              <w:ind w:right="230"/>
              <w:spacing w:after="0"/>
              <w:rPr>
                <w:sz w:val="20"/>
                <w:szCs w:val="20"/>
                <w:color w:val="auto"/>
              </w:rPr>
            </w:pPr>
            <w:r>
              <w:rPr>
                <w:rFonts w:ascii="Arial" w:cs="Arial" w:eastAsia="Arial" w:hAnsi="Arial"/>
                <w:sz w:val="14"/>
                <w:szCs w:val="14"/>
                <w:color w:val="auto"/>
              </w:rPr>
              <w:t>1,824,000</w:t>
            </w:r>
          </w:p>
        </w:tc>
        <w:tc>
          <w:tcPr>
            <w:tcW w:w="1060" w:type="dxa"/>
            <w:vAlign w:val="bottom"/>
            <w:tcBorders>
              <w:bottom w:val="single" w:sz="8" w:color="808080"/>
            </w:tcBorders>
          </w:tcPr>
          <w:p>
            <w:pPr>
              <w:jc w:val="right"/>
              <w:ind w:right="210"/>
              <w:spacing w:after="0"/>
              <w:rPr>
                <w:sz w:val="20"/>
                <w:szCs w:val="20"/>
                <w:color w:val="auto"/>
              </w:rPr>
            </w:pPr>
            <w:r>
              <w:rPr>
                <w:rFonts w:ascii="Arial" w:cs="Arial" w:eastAsia="Arial" w:hAnsi="Arial"/>
                <w:sz w:val="14"/>
                <w:szCs w:val="14"/>
                <w:color w:val="auto"/>
              </w:rPr>
              <w:t>912,000</w:t>
            </w:r>
          </w:p>
        </w:tc>
        <w:tc>
          <w:tcPr>
            <w:tcW w:w="980" w:type="dxa"/>
            <w:vAlign w:val="bottom"/>
            <w:tcBorders>
              <w:bottom w:val="single" w:sz="8" w:color="808080"/>
            </w:tcBorders>
          </w:tcPr>
          <w:p>
            <w:pPr>
              <w:jc w:val="right"/>
              <w:ind w:right="22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808080"/>
            </w:tcBorders>
          </w:tcPr>
          <w:p>
            <w:pPr>
              <w:ind w:left="76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808080"/>
            </w:tcBorders>
          </w:tcPr>
          <w:p>
            <w:pPr>
              <w:jc w:val="right"/>
              <w:ind w:right="16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808080"/>
            </w:tcBorders>
          </w:tcPr>
          <w:p>
            <w:pPr>
              <w:jc w:val="right"/>
              <w:ind w:right="1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2840" w:type="dxa"/>
            <w:vAlign w:val="bottom"/>
            <w:tcBorders>
              <w:bottom w:val="single" w:sz="8" w:color="808080"/>
            </w:tcBorders>
          </w:tcPr>
          <w:p>
            <w:pPr>
              <w:ind w:left="80"/>
              <w:spacing w:after="0" w:line="250" w:lineRule="exact"/>
              <w:rPr>
                <w:sz w:val="20"/>
                <w:szCs w:val="20"/>
                <w:color w:val="auto"/>
              </w:rPr>
            </w:pPr>
            <w:r>
              <w:rPr>
                <w:rFonts w:ascii="Arial" w:cs="Arial" w:eastAsia="Arial" w:hAnsi="Arial"/>
                <w:sz w:val="14"/>
                <w:szCs w:val="14"/>
                <w:color w:val="auto"/>
              </w:rPr>
              <w:t>Prorated Annual Incentive Payments</w:t>
            </w:r>
            <w:r>
              <w:rPr>
                <w:rFonts w:ascii="Arial" w:cs="Arial" w:eastAsia="Arial" w:hAnsi="Arial"/>
                <w:sz w:val="23"/>
                <w:szCs w:val="23"/>
                <w:color w:val="auto"/>
                <w:vertAlign w:val="superscript"/>
              </w:rPr>
              <w:t>(7)</w:t>
            </w:r>
          </w:p>
        </w:tc>
        <w:tc>
          <w:tcPr>
            <w:tcW w:w="1280" w:type="dxa"/>
            <w:vAlign w:val="bottom"/>
            <w:tcBorders>
              <w:bottom w:val="single" w:sz="8" w:color="808080"/>
            </w:tcBorders>
          </w:tcPr>
          <w:p>
            <w:pPr>
              <w:jc w:val="right"/>
              <w:ind w:right="230"/>
              <w:spacing w:after="0"/>
              <w:rPr>
                <w:sz w:val="20"/>
                <w:szCs w:val="20"/>
                <w:color w:val="auto"/>
              </w:rPr>
            </w:pPr>
            <w:r>
              <w:rPr>
                <w:rFonts w:ascii="Arial" w:cs="Arial" w:eastAsia="Arial" w:hAnsi="Arial"/>
                <w:sz w:val="14"/>
                <w:szCs w:val="14"/>
                <w:color w:val="auto"/>
              </w:rPr>
              <w:t>342,000</w:t>
            </w:r>
          </w:p>
        </w:tc>
        <w:tc>
          <w:tcPr>
            <w:tcW w:w="1060" w:type="dxa"/>
            <w:vAlign w:val="bottom"/>
            <w:tcBorders>
              <w:bottom w:val="single" w:sz="8" w:color="808080"/>
            </w:tcBorders>
          </w:tcPr>
          <w:p>
            <w:pPr>
              <w:jc w:val="right"/>
              <w:ind w:right="210"/>
              <w:spacing w:after="0"/>
              <w:rPr>
                <w:sz w:val="20"/>
                <w:szCs w:val="20"/>
                <w:color w:val="auto"/>
              </w:rPr>
            </w:pPr>
            <w:r>
              <w:rPr>
                <w:rFonts w:ascii="Arial" w:cs="Arial" w:eastAsia="Arial" w:hAnsi="Arial"/>
                <w:sz w:val="14"/>
                <w:szCs w:val="14"/>
                <w:color w:val="auto"/>
              </w:rPr>
              <w:t>342,000</w:t>
            </w:r>
          </w:p>
        </w:tc>
        <w:tc>
          <w:tcPr>
            <w:tcW w:w="980" w:type="dxa"/>
            <w:vAlign w:val="bottom"/>
            <w:tcBorders>
              <w:bottom w:val="single" w:sz="8" w:color="808080"/>
            </w:tcBorders>
          </w:tcPr>
          <w:p>
            <w:pPr>
              <w:jc w:val="right"/>
              <w:ind w:right="22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808080"/>
            </w:tcBorders>
          </w:tcPr>
          <w:p>
            <w:pPr>
              <w:ind w:left="76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808080"/>
            </w:tcBorders>
          </w:tcPr>
          <w:p>
            <w:pPr>
              <w:jc w:val="right"/>
              <w:ind w:right="16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808080"/>
            </w:tcBorders>
          </w:tcPr>
          <w:p>
            <w:pPr>
              <w:jc w:val="right"/>
              <w:ind w:right="1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2840" w:type="dxa"/>
            <w:vAlign w:val="bottom"/>
          </w:tcPr>
          <w:p>
            <w:pPr>
              <w:ind w:left="80"/>
              <w:spacing w:after="0"/>
              <w:rPr>
                <w:sz w:val="20"/>
                <w:szCs w:val="20"/>
                <w:color w:val="auto"/>
              </w:rPr>
            </w:pPr>
            <w:r>
              <w:rPr>
                <w:rFonts w:ascii="Arial" w:cs="Arial" w:eastAsia="Arial" w:hAnsi="Arial"/>
                <w:sz w:val="14"/>
                <w:szCs w:val="14"/>
                <w:color w:val="auto"/>
              </w:rPr>
              <w:t>Health &amp; Welfare Benefits Coverage</w:t>
            </w:r>
          </w:p>
        </w:tc>
        <w:tc>
          <w:tcPr>
            <w:tcW w:w="1280" w:type="dxa"/>
            <w:vAlign w:val="bottom"/>
          </w:tcPr>
          <w:p>
            <w:pPr>
              <w:jc w:val="right"/>
              <w:ind w:right="230"/>
              <w:spacing w:after="0"/>
              <w:rPr>
                <w:sz w:val="20"/>
                <w:szCs w:val="20"/>
                <w:color w:val="auto"/>
              </w:rPr>
            </w:pPr>
            <w:r>
              <w:rPr>
                <w:rFonts w:ascii="Arial" w:cs="Arial" w:eastAsia="Arial" w:hAnsi="Arial"/>
                <w:sz w:val="14"/>
                <w:szCs w:val="14"/>
                <w:color w:val="auto"/>
              </w:rPr>
              <w:t>62,409</w:t>
            </w:r>
          </w:p>
        </w:tc>
        <w:tc>
          <w:tcPr>
            <w:tcW w:w="1060" w:type="dxa"/>
            <w:vAlign w:val="bottom"/>
          </w:tcPr>
          <w:p>
            <w:pPr>
              <w:jc w:val="right"/>
              <w:ind w:right="210"/>
              <w:spacing w:after="0"/>
              <w:rPr>
                <w:sz w:val="20"/>
                <w:szCs w:val="20"/>
                <w:color w:val="auto"/>
              </w:rPr>
            </w:pPr>
            <w:r>
              <w:rPr>
                <w:rFonts w:ascii="Arial" w:cs="Arial" w:eastAsia="Arial" w:hAnsi="Arial"/>
                <w:sz w:val="14"/>
                <w:szCs w:val="14"/>
                <w:color w:val="auto"/>
              </w:rPr>
              <w:t>31,204</w:t>
            </w:r>
          </w:p>
        </w:tc>
        <w:tc>
          <w:tcPr>
            <w:tcW w:w="98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000" w:type="dxa"/>
            <w:vAlign w:val="bottom"/>
          </w:tcPr>
          <w:p>
            <w:pPr>
              <w:ind w:left="76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28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1060" w:type="dxa"/>
            <w:vAlign w:val="bottom"/>
            <w:tcBorders>
              <w:bottom w:val="single" w:sz="8" w:color="808080"/>
            </w:tcBorders>
          </w:tcPr>
          <w:p>
            <w:pPr>
              <w:spacing w:after="0" w:line="20" w:lineRule="exact"/>
              <w:rPr>
                <w:sz w:val="1"/>
                <w:szCs w:val="1"/>
                <w:color w:val="auto"/>
              </w:rPr>
            </w:pPr>
          </w:p>
        </w:tc>
        <w:tc>
          <w:tcPr>
            <w:tcW w:w="980" w:type="dxa"/>
            <w:vAlign w:val="bottom"/>
            <w:tcBorders>
              <w:bottom w:val="single" w:sz="8" w:color="808080"/>
            </w:tcBorders>
          </w:tcPr>
          <w:p>
            <w:pPr>
              <w:spacing w:after="0" w:line="20" w:lineRule="exact"/>
              <w:rPr>
                <w:sz w:val="1"/>
                <w:szCs w:val="1"/>
                <w:color w:val="auto"/>
              </w:rPr>
            </w:pPr>
          </w:p>
        </w:tc>
        <w:tc>
          <w:tcPr>
            <w:tcW w:w="1000" w:type="dxa"/>
            <w:vAlign w:val="bottom"/>
            <w:tcBorders>
              <w:bottom w:val="single" w:sz="8" w:color="808080"/>
            </w:tcBorders>
          </w:tcPr>
          <w:p>
            <w:pPr>
              <w:spacing w:after="0" w:line="20" w:lineRule="exact"/>
              <w:rPr>
                <w:sz w:val="1"/>
                <w:szCs w:val="1"/>
                <w:color w:val="auto"/>
              </w:rPr>
            </w:pPr>
          </w:p>
        </w:tc>
        <w:tc>
          <w:tcPr>
            <w:tcW w:w="960" w:type="dxa"/>
            <w:vAlign w:val="bottom"/>
            <w:tcBorders>
              <w:bottom w:val="single" w:sz="8" w:color="808080"/>
            </w:tcBorders>
          </w:tcPr>
          <w:p>
            <w:pPr>
              <w:spacing w:after="0" w:line="20" w:lineRule="exact"/>
              <w:rPr>
                <w:sz w:val="1"/>
                <w:szCs w:val="1"/>
                <w:color w:val="auto"/>
              </w:rPr>
            </w:pPr>
          </w:p>
        </w:tc>
        <w:tc>
          <w:tcPr>
            <w:tcW w:w="96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840" w:type="dxa"/>
            <w:vAlign w:val="bottom"/>
          </w:tcPr>
          <w:p>
            <w:pPr>
              <w:ind w:left="80"/>
              <w:spacing w:after="0"/>
              <w:rPr>
                <w:sz w:val="20"/>
                <w:szCs w:val="20"/>
                <w:color w:val="auto"/>
              </w:rPr>
            </w:pPr>
            <w:r>
              <w:rPr>
                <w:rFonts w:ascii="Arial" w:cs="Arial" w:eastAsia="Arial" w:hAnsi="Arial"/>
                <w:sz w:val="14"/>
                <w:szCs w:val="14"/>
                <w:color w:val="auto"/>
              </w:rPr>
              <w:t>Accelerated Vesting of Equity Awards</w:t>
            </w:r>
          </w:p>
        </w:tc>
        <w:tc>
          <w:tcPr>
            <w:tcW w:w="1280" w:type="dxa"/>
            <w:vAlign w:val="bottom"/>
          </w:tcPr>
          <w:p>
            <w:pPr>
              <w:jc w:val="right"/>
              <w:ind w:right="230"/>
              <w:spacing w:after="0"/>
              <w:rPr>
                <w:sz w:val="20"/>
                <w:szCs w:val="20"/>
                <w:color w:val="auto"/>
              </w:rPr>
            </w:pPr>
            <w:r>
              <w:rPr>
                <w:rFonts w:ascii="Arial" w:cs="Arial" w:eastAsia="Arial" w:hAnsi="Arial"/>
                <w:sz w:val="14"/>
                <w:szCs w:val="14"/>
                <w:color w:val="auto"/>
              </w:rPr>
              <w:t>2,125,913</w:t>
            </w:r>
          </w:p>
        </w:tc>
        <w:tc>
          <w:tcPr>
            <w:tcW w:w="106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000" w:type="dxa"/>
            <w:vAlign w:val="bottom"/>
          </w:tcPr>
          <w:p>
            <w:pPr>
              <w:ind w:left="76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69"/>
              <w:spacing w:after="0"/>
              <w:rPr>
                <w:sz w:val="20"/>
                <w:szCs w:val="20"/>
                <w:color w:val="auto"/>
              </w:rPr>
            </w:pPr>
            <w:r>
              <w:rPr>
                <w:rFonts w:ascii="Arial" w:cs="Arial" w:eastAsia="Arial" w:hAnsi="Arial"/>
                <w:sz w:val="14"/>
                <w:szCs w:val="14"/>
                <w:color w:val="auto"/>
              </w:rPr>
              <w:t>2,125,913</w:t>
            </w:r>
          </w:p>
        </w:tc>
        <w:tc>
          <w:tcPr>
            <w:tcW w:w="960" w:type="dxa"/>
            <w:vAlign w:val="bottom"/>
          </w:tcPr>
          <w:p>
            <w:pPr>
              <w:jc w:val="right"/>
              <w:ind w:right="189"/>
              <w:spacing w:after="0"/>
              <w:rPr>
                <w:sz w:val="20"/>
                <w:szCs w:val="20"/>
                <w:color w:val="auto"/>
              </w:rPr>
            </w:pPr>
            <w:r>
              <w:rPr>
                <w:rFonts w:ascii="Arial" w:cs="Arial" w:eastAsia="Arial" w:hAnsi="Arial"/>
                <w:sz w:val="14"/>
                <w:szCs w:val="14"/>
                <w:color w:val="auto"/>
              </w:rPr>
              <w:t>2,125,913</w:t>
            </w:r>
          </w:p>
        </w:tc>
        <w:tc>
          <w:tcPr>
            <w:tcW w:w="0" w:type="dxa"/>
            <w:vAlign w:val="bottom"/>
          </w:tcPr>
          <w:p>
            <w:pPr>
              <w:spacing w:after="0"/>
              <w:rPr>
                <w:sz w:val="1"/>
                <w:szCs w:val="1"/>
                <w:color w:val="auto"/>
              </w:rPr>
            </w:pPr>
          </w:p>
        </w:tc>
      </w:tr>
      <w:tr>
        <w:trPr>
          <w:trHeight w:val="22"/>
        </w:trPr>
        <w:tc>
          <w:tcPr>
            <w:tcW w:w="28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1060" w:type="dxa"/>
            <w:vAlign w:val="bottom"/>
            <w:tcBorders>
              <w:bottom w:val="single" w:sz="8" w:color="808080"/>
            </w:tcBorders>
          </w:tcPr>
          <w:p>
            <w:pPr>
              <w:spacing w:after="0" w:line="20" w:lineRule="exact"/>
              <w:rPr>
                <w:sz w:val="1"/>
                <w:szCs w:val="1"/>
                <w:color w:val="auto"/>
              </w:rPr>
            </w:pPr>
          </w:p>
        </w:tc>
        <w:tc>
          <w:tcPr>
            <w:tcW w:w="980" w:type="dxa"/>
            <w:vAlign w:val="bottom"/>
            <w:tcBorders>
              <w:bottom w:val="single" w:sz="8" w:color="808080"/>
            </w:tcBorders>
          </w:tcPr>
          <w:p>
            <w:pPr>
              <w:spacing w:after="0" w:line="20" w:lineRule="exact"/>
              <w:rPr>
                <w:sz w:val="1"/>
                <w:szCs w:val="1"/>
                <w:color w:val="auto"/>
              </w:rPr>
            </w:pPr>
          </w:p>
        </w:tc>
        <w:tc>
          <w:tcPr>
            <w:tcW w:w="1000" w:type="dxa"/>
            <w:vAlign w:val="bottom"/>
            <w:tcBorders>
              <w:bottom w:val="single" w:sz="8" w:color="808080"/>
            </w:tcBorders>
          </w:tcPr>
          <w:p>
            <w:pPr>
              <w:spacing w:after="0" w:line="20" w:lineRule="exact"/>
              <w:rPr>
                <w:sz w:val="1"/>
                <w:szCs w:val="1"/>
                <w:color w:val="auto"/>
              </w:rPr>
            </w:pPr>
          </w:p>
        </w:tc>
        <w:tc>
          <w:tcPr>
            <w:tcW w:w="960" w:type="dxa"/>
            <w:vAlign w:val="bottom"/>
            <w:tcBorders>
              <w:bottom w:val="single" w:sz="8" w:color="808080"/>
            </w:tcBorders>
          </w:tcPr>
          <w:p>
            <w:pPr>
              <w:spacing w:after="0" w:line="20" w:lineRule="exact"/>
              <w:rPr>
                <w:sz w:val="1"/>
                <w:szCs w:val="1"/>
                <w:color w:val="auto"/>
              </w:rPr>
            </w:pPr>
          </w:p>
        </w:tc>
        <w:tc>
          <w:tcPr>
            <w:tcW w:w="96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840" w:type="dxa"/>
            <w:vAlign w:val="bottom"/>
          </w:tcPr>
          <w:p>
            <w:pPr>
              <w:ind w:left="80"/>
              <w:spacing w:after="0"/>
              <w:rPr>
                <w:sz w:val="20"/>
                <w:szCs w:val="20"/>
                <w:color w:val="auto"/>
              </w:rPr>
            </w:pPr>
            <w:r>
              <w:rPr>
                <w:rFonts w:ascii="Arial" w:cs="Arial" w:eastAsia="Arial" w:hAnsi="Arial"/>
                <w:sz w:val="14"/>
                <w:szCs w:val="14"/>
                <w:color w:val="auto"/>
              </w:rPr>
              <w:t>Outplacement Expenses</w:t>
            </w:r>
          </w:p>
        </w:tc>
        <w:tc>
          <w:tcPr>
            <w:tcW w:w="1280" w:type="dxa"/>
            <w:vAlign w:val="bottom"/>
          </w:tcPr>
          <w:p>
            <w:pPr>
              <w:jc w:val="right"/>
              <w:ind w:right="230"/>
              <w:spacing w:after="0"/>
              <w:rPr>
                <w:sz w:val="20"/>
                <w:szCs w:val="20"/>
                <w:color w:val="auto"/>
              </w:rPr>
            </w:pPr>
            <w:r>
              <w:rPr>
                <w:rFonts w:ascii="Arial" w:cs="Arial" w:eastAsia="Arial" w:hAnsi="Arial"/>
                <w:sz w:val="14"/>
                <w:szCs w:val="14"/>
                <w:color w:val="auto"/>
              </w:rPr>
              <w:t>40,000</w:t>
            </w:r>
          </w:p>
        </w:tc>
        <w:tc>
          <w:tcPr>
            <w:tcW w:w="1060" w:type="dxa"/>
            <w:vAlign w:val="bottom"/>
          </w:tcPr>
          <w:p>
            <w:pPr>
              <w:jc w:val="right"/>
              <w:ind w:right="210"/>
              <w:spacing w:after="0"/>
              <w:rPr>
                <w:sz w:val="20"/>
                <w:szCs w:val="20"/>
                <w:color w:val="auto"/>
              </w:rPr>
            </w:pPr>
            <w:r>
              <w:rPr>
                <w:rFonts w:ascii="Arial" w:cs="Arial" w:eastAsia="Arial" w:hAnsi="Arial"/>
                <w:sz w:val="14"/>
                <w:szCs w:val="14"/>
                <w:color w:val="auto"/>
              </w:rPr>
              <w:t>40,000</w:t>
            </w:r>
          </w:p>
        </w:tc>
        <w:tc>
          <w:tcPr>
            <w:tcW w:w="98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000" w:type="dxa"/>
            <w:vAlign w:val="bottom"/>
          </w:tcPr>
          <w:p>
            <w:pPr>
              <w:ind w:left="76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28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1060" w:type="dxa"/>
            <w:vAlign w:val="bottom"/>
            <w:tcBorders>
              <w:bottom w:val="single" w:sz="8" w:color="808080"/>
            </w:tcBorders>
          </w:tcPr>
          <w:p>
            <w:pPr>
              <w:spacing w:after="0" w:line="20" w:lineRule="exact"/>
              <w:rPr>
                <w:sz w:val="1"/>
                <w:szCs w:val="1"/>
                <w:color w:val="auto"/>
              </w:rPr>
            </w:pPr>
          </w:p>
        </w:tc>
        <w:tc>
          <w:tcPr>
            <w:tcW w:w="980" w:type="dxa"/>
            <w:vAlign w:val="bottom"/>
            <w:tcBorders>
              <w:bottom w:val="single" w:sz="8" w:color="808080"/>
            </w:tcBorders>
          </w:tcPr>
          <w:p>
            <w:pPr>
              <w:spacing w:after="0" w:line="20" w:lineRule="exact"/>
              <w:rPr>
                <w:sz w:val="1"/>
                <w:szCs w:val="1"/>
                <w:color w:val="auto"/>
              </w:rPr>
            </w:pPr>
          </w:p>
        </w:tc>
        <w:tc>
          <w:tcPr>
            <w:tcW w:w="1000" w:type="dxa"/>
            <w:vAlign w:val="bottom"/>
            <w:tcBorders>
              <w:bottom w:val="single" w:sz="8" w:color="808080"/>
            </w:tcBorders>
          </w:tcPr>
          <w:p>
            <w:pPr>
              <w:spacing w:after="0" w:line="20" w:lineRule="exact"/>
              <w:rPr>
                <w:sz w:val="1"/>
                <w:szCs w:val="1"/>
                <w:color w:val="auto"/>
              </w:rPr>
            </w:pPr>
          </w:p>
        </w:tc>
        <w:tc>
          <w:tcPr>
            <w:tcW w:w="960" w:type="dxa"/>
            <w:vAlign w:val="bottom"/>
            <w:tcBorders>
              <w:bottom w:val="single" w:sz="8" w:color="808080"/>
            </w:tcBorders>
          </w:tcPr>
          <w:p>
            <w:pPr>
              <w:spacing w:after="0" w:line="20" w:lineRule="exact"/>
              <w:rPr>
                <w:sz w:val="1"/>
                <w:szCs w:val="1"/>
                <w:color w:val="auto"/>
              </w:rPr>
            </w:pPr>
          </w:p>
        </w:tc>
        <w:tc>
          <w:tcPr>
            <w:tcW w:w="96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840" w:type="dxa"/>
            <w:vAlign w:val="bottom"/>
            <w:tcBorders>
              <w:bottom w:val="single" w:sz="8" w:color="342C82"/>
            </w:tcBorders>
          </w:tcPr>
          <w:p>
            <w:pPr>
              <w:ind w:left="80"/>
              <w:spacing w:after="0"/>
              <w:rPr>
                <w:sz w:val="20"/>
                <w:szCs w:val="20"/>
                <w:color w:val="auto"/>
              </w:rPr>
            </w:pPr>
            <w:r>
              <w:rPr>
                <w:rFonts w:ascii="Arial" w:cs="Arial" w:eastAsia="Arial" w:hAnsi="Arial"/>
                <w:sz w:val="14"/>
                <w:szCs w:val="14"/>
                <w:b w:val="1"/>
                <w:bCs w:val="1"/>
                <w:color w:val="auto"/>
              </w:rPr>
              <w:t>Total</w:t>
            </w:r>
          </w:p>
        </w:tc>
        <w:tc>
          <w:tcPr>
            <w:tcW w:w="1280" w:type="dxa"/>
            <w:vAlign w:val="bottom"/>
            <w:tcBorders>
              <w:bottom w:val="single" w:sz="8" w:color="342C82"/>
            </w:tcBorders>
          </w:tcPr>
          <w:p>
            <w:pPr>
              <w:jc w:val="right"/>
              <w:ind w:right="230"/>
              <w:spacing w:after="0"/>
              <w:rPr>
                <w:sz w:val="20"/>
                <w:szCs w:val="20"/>
                <w:color w:val="auto"/>
              </w:rPr>
            </w:pPr>
            <w:r>
              <w:rPr>
                <w:rFonts w:ascii="Arial" w:cs="Arial" w:eastAsia="Arial" w:hAnsi="Arial"/>
                <w:sz w:val="14"/>
                <w:szCs w:val="14"/>
                <w:b w:val="1"/>
                <w:bCs w:val="1"/>
                <w:color w:val="auto"/>
              </w:rPr>
              <w:t>4,394,322</w:t>
            </w:r>
          </w:p>
        </w:tc>
        <w:tc>
          <w:tcPr>
            <w:tcW w:w="1060" w:type="dxa"/>
            <w:vAlign w:val="bottom"/>
            <w:tcBorders>
              <w:bottom w:val="single" w:sz="8" w:color="342C82"/>
            </w:tcBorders>
          </w:tcPr>
          <w:p>
            <w:pPr>
              <w:jc w:val="right"/>
              <w:ind w:right="210"/>
              <w:spacing w:after="0"/>
              <w:rPr>
                <w:sz w:val="20"/>
                <w:szCs w:val="20"/>
                <w:color w:val="auto"/>
              </w:rPr>
            </w:pPr>
            <w:r>
              <w:rPr>
                <w:rFonts w:ascii="Arial" w:cs="Arial" w:eastAsia="Arial" w:hAnsi="Arial"/>
                <w:sz w:val="14"/>
                <w:szCs w:val="14"/>
                <w:b w:val="1"/>
                <w:bCs w:val="1"/>
                <w:color w:val="auto"/>
              </w:rPr>
              <w:t>1,325,204</w:t>
            </w:r>
          </w:p>
        </w:tc>
        <w:tc>
          <w:tcPr>
            <w:tcW w:w="980" w:type="dxa"/>
            <w:vAlign w:val="bottom"/>
            <w:tcBorders>
              <w:bottom w:val="single" w:sz="8" w:color="342C82"/>
            </w:tcBorders>
          </w:tcPr>
          <w:p>
            <w:pPr>
              <w:jc w:val="right"/>
              <w:ind w:right="229"/>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342C82"/>
            </w:tcBorders>
          </w:tcPr>
          <w:p>
            <w:pPr>
              <w:ind w:left="760"/>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342C82"/>
            </w:tcBorders>
          </w:tcPr>
          <w:p>
            <w:pPr>
              <w:jc w:val="right"/>
              <w:ind w:right="169"/>
              <w:spacing w:after="0"/>
              <w:rPr>
                <w:sz w:val="20"/>
                <w:szCs w:val="20"/>
                <w:color w:val="auto"/>
              </w:rPr>
            </w:pPr>
            <w:r>
              <w:rPr>
                <w:rFonts w:ascii="Arial" w:cs="Arial" w:eastAsia="Arial" w:hAnsi="Arial"/>
                <w:sz w:val="14"/>
                <w:szCs w:val="14"/>
                <w:b w:val="1"/>
                <w:bCs w:val="1"/>
                <w:color w:val="auto"/>
              </w:rPr>
              <w:t>2,125,913</w:t>
            </w:r>
          </w:p>
        </w:tc>
        <w:tc>
          <w:tcPr>
            <w:tcW w:w="960" w:type="dxa"/>
            <w:vAlign w:val="bottom"/>
            <w:tcBorders>
              <w:bottom w:val="single" w:sz="8" w:color="342C82"/>
            </w:tcBorders>
          </w:tcPr>
          <w:p>
            <w:pPr>
              <w:jc w:val="right"/>
              <w:ind w:right="189"/>
              <w:spacing w:after="0"/>
              <w:rPr>
                <w:sz w:val="20"/>
                <w:szCs w:val="20"/>
                <w:color w:val="auto"/>
              </w:rPr>
            </w:pPr>
            <w:r>
              <w:rPr>
                <w:rFonts w:ascii="Arial" w:cs="Arial" w:eastAsia="Arial" w:hAnsi="Arial"/>
                <w:sz w:val="14"/>
                <w:szCs w:val="14"/>
                <w:b w:val="1"/>
                <w:bCs w:val="1"/>
                <w:color w:val="auto"/>
              </w:rPr>
              <w:t>2,125,913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132080</wp:posOffset>
            </wp:positionV>
            <wp:extent cx="699516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114" w:right="14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900" w:type="dxa"/>
            <w:vAlign w:val="bottom"/>
            <w:gridSpan w:val="4"/>
          </w:tcPr>
          <w:p>
            <w:pPr>
              <w:jc w:val="right"/>
              <w:ind w:right="250"/>
              <w:spacing w:after="0"/>
              <w:rPr>
                <w:sz w:val="20"/>
                <w:szCs w:val="20"/>
                <w:color w:val="auto"/>
              </w:rPr>
            </w:pPr>
            <w:r>
              <w:rPr>
                <w:rFonts w:ascii="Arial" w:cs="Arial" w:eastAsia="Arial" w:hAnsi="Arial"/>
                <w:sz w:val="16"/>
                <w:szCs w:val="16"/>
                <w:color w:val="342C82"/>
              </w:rPr>
              <w:t>Compensation of named executive officers</w:t>
            </w:r>
          </w:p>
        </w:tc>
        <w:tc>
          <w:tcPr>
            <w:tcW w:w="0" w:type="dxa"/>
            <w:vAlign w:val="bottom"/>
          </w:tcPr>
          <w:p>
            <w:pPr>
              <w:spacing w:after="0"/>
              <w:rPr>
                <w:sz w:val="1"/>
                <w:szCs w:val="1"/>
                <w:color w:val="auto"/>
              </w:rPr>
            </w:pPr>
          </w:p>
        </w:tc>
      </w:tr>
      <w:tr>
        <w:trPr>
          <w:trHeight w:val="241"/>
        </w:trPr>
        <w:tc>
          <w:tcPr>
            <w:tcW w:w="2840" w:type="dxa"/>
            <w:vAlign w:val="bottom"/>
          </w:tcPr>
          <w:p>
            <w:pPr>
              <w:spacing w:after="0"/>
              <w:rPr>
                <w:sz w:val="20"/>
                <w:szCs w:val="20"/>
                <w:color w:val="auto"/>
              </w:rPr>
            </w:pPr>
          </w:p>
        </w:tc>
        <w:tc>
          <w:tcPr>
            <w:tcW w:w="1240" w:type="dxa"/>
            <w:vAlign w:val="bottom"/>
          </w:tcPr>
          <w:p>
            <w:pPr>
              <w:jc w:val="right"/>
              <w:ind w:right="33"/>
              <w:spacing w:after="0"/>
              <w:rPr>
                <w:sz w:val="20"/>
                <w:szCs w:val="20"/>
                <w:color w:val="auto"/>
              </w:rPr>
            </w:pPr>
            <w:r>
              <w:rPr>
                <w:rFonts w:ascii="Arial" w:cs="Arial" w:eastAsia="Arial" w:hAnsi="Arial"/>
                <w:sz w:val="13"/>
                <w:szCs w:val="13"/>
                <w:b w:val="1"/>
                <w:bCs w:val="1"/>
                <w:color w:val="auto"/>
              </w:rPr>
              <w:t>Termination</w:t>
            </w:r>
          </w:p>
        </w:tc>
        <w:tc>
          <w:tcPr>
            <w:tcW w:w="1100" w:type="dxa"/>
            <w:vAlign w:val="bottom"/>
          </w:tcPr>
          <w:p>
            <w:pPr>
              <w:jc w:val="right"/>
              <w:ind w:right="73"/>
              <w:spacing w:after="0"/>
              <w:rPr>
                <w:sz w:val="20"/>
                <w:szCs w:val="20"/>
                <w:color w:val="auto"/>
              </w:rPr>
            </w:pPr>
            <w:r>
              <w:rPr>
                <w:rFonts w:ascii="Arial" w:cs="Arial" w:eastAsia="Arial" w:hAnsi="Arial"/>
                <w:sz w:val="13"/>
                <w:szCs w:val="13"/>
                <w:b w:val="1"/>
                <w:bCs w:val="1"/>
                <w:color w:val="auto"/>
              </w:rPr>
              <w:t>Termination</w:t>
            </w:r>
          </w:p>
        </w:tc>
        <w:tc>
          <w:tcPr>
            <w:tcW w:w="9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2840" w:type="dxa"/>
            <w:vAlign w:val="bottom"/>
          </w:tcPr>
          <w:p>
            <w:pPr>
              <w:spacing w:after="0"/>
              <w:rPr>
                <w:sz w:val="11"/>
                <w:szCs w:val="11"/>
                <w:color w:val="auto"/>
              </w:rPr>
            </w:pPr>
          </w:p>
        </w:tc>
        <w:tc>
          <w:tcPr>
            <w:tcW w:w="1240" w:type="dxa"/>
            <w:vAlign w:val="bottom"/>
          </w:tcPr>
          <w:p>
            <w:pPr>
              <w:jc w:val="right"/>
              <w:ind w:right="33"/>
              <w:spacing w:after="0" w:line="135" w:lineRule="exact"/>
              <w:rPr>
                <w:sz w:val="20"/>
                <w:szCs w:val="20"/>
                <w:color w:val="auto"/>
              </w:rPr>
            </w:pPr>
            <w:r>
              <w:rPr>
                <w:rFonts w:ascii="Arial" w:cs="Arial" w:eastAsia="Arial" w:hAnsi="Arial"/>
                <w:sz w:val="13"/>
                <w:szCs w:val="13"/>
                <w:b w:val="1"/>
                <w:bCs w:val="1"/>
                <w:color w:val="auto"/>
              </w:rPr>
              <w:t>without</w:t>
            </w:r>
          </w:p>
        </w:tc>
        <w:tc>
          <w:tcPr>
            <w:tcW w:w="1100" w:type="dxa"/>
            <w:vAlign w:val="bottom"/>
          </w:tcPr>
          <w:p>
            <w:pPr>
              <w:jc w:val="right"/>
              <w:ind w:right="73"/>
              <w:spacing w:after="0" w:line="135" w:lineRule="exact"/>
              <w:rPr>
                <w:sz w:val="20"/>
                <w:szCs w:val="20"/>
                <w:color w:val="auto"/>
              </w:rPr>
            </w:pPr>
            <w:r>
              <w:rPr>
                <w:rFonts w:ascii="Arial" w:cs="Arial" w:eastAsia="Arial" w:hAnsi="Arial"/>
                <w:sz w:val="13"/>
                <w:szCs w:val="13"/>
                <w:b w:val="1"/>
                <w:bCs w:val="1"/>
                <w:color w:val="auto"/>
              </w:rPr>
              <w:t>without</w:t>
            </w:r>
          </w:p>
        </w:tc>
        <w:tc>
          <w:tcPr>
            <w:tcW w:w="980" w:type="dxa"/>
            <w:vAlign w:val="bottom"/>
          </w:tcPr>
          <w:p>
            <w:pPr>
              <w:spacing w:after="0"/>
              <w:rPr>
                <w:sz w:val="11"/>
                <w:szCs w:val="11"/>
                <w:color w:val="auto"/>
              </w:rPr>
            </w:pPr>
          </w:p>
        </w:tc>
        <w:tc>
          <w:tcPr>
            <w:tcW w:w="1000" w:type="dxa"/>
            <w:vAlign w:val="bottom"/>
            <w:vMerge w:val="restart"/>
          </w:tcPr>
          <w:p>
            <w:pPr>
              <w:jc w:val="right"/>
              <w:ind w:right="32"/>
              <w:spacing w:after="0"/>
              <w:rPr>
                <w:sz w:val="20"/>
                <w:szCs w:val="20"/>
                <w:color w:val="auto"/>
              </w:rPr>
            </w:pPr>
            <w:r>
              <w:rPr>
                <w:rFonts w:ascii="Arial" w:cs="Arial" w:eastAsia="Arial" w:hAnsi="Arial"/>
                <w:sz w:val="13"/>
                <w:szCs w:val="13"/>
                <w:b w:val="1"/>
                <w:bCs w:val="1"/>
                <w:color w:val="auto"/>
              </w:rPr>
              <w:t>Voluntary</w:t>
            </w:r>
          </w:p>
        </w:tc>
        <w:tc>
          <w:tcPr>
            <w:tcW w:w="9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40" w:type="dxa"/>
            <w:vAlign w:val="bottom"/>
          </w:tcPr>
          <w:p>
            <w:pPr>
              <w:spacing w:after="0"/>
              <w:rPr>
                <w:sz w:val="11"/>
                <w:szCs w:val="11"/>
                <w:color w:val="auto"/>
              </w:rPr>
            </w:pPr>
          </w:p>
        </w:tc>
        <w:tc>
          <w:tcPr>
            <w:tcW w:w="1240" w:type="dxa"/>
            <w:vAlign w:val="bottom"/>
          </w:tcPr>
          <w:p>
            <w:pPr>
              <w:jc w:val="right"/>
              <w:ind w:right="33"/>
              <w:spacing w:after="0" w:line="135" w:lineRule="exact"/>
              <w:rPr>
                <w:sz w:val="20"/>
                <w:szCs w:val="20"/>
                <w:color w:val="auto"/>
              </w:rPr>
            </w:pPr>
            <w:r>
              <w:rPr>
                <w:rFonts w:ascii="Arial" w:cs="Arial" w:eastAsia="Arial" w:hAnsi="Arial"/>
                <w:sz w:val="13"/>
                <w:szCs w:val="13"/>
                <w:b w:val="1"/>
                <w:bCs w:val="1"/>
                <w:color w:val="auto"/>
              </w:rPr>
              <w:t>Cause or for</w:t>
            </w:r>
          </w:p>
        </w:tc>
        <w:tc>
          <w:tcPr>
            <w:tcW w:w="1100" w:type="dxa"/>
            <w:vAlign w:val="bottom"/>
          </w:tcPr>
          <w:p>
            <w:pPr>
              <w:jc w:val="right"/>
              <w:ind w:right="73"/>
              <w:spacing w:after="0" w:line="135" w:lineRule="exact"/>
              <w:rPr>
                <w:sz w:val="20"/>
                <w:szCs w:val="20"/>
                <w:color w:val="auto"/>
              </w:rPr>
            </w:pPr>
            <w:r>
              <w:rPr>
                <w:rFonts w:ascii="Arial" w:cs="Arial" w:eastAsia="Arial" w:hAnsi="Arial"/>
                <w:sz w:val="13"/>
                <w:szCs w:val="13"/>
                <w:b w:val="1"/>
                <w:bCs w:val="1"/>
                <w:color w:val="auto"/>
              </w:rPr>
              <w:t>Cause or for</w:t>
            </w:r>
          </w:p>
        </w:tc>
        <w:tc>
          <w:tcPr>
            <w:tcW w:w="98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9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40" w:type="dxa"/>
            <w:vAlign w:val="bottom"/>
          </w:tcPr>
          <w:p>
            <w:pPr>
              <w:spacing w:after="0"/>
              <w:rPr>
                <w:sz w:val="11"/>
                <w:szCs w:val="11"/>
                <w:color w:val="auto"/>
              </w:rPr>
            </w:pPr>
          </w:p>
        </w:tc>
        <w:tc>
          <w:tcPr>
            <w:tcW w:w="1240" w:type="dxa"/>
            <w:vAlign w:val="bottom"/>
          </w:tcPr>
          <w:p>
            <w:pPr>
              <w:jc w:val="right"/>
              <w:ind w:right="33"/>
              <w:spacing w:after="0" w:line="135" w:lineRule="exact"/>
              <w:rPr>
                <w:sz w:val="20"/>
                <w:szCs w:val="20"/>
                <w:color w:val="auto"/>
              </w:rPr>
            </w:pPr>
            <w:r>
              <w:rPr>
                <w:rFonts w:ascii="Arial" w:cs="Arial" w:eastAsia="Arial" w:hAnsi="Arial"/>
                <w:sz w:val="13"/>
                <w:szCs w:val="13"/>
                <w:b w:val="1"/>
                <w:bCs w:val="1"/>
                <w:color w:val="auto"/>
              </w:rPr>
              <w:t>Good Reason</w:t>
            </w:r>
          </w:p>
        </w:tc>
        <w:tc>
          <w:tcPr>
            <w:tcW w:w="1100" w:type="dxa"/>
            <w:vAlign w:val="bottom"/>
          </w:tcPr>
          <w:p>
            <w:pPr>
              <w:jc w:val="right"/>
              <w:ind w:right="73"/>
              <w:spacing w:after="0" w:line="135" w:lineRule="exact"/>
              <w:rPr>
                <w:sz w:val="20"/>
                <w:szCs w:val="20"/>
                <w:color w:val="auto"/>
              </w:rPr>
            </w:pPr>
            <w:r>
              <w:rPr>
                <w:rFonts w:ascii="Arial" w:cs="Arial" w:eastAsia="Arial" w:hAnsi="Arial"/>
                <w:sz w:val="13"/>
                <w:szCs w:val="13"/>
                <w:b w:val="1"/>
                <w:bCs w:val="1"/>
                <w:color w:val="auto"/>
              </w:rPr>
              <w:t>Good Reason</w:t>
            </w:r>
          </w:p>
        </w:tc>
        <w:tc>
          <w:tcPr>
            <w:tcW w:w="98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Termination/</w:t>
            </w:r>
          </w:p>
        </w:tc>
        <w:tc>
          <w:tcPr>
            <w:tcW w:w="9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40" w:type="dxa"/>
            <w:vAlign w:val="bottom"/>
          </w:tcPr>
          <w:p>
            <w:pPr>
              <w:spacing w:after="0"/>
              <w:rPr>
                <w:sz w:val="11"/>
                <w:szCs w:val="11"/>
                <w:color w:val="auto"/>
              </w:rPr>
            </w:pPr>
          </w:p>
        </w:tc>
        <w:tc>
          <w:tcPr>
            <w:tcW w:w="1240" w:type="dxa"/>
            <w:vAlign w:val="bottom"/>
          </w:tcPr>
          <w:p>
            <w:pPr>
              <w:jc w:val="right"/>
              <w:ind w:right="33"/>
              <w:spacing w:after="0" w:line="135" w:lineRule="exact"/>
              <w:rPr>
                <w:sz w:val="20"/>
                <w:szCs w:val="20"/>
                <w:color w:val="auto"/>
              </w:rPr>
            </w:pPr>
            <w:r>
              <w:rPr>
                <w:rFonts w:ascii="Arial" w:cs="Arial" w:eastAsia="Arial" w:hAnsi="Arial"/>
                <w:sz w:val="13"/>
                <w:szCs w:val="13"/>
                <w:b w:val="1"/>
                <w:bCs w:val="1"/>
                <w:color w:val="auto"/>
              </w:rPr>
              <w:t>Following</w:t>
            </w:r>
          </w:p>
        </w:tc>
        <w:tc>
          <w:tcPr>
            <w:tcW w:w="1100" w:type="dxa"/>
            <w:vAlign w:val="bottom"/>
          </w:tcPr>
          <w:p>
            <w:pPr>
              <w:jc w:val="right"/>
              <w:ind w:right="73"/>
              <w:spacing w:after="0" w:line="135" w:lineRule="exact"/>
              <w:rPr>
                <w:sz w:val="20"/>
                <w:szCs w:val="20"/>
                <w:color w:val="auto"/>
              </w:rPr>
            </w:pPr>
            <w:r>
              <w:rPr>
                <w:rFonts w:ascii="Arial" w:cs="Arial" w:eastAsia="Arial" w:hAnsi="Arial"/>
                <w:sz w:val="13"/>
                <w:szCs w:val="13"/>
                <w:b w:val="1"/>
                <w:bCs w:val="1"/>
                <w:color w:val="auto"/>
              </w:rPr>
              <w:t>Outside of a</w:t>
            </w:r>
          </w:p>
        </w:tc>
        <w:tc>
          <w:tcPr>
            <w:tcW w:w="980" w:type="dxa"/>
            <w:vAlign w:val="bottom"/>
            <w:vMerge w:val="restart"/>
          </w:tcPr>
          <w:p>
            <w:pPr>
              <w:jc w:val="right"/>
              <w:ind w:right="129"/>
              <w:spacing w:after="0"/>
              <w:rPr>
                <w:sz w:val="20"/>
                <w:szCs w:val="20"/>
                <w:color w:val="auto"/>
              </w:rPr>
            </w:pPr>
            <w:r>
              <w:rPr>
                <w:rFonts w:ascii="Arial" w:cs="Arial" w:eastAsia="Arial" w:hAnsi="Arial"/>
                <w:sz w:val="13"/>
                <w:szCs w:val="13"/>
                <w:b w:val="1"/>
                <w:bCs w:val="1"/>
                <w:color w:val="auto"/>
              </w:rPr>
              <w:t>Retirement</w:t>
            </w:r>
          </w:p>
        </w:tc>
        <w:tc>
          <w:tcPr>
            <w:tcW w:w="1000" w:type="dxa"/>
            <w:vAlign w:val="bottom"/>
          </w:tcPr>
          <w:p>
            <w:pPr>
              <w:jc w:val="right"/>
              <w:ind w:right="32"/>
              <w:spacing w:after="0" w:line="135" w:lineRule="exact"/>
              <w:rPr>
                <w:sz w:val="20"/>
                <w:szCs w:val="20"/>
                <w:color w:val="auto"/>
              </w:rPr>
            </w:pPr>
            <w:r>
              <w:rPr>
                <w:rFonts w:ascii="Arial" w:cs="Arial" w:eastAsia="Arial" w:hAnsi="Arial"/>
                <w:sz w:val="13"/>
                <w:szCs w:val="13"/>
                <w:b w:val="1"/>
                <w:bCs w:val="1"/>
                <w:color w:val="auto"/>
              </w:rPr>
              <w:t>Termination</w:t>
            </w:r>
          </w:p>
        </w:tc>
        <w:tc>
          <w:tcPr>
            <w:tcW w:w="960" w:type="dxa"/>
            <w:vAlign w:val="bottom"/>
            <w:vMerge w:val="restart"/>
          </w:tcPr>
          <w:p>
            <w:pPr>
              <w:jc w:val="right"/>
              <w:ind w:right="30"/>
              <w:spacing w:after="0"/>
              <w:rPr>
                <w:sz w:val="20"/>
                <w:szCs w:val="20"/>
                <w:color w:val="auto"/>
              </w:rPr>
            </w:pPr>
            <w:r>
              <w:rPr>
                <w:rFonts w:ascii="Arial" w:cs="Arial" w:eastAsia="Arial" w:hAnsi="Arial"/>
                <w:sz w:val="13"/>
                <w:szCs w:val="13"/>
                <w:b w:val="1"/>
                <w:bCs w:val="1"/>
                <w:color w:val="auto"/>
              </w:rPr>
              <w:t>Disability</w:t>
            </w:r>
          </w:p>
        </w:tc>
        <w:tc>
          <w:tcPr>
            <w:tcW w:w="960" w:type="dxa"/>
            <w:vAlign w:val="bottom"/>
            <w:vMerge w:val="restart"/>
          </w:tcPr>
          <w:p>
            <w:pPr>
              <w:jc w:val="right"/>
              <w:ind w:right="30"/>
              <w:spacing w:after="0"/>
              <w:rPr>
                <w:sz w:val="20"/>
                <w:szCs w:val="20"/>
                <w:color w:val="auto"/>
              </w:rPr>
            </w:pPr>
            <w:r>
              <w:rPr>
                <w:rFonts w:ascii="Arial" w:cs="Arial" w:eastAsia="Arial" w:hAnsi="Arial"/>
                <w:sz w:val="13"/>
                <w:szCs w:val="13"/>
                <w:b w:val="1"/>
                <w:bCs w:val="1"/>
                <w:color w:val="auto"/>
              </w:rPr>
              <w:t>Death</w:t>
            </w:r>
          </w:p>
        </w:tc>
        <w:tc>
          <w:tcPr>
            <w:tcW w:w="0" w:type="dxa"/>
            <w:vAlign w:val="bottom"/>
          </w:tcPr>
          <w:p>
            <w:pPr>
              <w:spacing w:after="0"/>
              <w:rPr>
                <w:sz w:val="1"/>
                <w:szCs w:val="1"/>
                <w:color w:val="auto"/>
              </w:rPr>
            </w:pPr>
          </w:p>
        </w:tc>
      </w:tr>
      <w:tr>
        <w:trPr>
          <w:trHeight w:val="143"/>
        </w:trPr>
        <w:tc>
          <w:tcPr>
            <w:tcW w:w="2840" w:type="dxa"/>
            <w:vAlign w:val="bottom"/>
          </w:tcPr>
          <w:p>
            <w:pPr>
              <w:spacing w:after="0"/>
              <w:rPr>
                <w:sz w:val="12"/>
                <w:szCs w:val="12"/>
                <w:color w:val="auto"/>
              </w:rPr>
            </w:pPr>
          </w:p>
        </w:tc>
        <w:tc>
          <w:tcPr>
            <w:tcW w:w="1240" w:type="dxa"/>
            <w:vAlign w:val="bottom"/>
          </w:tcPr>
          <w:p>
            <w:pPr>
              <w:jc w:val="right"/>
              <w:ind w:right="33"/>
              <w:spacing w:after="0" w:line="143" w:lineRule="exact"/>
              <w:rPr>
                <w:sz w:val="20"/>
                <w:szCs w:val="20"/>
                <w:color w:val="auto"/>
              </w:rPr>
            </w:pPr>
            <w:r>
              <w:rPr>
                <w:rFonts w:ascii="Arial" w:cs="Arial" w:eastAsia="Arial" w:hAnsi="Arial"/>
                <w:sz w:val="13"/>
                <w:szCs w:val="13"/>
                <w:b w:val="1"/>
                <w:bCs w:val="1"/>
                <w:color w:val="auto"/>
              </w:rPr>
              <w:t>a CIC</w:t>
            </w:r>
          </w:p>
        </w:tc>
        <w:tc>
          <w:tcPr>
            <w:tcW w:w="1100" w:type="dxa"/>
            <w:vAlign w:val="bottom"/>
          </w:tcPr>
          <w:p>
            <w:pPr>
              <w:jc w:val="right"/>
              <w:ind w:right="73"/>
              <w:spacing w:after="0" w:line="143" w:lineRule="exact"/>
              <w:rPr>
                <w:sz w:val="20"/>
                <w:szCs w:val="20"/>
                <w:color w:val="auto"/>
              </w:rPr>
            </w:pPr>
            <w:r>
              <w:rPr>
                <w:rFonts w:ascii="Arial" w:cs="Arial" w:eastAsia="Arial" w:hAnsi="Arial"/>
                <w:sz w:val="13"/>
                <w:szCs w:val="13"/>
                <w:b w:val="1"/>
                <w:bCs w:val="1"/>
                <w:color w:val="auto"/>
              </w:rPr>
              <w:t>CIC Period</w:t>
            </w:r>
          </w:p>
        </w:tc>
        <w:tc>
          <w:tcPr>
            <w:tcW w:w="980" w:type="dxa"/>
            <w:vAlign w:val="bottom"/>
            <w:vMerge w:val="continue"/>
          </w:tcPr>
          <w:p>
            <w:pPr>
              <w:spacing w:after="0"/>
              <w:rPr>
                <w:sz w:val="12"/>
                <w:szCs w:val="12"/>
                <w:color w:val="auto"/>
              </w:rPr>
            </w:pPr>
          </w:p>
        </w:tc>
        <w:tc>
          <w:tcPr>
            <w:tcW w:w="1000" w:type="dxa"/>
            <w:vAlign w:val="bottom"/>
          </w:tcPr>
          <w:p>
            <w:pPr>
              <w:jc w:val="right"/>
              <w:ind w:right="32"/>
              <w:spacing w:after="0" w:line="143" w:lineRule="exact"/>
              <w:rPr>
                <w:sz w:val="20"/>
                <w:szCs w:val="20"/>
                <w:color w:val="auto"/>
              </w:rPr>
            </w:pPr>
            <w:r>
              <w:rPr>
                <w:rFonts w:ascii="Arial" w:cs="Arial" w:eastAsia="Arial" w:hAnsi="Arial"/>
                <w:sz w:val="13"/>
                <w:szCs w:val="13"/>
                <w:b w:val="1"/>
                <w:bCs w:val="1"/>
                <w:color w:val="auto"/>
              </w:rPr>
              <w:t>for Cause</w:t>
            </w:r>
          </w:p>
        </w:tc>
        <w:tc>
          <w:tcPr>
            <w:tcW w:w="96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2840" w:type="dxa"/>
            <w:vAlign w:val="bottom"/>
            <w:tcBorders>
              <w:bottom w:val="single" w:sz="8" w:color="342C82"/>
            </w:tcBorders>
          </w:tcPr>
          <w:p>
            <w:pPr>
              <w:spacing w:after="0"/>
              <w:rPr>
                <w:sz w:val="19"/>
                <w:szCs w:val="19"/>
                <w:color w:val="auto"/>
              </w:rPr>
            </w:pPr>
          </w:p>
        </w:tc>
        <w:tc>
          <w:tcPr>
            <w:tcW w:w="1240" w:type="dxa"/>
            <w:vAlign w:val="bottom"/>
            <w:tcBorders>
              <w:bottom w:val="single" w:sz="8" w:color="342C82"/>
            </w:tcBorders>
          </w:tcPr>
          <w:p>
            <w:pPr>
              <w:jc w:val="right"/>
              <w:spacing w:after="0" w:line="227"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(1)</w:t>
            </w:r>
          </w:p>
        </w:tc>
        <w:tc>
          <w:tcPr>
            <w:tcW w:w="1100" w:type="dxa"/>
            <w:vAlign w:val="bottom"/>
            <w:tcBorders>
              <w:bottom w:val="single" w:sz="8" w:color="342C82"/>
            </w:tcBorders>
          </w:tcPr>
          <w:p>
            <w:pPr>
              <w:jc w:val="right"/>
              <w:ind w:right="33"/>
              <w:spacing w:after="0" w:line="227"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(2)</w:t>
            </w:r>
          </w:p>
        </w:tc>
        <w:tc>
          <w:tcPr>
            <w:tcW w:w="980" w:type="dxa"/>
            <w:vAlign w:val="bottom"/>
            <w:tcBorders>
              <w:bottom w:val="single" w:sz="8" w:color="342C82"/>
            </w:tcBorders>
          </w:tcPr>
          <w:p>
            <w:pPr>
              <w:jc w:val="right"/>
              <w:ind w:right="109"/>
              <w:spacing w:after="0" w:line="227"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(3)</w:t>
            </w:r>
          </w:p>
        </w:tc>
        <w:tc>
          <w:tcPr>
            <w:tcW w:w="1000" w:type="dxa"/>
            <w:vAlign w:val="bottom"/>
            <w:tcBorders>
              <w:bottom w:val="single" w:sz="8" w:color="342C82"/>
            </w:tcBorders>
          </w:tcPr>
          <w:p>
            <w:pPr>
              <w:jc w:val="right"/>
              <w:spacing w:after="0" w:line="227"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(4)</w:t>
            </w:r>
          </w:p>
        </w:tc>
        <w:tc>
          <w:tcPr>
            <w:tcW w:w="960" w:type="dxa"/>
            <w:vAlign w:val="bottom"/>
            <w:tcBorders>
              <w:bottom w:val="single" w:sz="8" w:color="342C82"/>
            </w:tcBorders>
          </w:tcPr>
          <w:p>
            <w:pPr>
              <w:jc w:val="right"/>
              <w:spacing w:after="0" w:line="227"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(5)</w:t>
            </w:r>
          </w:p>
        </w:tc>
        <w:tc>
          <w:tcPr>
            <w:tcW w:w="960" w:type="dxa"/>
            <w:vAlign w:val="bottom"/>
            <w:tcBorders>
              <w:bottom w:val="single" w:sz="8" w:color="342C82"/>
            </w:tcBorders>
          </w:tcPr>
          <w:p>
            <w:pPr>
              <w:jc w:val="right"/>
              <w:spacing w:after="0" w:line="227"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(5)</w:t>
            </w:r>
          </w:p>
        </w:tc>
        <w:tc>
          <w:tcPr>
            <w:tcW w:w="0" w:type="dxa"/>
            <w:vAlign w:val="bottom"/>
          </w:tcPr>
          <w:p>
            <w:pPr>
              <w:spacing w:after="0"/>
              <w:rPr>
                <w:sz w:val="1"/>
                <w:szCs w:val="1"/>
                <w:color w:val="auto"/>
              </w:rPr>
            </w:pPr>
          </w:p>
        </w:tc>
      </w:tr>
      <w:tr>
        <w:trPr>
          <w:trHeight w:val="230"/>
        </w:trPr>
        <w:tc>
          <w:tcPr>
            <w:tcW w:w="2840" w:type="dxa"/>
            <w:vAlign w:val="bottom"/>
            <w:tcBorders>
              <w:bottom w:val="single" w:sz="8" w:color="342C82"/>
            </w:tcBorders>
          </w:tcPr>
          <w:p>
            <w:pPr>
              <w:ind w:left="80"/>
              <w:spacing w:after="0"/>
              <w:rPr>
                <w:sz w:val="20"/>
                <w:szCs w:val="20"/>
                <w:color w:val="auto"/>
              </w:rPr>
            </w:pPr>
            <w:r>
              <w:rPr>
                <w:rFonts w:ascii="Arial" w:cs="Arial" w:eastAsia="Arial" w:hAnsi="Arial"/>
                <w:sz w:val="14"/>
                <w:szCs w:val="14"/>
                <w:b w:val="1"/>
                <w:bCs w:val="1"/>
                <w:color w:val="342C82"/>
              </w:rPr>
              <w:t>Jean Casner</w:t>
            </w:r>
          </w:p>
        </w:tc>
        <w:tc>
          <w:tcPr>
            <w:tcW w:w="1240" w:type="dxa"/>
            <w:vAlign w:val="bottom"/>
            <w:tcBorders>
              <w:bottom w:val="single" w:sz="8" w:color="342C82"/>
            </w:tcBorders>
          </w:tcPr>
          <w:p>
            <w:pPr>
              <w:spacing w:after="0"/>
              <w:rPr>
                <w:sz w:val="20"/>
                <w:szCs w:val="20"/>
                <w:color w:val="auto"/>
              </w:rPr>
            </w:pPr>
          </w:p>
        </w:tc>
        <w:tc>
          <w:tcPr>
            <w:tcW w:w="1100" w:type="dxa"/>
            <w:vAlign w:val="bottom"/>
            <w:tcBorders>
              <w:bottom w:val="single" w:sz="8" w:color="342C82"/>
            </w:tcBorders>
          </w:tcPr>
          <w:p>
            <w:pPr>
              <w:spacing w:after="0"/>
              <w:rPr>
                <w:sz w:val="20"/>
                <w:szCs w:val="20"/>
                <w:color w:val="auto"/>
              </w:rPr>
            </w:pPr>
          </w:p>
        </w:tc>
        <w:tc>
          <w:tcPr>
            <w:tcW w:w="980" w:type="dxa"/>
            <w:vAlign w:val="bottom"/>
            <w:tcBorders>
              <w:bottom w:val="single" w:sz="8" w:color="342C82"/>
            </w:tcBorders>
          </w:tcPr>
          <w:p>
            <w:pPr>
              <w:spacing w:after="0"/>
              <w:rPr>
                <w:sz w:val="20"/>
                <w:szCs w:val="20"/>
                <w:color w:val="auto"/>
              </w:rPr>
            </w:pPr>
          </w:p>
        </w:tc>
        <w:tc>
          <w:tcPr>
            <w:tcW w:w="1000" w:type="dxa"/>
            <w:vAlign w:val="bottom"/>
            <w:tcBorders>
              <w:bottom w:val="single" w:sz="8" w:color="342C82"/>
            </w:tcBorders>
          </w:tcPr>
          <w:p>
            <w:pPr>
              <w:spacing w:after="0"/>
              <w:rPr>
                <w:sz w:val="20"/>
                <w:szCs w:val="20"/>
                <w:color w:val="auto"/>
              </w:rPr>
            </w:pPr>
          </w:p>
        </w:tc>
        <w:tc>
          <w:tcPr>
            <w:tcW w:w="960" w:type="dxa"/>
            <w:vAlign w:val="bottom"/>
            <w:tcBorders>
              <w:bottom w:val="single" w:sz="8" w:color="342C82"/>
            </w:tcBorders>
          </w:tcPr>
          <w:p>
            <w:pPr>
              <w:spacing w:after="0"/>
              <w:rPr>
                <w:sz w:val="20"/>
                <w:szCs w:val="20"/>
                <w:color w:val="auto"/>
              </w:rPr>
            </w:pPr>
          </w:p>
        </w:tc>
        <w:tc>
          <w:tcPr>
            <w:tcW w:w="960" w:type="dxa"/>
            <w:vAlign w:val="bottom"/>
            <w:tcBorders>
              <w:bottom w:val="single" w:sz="8" w:color="342C82"/>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40" w:type="dxa"/>
            <w:vAlign w:val="bottom"/>
            <w:tcBorders>
              <w:bottom w:val="single" w:sz="8" w:color="808080"/>
            </w:tcBorders>
          </w:tcPr>
          <w:p>
            <w:pPr>
              <w:ind w:left="80"/>
              <w:spacing w:after="0" w:line="243" w:lineRule="exact"/>
              <w:rPr>
                <w:sz w:val="20"/>
                <w:szCs w:val="20"/>
                <w:color w:val="auto"/>
              </w:rPr>
            </w:pPr>
            <w:r>
              <w:rPr>
                <w:rFonts w:ascii="Arial" w:cs="Arial" w:eastAsia="Arial" w:hAnsi="Arial"/>
                <w:sz w:val="14"/>
                <w:szCs w:val="14"/>
                <w:color w:val="auto"/>
              </w:rPr>
              <w:t>Severance Payments</w:t>
            </w:r>
            <w:r>
              <w:rPr>
                <w:rFonts w:ascii="Arial" w:cs="Arial" w:eastAsia="Arial" w:hAnsi="Arial"/>
                <w:sz w:val="23"/>
                <w:szCs w:val="23"/>
                <w:color w:val="auto"/>
                <w:vertAlign w:val="superscript"/>
              </w:rPr>
              <w:t>(6)</w:t>
            </w:r>
          </w:p>
        </w:tc>
        <w:tc>
          <w:tcPr>
            <w:tcW w:w="1240" w:type="dxa"/>
            <w:vAlign w:val="bottom"/>
            <w:tcBorders>
              <w:bottom w:val="single" w:sz="8" w:color="808080"/>
            </w:tcBorders>
          </w:tcPr>
          <w:p>
            <w:pPr>
              <w:jc w:val="right"/>
              <w:ind w:right="193"/>
              <w:spacing w:after="0"/>
              <w:rPr>
                <w:sz w:val="20"/>
                <w:szCs w:val="20"/>
                <w:color w:val="auto"/>
              </w:rPr>
            </w:pPr>
            <w:r>
              <w:rPr>
                <w:rFonts w:ascii="Arial" w:cs="Arial" w:eastAsia="Arial" w:hAnsi="Arial"/>
                <w:sz w:val="14"/>
                <w:szCs w:val="14"/>
                <w:color w:val="auto"/>
              </w:rPr>
              <w:t>1,488,000</w:t>
            </w:r>
          </w:p>
        </w:tc>
        <w:tc>
          <w:tcPr>
            <w:tcW w:w="1100" w:type="dxa"/>
            <w:vAlign w:val="bottom"/>
            <w:tcBorders>
              <w:bottom w:val="single" w:sz="8" w:color="808080"/>
            </w:tcBorders>
          </w:tcPr>
          <w:p>
            <w:pPr>
              <w:jc w:val="right"/>
              <w:ind w:right="233"/>
              <w:spacing w:after="0"/>
              <w:rPr>
                <w:sz w:val="20"/>
                <w:szCs w:val="20"/>
                <w:color w:val="auto"/>
              </w:rPr>
            </w:pPr>
            <w:r>
              <w:rPr>
                <w:rFonts w:ascii="Arial" w:cs="Arial" w:eastAsia="Arial" w:hAnsi="Arial"/>
                <w:sz w:val="14"/>
                <w:szCs w:val="14"/>
                <w:color w:val="auto"/>
              </w:rPr>
              <w:t>744,000</w:t>
            </w:r>
          </w:p>
        </w:tc>
        <w:tc>
          <w:tcPr>
            <w:tcW w:w="980" w:type="dxa"/>
            <w:vAlign w:val="bottom"/>
            <w:tcBorders>
              <w:bottom w:val="single" w:sz="8" w:color="808080"/>
            </w:tcBorders>
          </w:tcPr>
          <w:p>
            <w:pPr>
              <w:jc w:val="right"/>
              <w:ind w:right="22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808080"/>
            </w:tcBorders>
          </w:tcPr>
          <w:p>
            <w:pPr>
              <w:ind w:left="76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808080"/>
            </w:tcBorders>
          </w:tcPr>
          <w:p>
            <w:pPr>
              <w:jc w:val="right"/>
              <w:ind w:right="9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808080"/>
            </w:tcBorders>
          </w:tcPr>
          <w:p>
            <w:pPr>
              <w:jc w:val="right"/>
              <w:ind w:right="9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2840" w:type="dxa"/>
            <w:vAlign w:val="bottom"/>
            <w:tcBorders>
              <w:bottom w:val="single" w:sz="8" w:color="808080"/>
            </w:tcBorders>
          </w:tcPr>
          <w:p>
            <w:pPr>
              <w:ind w:left="80"/>
              <w:spacing w:after="0" w:line="250" w:lineRule="exact"/>
              <w:rPr>
                <w:sz w:val="20"/>
                <w:szCs w:val="20"/>
                <w:color w:val="auto"/>
              </w:rPr>
            </w:pPr>
            <w:r>
              <w:rPr>
                <w:rFonts w:ascii="Arial" w:cs="Arial" w:eastAsia="Arial" w:hAnsi="Arial"/>
                <w:sz w:val="14"/>
                <w:szCs w:val="14"/>
                <w:color w:val="auto"/>
              </w:rPr>
              <w:t>Prorated Annual Incentive Payments</w:t>
            </w:r>
            <w:r>
              <w:rPr>
                <w:rFonts w:ascii="Arial" w:cs="Arial" w:eastAsia="Arial" w:hAnsi="Arial"/>
                <w:sz w:val="23"/>
                <w:szCs w:val="23"/>
                <w:color w:val="auto"/>
                <w:vertAlign w:val="superscript"/>
              </w:rPr>
              <w:t>(7)</w:t>
            </w:r>
          </w:p>
        </w:tc>
        <w:tc>
          <w:tcPr>
            <w:tcW w:w="1240" w:type="dxa"/>
            <w:vAlign w:val="bottom"/>
            <w:tcBorders>
              <w:bottom w:val="single" w:sz="8" w:color="808080"/>
            </w:tcBorders>
          </w:tcPr>
          <w:p>
            <w:pPr>
              <w:jc w:val="right"/>
              <w:ind w:right="193"/>
              <w:spacing w:after="0"/>
              <w:rPr>
                <w:sz w:val="20"/>
                <w:szCs w:val="20"/>
                <w:color w:val="auto"/>
              </w:rPr>
            </w:pPr>
            <w:r>
              <w:rPr>
                <w:rFonts w:ascii="Arial" w:cs="Arial" w:eastAsia="Arial" w:hAnsi="Arial"/>
                <w:sz w:val="14"/>
                <w:szCs w:val="14"/>
                <w:color w:val="auto"/>
              </w:rPr>
              <w:t>279,000</w:t>
            </w:r>
          </w:p>
        </w:tc>
        <w:tc>
          <w:tcPr>
            <w:tcW w:w="1100" w:type="dxa"/>
            <w:vAlign w:val="bottom"/>
            <w:tcBorders>
              <w:bottom w:val="single" w:sz="8" w:color="808080"/>
            </w:tcBorders>
          </w:tcPr>
          <w:p>
            <w:pPr>
              <w:jc w:val="right"/>
              <w:ind w:right="233"/>
              <w:spacing w:after="0"/>
              <w:rPr>
                <w:sz w:val="20"/>
                <w:szCs w:val="20"/>
                <w:color w:val="auto"/>
              </w:rPr>
            </w:pPr>
            <w:r>
              <w:rPr>
                <w:rFonts w:ascii="Arial" w:cs="Arial" w:eastAsia="Arial" w:hAnsi="Arial"/>
                <w:sz w:val="14"/>
                <w:szCs w:val="14"/>
                <w:color w:val="auto"/>
              </w:rPr>
              <w:t>279,000</w:t>
            </w:r>
          </w:p>
        </w:tc>
        <w:tc>
          <w:tcPr>
            <w:tcW w:w="980" w:type="dxa"/>
            <w:vAlign w:val="bottom"/>
            <w:tcBorders>
              <w:bottom w:val="single" w:sz="8" w:color="808080"/>
            </w:tcBorders>
          </w:tcPr>
          <w:p>
            <w:pPr>
              <w:jc w:val="right"/>
              <w:ind w:right="22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808080"/>
            </w:tcBorders>
          </w:tcPr>
          <w:p>
            <w:pPr>
              <w:ind w:left="76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808080"/>
            </w:tcBorders>
          </w:tcPr>
          <w:p>
            <w:pPr>
              <w:jc w:val="right"/>
              <w:ind w:right="9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808080"/>
            </w:tcBorders>
          </w:tcPr>
          <w:p>
            <w:pPr>
              <w:jc w:val="right"/>
              <w:ind w:right="9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2840" w:type="dxa"/>
            <w:vAlign w:val="bottom"/>
          </w:tcPr>
          <w:p>
            <w:pPr>
              <w:ind w:left="80"/>
              <w:spacing w:after="0"/>
              <w:rPr>
                <w:sz w:val="20"/>
                <w:szCs w:val="20"/>
                <w:color w:val="auto"/>
              </w:rPr>
            </w:pPr>
            <w:r>
              <w:rPr>
                <w:rFonts w:ascii="Arial" w:cs="Arial" w:eastAsia="Arial" w:hAnsi="Arial"/>
                <w:sz w:val="14"/>
                <w:szCs w:val="14"/>
                <w:color w:val="auto"/>
              </w:rPr>
              <w:t>Health &amp; Welfare Benefits Coverage</w:t>
            </w:r>
          </w:p>
        </w:tc>
        <w:tc>
          <w:tcPr>
            <w:tcW w:w="1240" w:type="dxa"/>
            <w:vAlign w:val="bottom"/>
          </w:tcPr>
          <w:p>
            <w:pPr>
              <w:jc w:val="right"/>
              <w:ind w:right="193"/>
              <w:spacing w:after="0"/>
              <w:rPr>
                <w:sz w:val="20"/>
                <w:szCs w:val="20"/>
                <w:color w:val="auto"/>
              </w:rPr>
            </w:pPr>
            <w:r>
              <w:rPr>
                <w:rFonts w:ascii="Arial" w:cs="Arial" w:eastAsia="Arial" w:hAnsi="Arial"/>
                <w:sz w:val="14"/>
                <w:szCs w:val="14"/>
                <w:color w:val="auto"/>
              </w:rPr>
              <w:t>45,325</w:t>
            </w:r>
          </w:p>
        </w:tc>
        <w:tc>
          <w:tcPr>
            <w:tcW w:w="1100" w:type="dxa"/>
            <w:vAlign w:val="bottom"/>
          </w:tcPr>
          <w:p>
            <w:pPr>
              <w:jc w:val="right"/>
              <w:ind w:right="233"/>
              <w:spacing w:after="0"/>
              <w:rPr>
                <w:sz w:val="20"/>
                <w:szCs w:val="20"/>
                <w:color w:val="auto"/>
              </w:rPr>
            </w:pPr>
            <w:r>
              <w:rPr>
                <w:rFonts w:ascii="Arial" w:cs="Arial" w:eastAsia="Arial" w:hAnsi="Arial"/>
                <w:sz w:val="14"/>
                <w:szCs w:val="14"/>
                <w:color w:val="auto"/>
              </w:rPr>
              <w:t>22,663</w:t>
            </w:r>
          </w:p>
        </w:tc>
        <w:tc>
          <w:tcPr>
            <w:tcW w:w="98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000" w:type="dxa"/>
            <w:vAlign w:val="bottom"/>
          </w:tcPr>
          <w:p>
            <w:pPr>
              <w:ind w:left="76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2840" w:type="dxa"/>
            <w:vAlign w:val="bottom"/>
            <w:tcBorders>
              <w:bottom w:val="single" w:sz="8" w:color="808080"/>
            </w:tcBorders>
          </w:tcPr>
          <w:p>
            <w:pPr>
              <w:spacing w:after="0" w:line="20" w:lineRule="exact"/>
              <w:rPr>
                <w:sz w:val="1"/>
                <w:szCs w:val="1"/>
                <w:color w:val="auto"/>
              </w:rPr>
            </w:pPr>
          </w:p>
        </w:tc>
        <w:tc>
          <w:tcPr>
            <w:tcW w:w="1240" w:type="dxa"/>
            <w:vAlign w:val="bottom"/>
            <w:tcBorders>
              <w:bottom w:val="single" w:sz="8" w:color="808080"/>
            </w:tcBorders>
          </w:tcPr>
          <w:p>
            <w:pPr>
              <w:spacing w:after="0" w:line="20" w:lineRule="exact"/>
              <w:rPr>
                <w:sz w:val="1"/>
                <w:szCs w:val="1"/>
                <w:color w:val="auto"/>
              </w:rPr>
            </w:pPr>
          </w:p>
        </w:tc>
        <w:tc>
          <w:tcPr>
            <w:tcW w:w="1100" w:type="dxa"/>
            <w:vAlign w:val="bottom"/>
            <w:tcBorders>
              <w:bottom w:val="single" w:sz="8" w:color="808080"/>
            </w:tcBorders>
          </w:tcPr>
          <w:p>
            <w:pPr>
              <w:spacing w:after="0" w:line="20" w:lineRule="exact"/>
              <w:rPr>
                <w:sz w:val="1"/>
                <w:szCs w:val="1"/>
                <w:color w:val="auto"/>
              </w:rPr>
            </w:pPr>
          </w:p>
        </w:tc>
        <w:tc>
          <w:tcPr>
            <w:tcW w:w="980" w:type="dxa"/>
            <w:vAlign w:val="bottom"/>
            <w:tcBorders>
              <w:bottom w:val="single" w:sz="8" w:color="808080"/>
            </w:tcBorders>
          </w:tcPr>
          <w:p>
            <w:pPr>
              <w:spacing w:after="0" w:line="20" w:lineRule="exact"/>
              <w:rPr>
                <w:sz w:val="1"/>
                <w:szCs w:val="1"/>
                <w:color w:val="auto"/>
              </w:rPr>
            </w:pPr>
          </w:p>
        </w:tc>
        <w:tc>
          <w:tcPr>
            <w:tcW w:w="1000" w:type="dxa"/>
            <w:vAlign w:val="bottom"/>
            <w:tcBorders>
              <w:bottom w:val="single" w:sz="8" w:color="808080"/>
            </w:tcBorders>
          </w:tcPr>
          <w:p>
            <w:pPr>
              <w:spacing w:after="0" w:line="20" w:lineRule="exact"/>
              <w:rPr>
                <w:sz w:val="1"/>
                <w:szCs w:val="1"/>
                <w:color w:val="auto"/>
              </w:rPr>
            </w:pPr>
          </w:p>
        </w:tc>
        <w:tc>
          <w:tcPr>
            <w:tcW w:w="960" w:type="dxa"/>
            <w:vAlign w:val="bottom"/>
            <w:tcBorders>
              <w:bottom w:val="single" w:sz="8" w:color="808080"/>
            </w:tcBorders>
          </w:tcPr>
          <w:p>
            <w:pPr>
              <w:spacing w:after="0" w:line="20" w:lineRule="exact"/>
              <w:rPr>
                <w:sz w:val="1"/>
                <w:szCs w:val="1"/>
                <w:color w:val="auto"/>
              </w:rPr>
            </w:pPr>
          </w:p>
        </w:tc>
        <w:tc>
          <w:tcPr>
            <w:tcW w:w="96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840" w:type="dxa"/>
            <w:vAlign w:val="bottom"/>
          </w:tcPr>
          <w:p>
            <w:pPr>
              <w:ind w:left="80"/>
              <w:spacing w:after="0"/>
              <w:rPr>
                <w:sz w:val="20"/>
                <w:szCs w:val="20"/>
                <w:color w:val="auto"/>
              </w:rPr>
            </w:pPr>
            <w:r>
              <w:rPr>
                <w:rFonts w:ascii="Arial" w:cs="Arial" w:eastAsia="Arial" w:hAnsi="Arial"/>
                <w:sz w:val="14"/>
                <w:szCs w:val="14"/>
                <w:color w:val="auto"/>
              </w:rPr>
              <w:t>Accelerated Vesting of Equity Awards</w:t>
            </w:r>
          </w:p>
        </w:tc>
        <w:tc>
          <w:tcPr>
            <w:tcW w:w="1240" w:type="dxa"/>
            <w:vAlign w:val="bottom"/>
          </w:tcPr>
          <w:p>
            <w:pPr>
              <w:jc w:val="right"/>
              <w:ind w:right="193"/>
              <w:spacing w:after="0"/>
              <w:rPr>
                <w:sz w:val="20"/>
                <w:szCs w:val="20"/>
                <w:color w:val="auto"/>
              </w:rPr>
            </w:pPr>
            <w:r>
              <w:rPr>
                <w:rFonts w:ascii="Arial" w:cs="Arial" w:eastAsia="Arial" w:hAnsi="Arial"/>
                <w:sz w:val="14"/>
                <w:szCs w:val="14"/>
                <w:color w:val="auto"/>
              </w:rPr>
              <w:t>551,183</w:t>
            </w:r>
          </w:p>
        </w:tc>
        <w:tc>
          <w:tcPr>
            <w:tcW w:w="1100" w:type="dxa"/>
            <w:vAlign w:val="bottom"/>
          </w:tcPr>
          <w:p>
            <w:pPr>
              <w:jc w:val="right"/>
              <w:ind w:right="233"/>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000" w:type="dxa"/>
            <w:vAlign w:val="bottom"/>
          </w:tcPr>
          <w:p>
            <w:pPr>
              <w:ind w:left="76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90"/>
              <w:spacing w:after="0"/>
              <w:rPr>
                <w:sz w:val="20"/>
                <w:szCs w:val="20"/>
                <w:color w:val="auto"/>
              </w:rPr>
            </w:pPr>
            <w:r>
              <w:rPr>
                <w:rFonts w:ascii="Arial" w:cs="Arial" w:eastAsia="Arial" w:hAnsi="Arial"/>
                <w:sz w:val="14"/>
                <w:szCs w:val="14"/>
                <w:color w:val="auto"/>
              </w:rPr>
              <w:t>551,183</w:t>
            </w:r>
          </w:p>
        </w:tc>
        <w:tc>
          <w:tcPr>
            <w:tcW w:w="960" w:type="dxa"/>
            <w:vAlign w:val="bottom"/>
          </w:tcPr>
          <w:p>
            <w:pPr>
              <w:jc w:val="right"/>
              <w:ind w:right="90"/>
              <w:spacing w:after="0"/>
              <w:rPr>
                <w:sz w:val="20"/>
                <w:szCs w:val="20"/>
                <w:color w:val="auto"/>
              </w:rPr>
            </w:pPr>
            <w:r>
              <w:rPr>
                <w:rFonts w:ascii="Arial" w:cs="Arial" w:eastAsia="Arial" w:hAnsi="Arial"/>
                <w:sz w:val="14"/>
                <w:szCs w:val="14"/>
                <w:color w:val="auto"/>
              </w:rPr>
              <w:t>551,183</w:t>
            </w:r>
          </w:p>
        </w:tc>
        <w:tc>
          <w:tcPr>
            <w:tcW w:w="0" w:type="dxa"/>
            <w:vAlign w:val="bottom"/>
          </w:tcPr>
          <w:p>
            <w:pPr>
              <w:spacing w:after="0"/>
              <w:rPr>
                <w:sz w:val="1"/>
                <w:szCs w:val="1"/>
                <w:color w:val="auto"/>
              </w:rPr>
            </w:pPr>
          </w:p>
        </w:tc>
      </w:tr>
      <w:tr>
        <w:trPr>
          <w:trHeight w:val="22"/>
        </w:trPr>
        <w:tc>
          <w:tcPr>
            <w:tcW w:w="2840" w:type="dxa"/>
            <w:vAlign w:val="bottom"/>
            <w:tcBorders>
              <w:bottom w:val="single" w:sz="8" w:color="808080"/>
            </w:tcBorders>
          </w:tcPr>
          <w:p>
            <w:pPr>
              <w:spacing w:after="0" w:line="20" w:lineRule="exact"/>
              <w:rPr>
                <w:sz w:val="1"/>
                <w:szCs w:val="1"/>
                <w:color w:val="auto"/>
              </w:rPr>
            </w:pPr>
          </w:p>
        </w:tc>
        <w:tc>
          <w:tcPr>
            <w:tcW w:w="1240" w:type="dxa"/>
            <w:vAlign w:val="bottom"/>
            <w:tcBorders>
              <w:bottom w:val="single" w:sz="8" w:color="808080"/>
            </w:tcBorders>
          </w:tcPr>
          <w:p>
            <w:pPr>
              <w:spacing w:after="0" w:line="20" w:lineRule="exact"/>
              <w:rPr>
                <w:sz w:val="1"/>
                <w:szCs w:val="1"/>
                <w:color w:val="auto"/>
              </w:rPr>
            </w:pPr>
          </w:p>
        </w:tc>
        <w:tc>
          <w:tcPr>
            <w:tcW w:w="1100" w:type="dxa"/>
            <w:vAlign w:val="bottom"/>
            <w:tcBorders>
              <w:bottom w:val="single" w:sz="8" w:color="808080"/>
            </w:tcBorders>
          </w:tcPr>
          <w:p>
            <w:pPr>
              <w:spacing w:after="0" w:line="20" w:lineRule="exact"/>
              <w:rPr>
                <w:sz w:val="1"/>
                <w:szCs w:val="1"/>
                <w:color w:val="auto"/>
              </w:rPr>
            </w:pPr>
          </w:p>
        </w:tc>
        <w:tc>
          <w:tcPr>
            <w:tcW w:w="980" w:type="dxa"/>
            <w:vAlign w:val="bottom"/>
            <w:tcBorders>
              <w:bottom w:val="single" w:sz="8" w:color="808080"/>
            </w:tcBorders>
          </w:tcPr>
          <w:p>
            <w:pPr>
              <w:spacing w:after="0" w:line="20" w:lineRule="exact"/>
              <w:rPr>
                <w:sz w:val="1"/>
                <w:szCs w:val="1"/>
                <w:color w:val="auto"/>
              </w:rPr>
            </w:pPr>
          </w:p>
        </w:tc>
        <w:tc>
          <w:tcPr>
            <w:tcW w:w="1000" w:type="dxa"/>
            <w:vAlign w:val="bottom"/>
            <w:tcBorders>
              <w:bottom w:val="single" w:sz="8" w:color="808080"/>
            </w:tcBorders>
          </w:tcPr>
          <w:p>
            <w:pPr>
              <w:spacing w:after="0" w:line="20" w:lineRule="exact"/>
              <w:rPr>
                <w:sz w:val="1"/>
                <w:szCs w:val="1"/>
                <w:color w:val="auto"/>
              </w:rPr>
            </w:pPr>
          </w:p>
        </w:tc>
        <w:tc>
          <w:tcPr>
            <w:tcW w:w="960" w:type="dxa"/>
            <w:vAlign w:val="bottom"/>
            <w:tcBorders>
              <w:bottom w:val="single" w:sz="8" w:color="808080"/>
            </w:tcBorders>
          </w:tcPr>
          <w:p>
            <w:pPr>
              <w:spacing w:after="0" w:line="20" w:lineRule="exact"/>
              <w:rPr>
                <w:sz w:val="1"/>
                <w:szCs w:val="1"/>
                <w:color w:val="auto"/>
              </w:rPr>
            </w:pPr>
          </w:p>
        </w:tc>
        <w:tc>
          <w:tcPr>
            <w:tcW w:w="96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2840" w:type="dxa"/>
            <w:vAlign w:val="bottom"/>
          </w:tcPr>
          <w:p>
            <w:pPr>
              <w:ind w:left="80"/>
              <w:spacing w:after="0"/>
              <w:rPr>
                <w:sz w:val="20"/>
                <w:szCs w:val="20"/>
                <w:color w:val="auto"/>
              </w:rPr>
            </w:pPr>
            <w:r>
              <w:rPr>
                <w:rFonts w:ascii="Arial" w:cs="Arial" w:eastAsia="Arial" w:hAnsi="Arial"/>
                <w:sz w:val="14"/>
                <w:szCs w:val="14"/>
                <w:color w:val="auto"/>
              </w:rPr>
              <w:t>Outplacement Expenses</w:t>
            </w:r>
          </w:p>
        </w:tc>
        <w:tc>
          <w:tcPr>
            <w:tcW w:w="1240" w:type="dxa"/>
            <w:vAlign w:val="bottom"/>
          </w:tcPr>
          <w:p>
            <w:pPr>
              <w:jc w:val="right"/>
              <w:ind w:right="193"/>
              <w:spacing w:after="0"/>
              <w:rPr>
                <w:sz w:val="20"/>
                <w:szCs w:val="20"/>
                <w:color w:val="auto"/>
              </w:rPr>
            </w:pPr>
            <w:r>
              <w:rPr>
                <w:rFonts w:ascii="Arial" w:cs="Arial" w:eastAsia="Arial" w:hAnsi="Arial"/>
                <w:sz w:val="14"/>
                <w:szCs w:val="14"/>
                <w:color w:val="auto"/>
              </w:rPr>
              <w:t>40,000</w:t>
            </w:r>
          </w:p>
        </w:tc>
        <w:tc>
          <w:tcPr>
            <w:tcW w:w="1100" w:type="dxa"/>
            <w:vAlign w:val="bottom"/>
          </w:tcPr>
          <w:p>
            <w:pPr>
              <w:jc w:val="right"/>
              <w:ind w:right="233"/>
              <w:spacing w:after="0"/>
              <w:rPr>
                <w:sz w:val="20"/>
                <w:szCs w:val="20"/>
                <w:color w:val="auto"/>
              </w:rPr>
            </w:pPr>
            <w:r>
              <w:rPr>
                <w:rFonts w:ascii="Arial" w:cs="Arial" w:eastAsia="Arial" w:hAnsi="Arial"/>
                <w:sz w:val="14"/>
                <w:szCs w:val="14"/>
                <w:color w:val="auto"/>
              </w:rPr>
              <w:t>40,000</w:t>
            </w:r>
          </w:p>
        </w:tc>
        <w:tc>
          <w:tcPr>
            <w:tcW w:w="98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000" w:type="dxa"/>
            <w:vAlign w:val="bottom"/>
          </w:tcPr>
          <w:p>
            <w:pPr>
              <w:ind w:left="76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2840" w:type="dxa"/>
            <w:vAlign w:val="bottom"/>
            <w:tcBorders>
              <w:bottom w:val="single" w:sz="8" w:color="808080"/>
            </w:tcBorders>
          </w:tcPr>
          <w:p>
            <w:pPr>
              <w:spacing w:after="0" w:line="20" w:lineRule="exact"/>
              <w:rPr>
                <w:sz w:val="1"/>
                <w:szCs w:val="1"/>
                <w:color w:val="auto"/>
              </w:rPr>
            </w:pPr>
          </w:p>
        </w:tc>
        <w:tc>
          <w:tcPr>
            <w:tcW w:w="1240" w:type="dxa"/>
            <w:vAlign w:val="bottom"/>
            <w:tcBorders>
              <w:bottom w:val="single" w:sz="8" w:color="808080"/>
            </w:tcBorders>
          </w:tcPr>
          <w:p>
            <w:pPr>
              <w:spacing w:after="0" w:line="20" w:lineRule="exact"/>
              <w:rPr>
                <w:sz w:val="1"/>
                <w:szCs w:val="1"/>
                <w:color w:val="auto"/>
              </w:rPr>
            </w:pPr>
          </w:p>
        </w:tc>
        <w:tc>
          <w:tcPr>
            <w:tcW w:w="1100" w:type="dxa"/>
            <w:vAlign w:val="bottom"/>
            <w:tcBorders>
              <w:bottom w:val="single" w:sz="8" w:color="808080"/>
            </w:tcBorders>
          </w:tcPr>
          <w:p>
            <w:pPr>
              <w:spacing w:after="0" w:line="20" w:lineRule="exact"/>
              <w:rPr>
                <w:sz w:val="1"/>
                <w:szCs w:val="1"/>
                <w:color w:val="auto"/>
              </w:rPr>
            </w:pPr>
          </w:p>
        </w:tc>
        <w:tc>
          <w:tcPr>
            <w:tcW w:w="980" w:type="dxa"/>
            <w:vAlign w:val="bottom"/>
            <w:tcBorders>
              <w:bottom w:val="single" w:sz="8" w:color="808080"/>
            </w:tcBorders>
          </w:tcPr>
          <w:p>
            <w:pPr>
              <w:spacing w:after="0" w:line="20" w:lineRule="exact"/>
              <w:rPr>
                <w:sz w:val="1"/>
                <w:szCs w:val="1"/>
                <w:color w:val="auto"/>
              </w:rPr>
            </w:pPr>
          </w:p>
        </w:tc>
        <w:tc>
          <w:tcPr>
            <w:tcW w:w="1000" w:type="dxa"/>
            <w:vAlign w:val="bottom"/>
            <w:tcBorders>
              <w:bottom w:val="single" w:sz="8" w:color="808080"/>
            </w:tcBorders>
          </w:tcPr>
          <w:p>
            <w:pPr>
              <w:spacing w:after="0" w:line="20" w:lineRule="exact"/>
              <w:rPr>
                <w:sz w:val="1"/>
                <w:szCs w:val="1"/>
                <w:color w:val="auto"/>
              </w:rPr>
            </w:pPr>
          </w:p>
        </w:tc>
        <w:tc>
          <w:tcPr>
            <w:tcW w:w="960" w:type="dxa"/>
            <w:vAlign w:val="bottom"/>
            <w:tcBorders>
              <w:bottom w:val="single" w:sz="8" w:color="808080"/>
            </w:tcBorders>
          </w:tcPr>
          <w:p>
            <w:pPr>
              <w:spacing w:after="0" w:line="20" w:lineRule="exact"/>
              <w:rPr>
                <w:sz w:val="1"/>
                <w:szCs w:val="1"/>
                <w:color w:val="auto"/>
              </w:rPr>
            </w:pPr>
          </w:p>
        </w:tc>
        <w:tc>
          <w:tcPr>
            <w:tcW w:w="96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840" w:type="dxa"/>
            <w:vAlign w:val="bottom"/>
            <w:tcBorders>
              <w:bottom w:val="single" w:sz="8" w:color="808080"/>
            </w:tcBorders>
          </w:tcPr>
          <w:p>
            <w:pPr>
              <w:ind w:left="80"/>
              <w:spacing w:after="0"/>
              <w:rPr>
                <w:sz w:val="20"/>
                <w:szCs w:val="20"/>
                <w:color w:val="auto"/>
              </w:rPr>
            </w:pPr>
            <w:r>
              <w:rPr>
                <w:rFonts w:ascii="Arial" w:cs="Arial" w:eastAsia="Arial" w:hAnsi="Arial"/>
                <w:sz w:val="14"/>
                <w:szCs w:val="14"/>
                <w:b w:val="1"/>
                <w:bCs w:val="1"/>
                <w:color w:val="auto"/>
              </w:rPr>
              <w:t>Total</w:t>
            </w:r>
          </w:p>
        </w:tc>
        <w:tc>
          <w:tcPr>
            <w:tcW w:w="1240" w:type="dxa"/>
            <w:vAlign w:val="bottom"/>
            <w:tcBorders>
              <w:bottom w:val="single" w:sz="8" w:color="808080"/>
            </w:tcBorders>
          </w:tcPr>
          <w:p>
            <w:pPr>
              <w:jc w:val="right"/>
              <w:ind w:right="193"/>
              <w:spacing w:after="0"/>
              <w:rPr>
                <w:sz w:val="20"/>
                <w:szCs w:val="20"/>
                <w:color w:val="auto"/>
              </w:rPr>
            </w:pPr>
            <w:r>
              <w:rPr>
                <w:rFonts w:ascii="Arial" w:cs="Arial" w:eastAsia="Arial" w:hAnsi="Arial"/>
                <w:sz w:val="14"/>
                <w:szCs w:val="14"/>
                <w:b w:val="1"/>
                <w:bCs w:val="1"/>
                <w:color w:val="auto"/>
              </w:rPr>
              <w:t>2,403,509</w:t>
            </w:r>
          </w:p>
        </w:tc>
        <w:tc>
          <w:tcPr>
            <w:tcW w:w="1100" w:type="dxa"/>
            <w:vAlign w:val="bottom"/>
            <w:tcBorders>
              <w:bottom w:val="single" w:sz="8" w:color="808080"/>
            </w:tcBorders>
          </w:tcPr>
          <w:p>
            <w:pPr>
              <w:jc w:val="right"/>
              <w:ind w:right="233"/>
              <w:spacing w:after="0"/>
              <w:rPr>
                <w:sz w:val="20"/>
                <w:szCs w:val="20"/>
                <w:color w:val="auto"/>
              </w:rPr>
            </w:pPr>
            <w:r>
              <w:rPr>
                <w:rFonts w:ascii="Arial" w:cs="Arial" w:eastAsia="Arial" w:hAnsi="Arial"/>
                <w:sz w:val="14"/>
                <w:szCs w:val="14"/>
                <w:b w:val="1"/>
                <w:bCs w:val="1"/>
                <w:color w:val="auto"/>
              </w:rPr>
              <w:t>1,085,663</w:t>
            </w:r>
          </w:p>
        </w:tc>
        <w:tc>
          <w:tcPr>
            <w:tcW w:w="980" w:type="dxa"/>
            <w:vAlign w:val="bottom"/>
            <w:tcBorders>
              <w:bottom w:val="single" w:sz="8" w:color="808080"/>
            </w:tcBorders>
          </w:tcPr>
          <w:p>
            <w:pPr>
              <w:jc w:val="right"/>
              <w:ind w:right="229"/>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808080"/>
            </w:tcBorders>
          </w:tcPr>
          <w:p>
            <w:pPr>
              <w:ind w:left="760"/>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808080"/>
            </w:tcBorders>
          </w:tcPr>
          <w:p>
            <w:pPr>
              <w:jc w:val="right"/>
              <w:ind w:right="90"/>
              <w:spacing w:after="0"/>
              <w:rPr>
                <w:sz w:val="20"/>
                <w:szCs w:val="20"/>
                <w:color w:val="auto"/>
              </w:rPr>
            </w:pPr>
            <w:r>
              <w:rPr>
                <w:rFonts w:ascii="Arial" w:cs="Arial" w:eastAsia="Arial" w:hAnsi="Arial"/>
                <w:sz w:val="14"/>
                <w:szCs w:val="14"/>
                <w:b w:val="1"/>
                <w:bCs w:val="1"/>
                <w:color w:val="auto"/>
              </w:rPr>
              <w:t>551,183</w:t>
            </w:r>
          </w:p>
        </w:tc>
        <w:tc>
          <w:tcPr>
            <w:tcW w:w="960" w:type="dxa"/>
            <w:vAlign w:val="bottom"/>
            <w:tcBorders>
              <w:bottom w:val="single" w:sz="8" w:color="808080"/>
            </w:tcBorders>
          </w:tcPr>
          <w:p>
            <w:pPr>
              <w:jc w:val="right"/>
              <w:ind w:right="90"/>
              <w:spacing w:after="0"/>
              <w:rPr>
                <w:sz w:val="20"/>
                <w:szCs w:val="20"/>
                <w:color w:val="auto"/>
              </w:rPr>
            </w:pPr>
            <w:r>
              <w:rPr>
                <w:rFonts w:ascii="Arial" w:cs="Arial" w:eastAsia="Arial" w:hAnsi="Arial"/>
                <w:sz w:val="14"/>
                <w:szCs w:val="14"/>
                <w:b w:val="1"/>
                <w:bCs w:val="1"/>
                <w:color w:val="auto"/>
              </w:rPr>
              <w:t>551,183</w:t>
            </w:r>
          </w:p>
        </w:tc>
        <w:tc>
          <w:tcPr>
            <w:tcW w:w="0" w:type="dxa"/>
            <w:vAlign w:val="bottom"/>
          </w:tcPr>
          <w:p>
            <w:pPr>
              <w:spacing w:after="0"/>
              <w:rPr>
                <w:sz w:val="1"/>
                <w:szCs w:val="1"/>
                <w:color w:val="auto"/>
              </w:rPr>
            </w:pPr>
          </w:p>
        </w:tc>
      </w:tr>
      <w:tr>
        <w:trPr>
          <w:trHeight w:val="214"/>
        </w:trPr>
        <w:tc>
          <w:tcPr>
            <w:tcW w:w="2840" w:type="dxa"/>
            <w:vAlign w:val="bottom"/>
          </w:tcPr>
          <w:p>
            <w:pPr>
              <w:ind w:left="80"/>
              <w:spacing w:after="0"/>
              <w:rPr>
                <w:sz w:val="20"/>
                <w:szCs w:val="20"/>
                <w:color w:val="auto"/>
              </w:rPr>
            </w:pPr>
            <w:r>
              <w:rPr>
                <w:rFonts w:ascii="Arial" w:cs="Arial" w:eastAsia="Arial" w:hAnsi="Arial"/>
                <w:sz w:val="14"/>
                <w:szCs w:val="14"/>
                <w:b w:val="1"/>
                <w:bCs w:val="1"/>
                <w:color w:val="auto"/>
              </w:rPr>
              <w:t>Total</w:t>
            </w:r>
          </w:p>
        </w:tc>
        <w:tc>
          <w:tcPr>
            <w:tcW w:w="1240" w:type="dxa"/>
            <w:vAlign w:val="bottom"/>
          </w:tcPr>
          <w:p>
            <w:pPr>
              <w:jc w:val="right"/>
              <w:ind w:right="193"/>
              <w:spacing w:after="0"/>
              <w:rPr>
                <w:sz w:val="20"/>
                <w:szCs w:val="20"/>
                <w:color w:val="auto"/>
              </w:rPr>
            </w:pPr>
            <w:r>
              <w:rPr>
                <w:rFonts w:ascii="Arial" w:cs="Arial" w:eastAsia="Arial" w:hAnsi="Arial"/>
                <w:sz w:val="14"/>
                <w:szCs w:val="14"/>
                <w:b w:val="1"/>
                <w:bCs w:val="1"/>
                <w:color w:val="auto"/>
              </w:rPr>
              <w:t>30,554,904</w:t>
            </w:r>
          </w:p>
        </w:tc>
        <w:tc>
          <w:tcPr>
            <w:tcW w:w="1100" w:type="dxa"/>
            <w:vAlign w:val="bottom"/>
          </w:tcPr>
          <w:p>
            <w:pPr>
              <w:jc w:val="right"/>
              <w:ind w:right="233"/>
              <w:spacing w:after="0"/>
              <w:rPr>
                <w:sz w:val="20"/>
                <w:szCs w:val="20"/>
                <w:color w:val="auto"/>
              </w:rPr>
            </w:pPr>
            <w:r>
              <w:rPr>
                <w:rFonts w:ascii="Arial" w:cs="Arial" w:eastAsia="Arial" w:hAnsi="Arial"/>
                <w:sz w:val="14"/>
                <w:szCs w:val="14"/>
                <w:b w:val="1"/>
                <w:bCs w:val="1"/>
                <w:color w:val="auto"/>
              </w:rPr>
              <w:t>10,348,778</w:t>
            </w:r>
          </w:p>
        </w:tc>
        <w:tc>
          <w:tcPr>
            <w:tcW w:w="980" w:type="dxa"/>
            <w:vAlign w:val="bottom"/>
          </w:tcPr>
          <w:p>
            <w:pPr>
              <w:jc w:val="right"/>
              <w:ind w:right="229"/>
              <w:spacing w:after="0"/>
              <w:rPr>
                <w:sz w:val="20"/>
                <w:szCs w:val="20"/>
                <w:color w:val="auto"/>
              </w:rPr>
            </w:pPr>
            <w:r>
              <w:rPr>
                <w:rFonts w:ascii="Arial" w:cs="Arial" w:eastAsia="Arial" w:hAnsi="Arial"/>
                <w:sz w:val="14"/>
                <w:szCs w:val="14"/>
                <w:b w:val="1"/>
                <w:bCs w:val="1"/>
                <w:color w:val="auto"/>
              </w:rPr>
              <w:t>623,765</w:t>
            </w:r>
          </w:p>
        </w:tc>
        <w:tc>
          <w:tcPr>
            <w:tcW w:w="1000" w:type="dxa"/>
            <w:vAlign w:val="bottom"/>
          </w:tcPr>
          <w:p>
            <w:pPr>
              <w:ind w:left="760"/>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90"/>
              <w:spacing w:after="0"/>
              <w:rPr>
                <w:sz w:val="20"/>
                <w:szCs w:val="20"/>
                <w:color w:val="auto"/>
              </w:rPr>
            </w:pPr>
            <w:r>
              <w:rPr>
                <w:rFonts w:ascii="Arial" w:cs="Arial" w:eastAsia="Arial" w:hAnsi="Arial"/>
                <w:sz w:val="14"/>
                <w:szCs w:val="14"/>
                <w:b w:val="1"/>
                <w:bCs w:val="1"/>
                <w:color w:val="auto"/>
              </w:rPr>
              <w:t>14,592,725</w:t>
            </w:r>
          </w:p>
        </w:tc>
        <w:tc>
          <w:tcPr>
            <w:tcW w:w="960" w:type="dxa"/>
            <w:vAlign w:val="bottom"/>
          </w:tcPr>
          <w:p>
            <w:pPr>
              <w:jc w:val="right"/>
              <w:ind w:right="110"/>
              <w:spacing w:after="0"/>
              <w:rPr>
                <w:sz w:val="20"/>
                <w:szCs w:val="20"/>
                <w:color w:val="auto"/>
              </w:rPr>
            </w:pPr>
            <w:r>
              <w:rPr>
                <w:rFonts w:ascii="Arial" w:cs="Arial" w:eastAsia="Arial" w:hAnsi="Arial"/>
                <w:sz w:val="14"/>
                <w:szCs w:val="14"/>
                <w:b w:val="1"/>
                <w:bCs w:val="1"/>
                <w:color w:val="auto"/>
              </w:rPr>
              <w:t>14,592,725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57607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81" w:lineRule="exact"/>
        <w:rPr>
          <w:sz w:val="20"/>
          <w:szCs w:val="20"/>
          <w:color w:val="auto"/>
        </w:rPr>
      </w:pPr>
    </w:p>
    <w:p>
      <w:pPr>
        <w:ind w:left="620" w:right="340" w:hanging="288"/>
        <w:spacing w:after="0"/>
        <w:tabs>
          <w:tab w:leader="none" w:pos="620" w:val="left"/>
        </w:tabs>
        <w:numPr>
          <w:ilvl w:val="0"/>
          <w:numId w:val="43"/>
        </w:numPr>
        <w:rPr>
          <w:rFonts w:ascii="Arial" w:cs="Arial" w:eastAsia="Arial" w:hAnsi="Arial"/>
          <w:sz w:val="22"/>
          <w:szCs w:val="22"/>
          <w:color w:val="auto"/>
          <w:vertAlign w:val="superscript"/>
        </w:rPr>
      </w:pPr>
      <w:r>
        <w:rPr>
          <w:rFonts w:ascii="Arial" w:cs="Arial" w:eastAsia="Arial" w:hAnsi="Arial"/>
          <w:sz w:val="14"/>
          <w:szCs w:val="14"/>
          <w:color w:val="auto"/>
        </w:rPr>
        <w:t>Reflects (i) a severance payment consisting of a multiple (three times for the CEO, two times for the other NEOs) of the sum of the NEO’s base salary and the NEO’s target annual cash bonus as of September 30, 2024, (ii) a lump sum payment for the pro-rata portion of the NEO’s target annual cash bonus for 2024, (iii) a lump sum payment for continued coverage of COBRA premiums (36 months for the CEO, 24 months for the other NEOs), (iv) 12 months of outplacement services and (v) accelerated vesting of all outstanding equity awards. In order to obtain certain severance benefits, the NEO will be required to execute, deliver, and not thereafter revoke, a Separation and Release Agreement, which will contain, among other things, certain restrictive covenants.</w:t>
      </w:r>
    </w:p>
    <w:p>
      <w:pPr>
        <w:spacing w:after="0" w:line="130" w:lineRule="exact"/>
        <w:rPr>
          <w:rFonts w:ascii="Arial" w:cs="Arial" w:eastAsia="Arial" w:hAnsi="Arial"/>
          <w:sz w:val="22"/>
          <w:szCs w:val="22"/>
          <w:color w:val="auto"/>
          <w:vertAlign w:val="superscript"/>
        </w:rPr>
      </w:pPr>
    </w:p>
    <w:p>
      <w:pPr>
        <w:ind w:left="620" w:right="360" w:hanging="288"/>
        <w:spacing w:after="0"/>
        <w:tabs>
          <w:tab w:leader="none" w:pos="620" w:val="left"/>
        </w:tabs>
        <w:numPr>
          <w:ilvl w:val="0"/>
          <w:numId w:val="43"/>
        </w:numPr>
        <w:rPr>
          <w:rFonts w:ascii="Arial" w:cs="Arial" w:eastAsia="Arial" w:hAnsi="Arial"/>
          <w:sz w:val="22"/>
          <w:szCs w:val="22"/>
          <w:color w:val="auto"/>
          <w:vertAlign w:val="superscript"/>
        </w:rPr>
      </w:pPr>
      <w:r>
        <w:rPr>
          <w:rFonts w:ascii="Arial" w:cs="Arial" w:eastAsia="Arial" w:hAnsi="Arial"/>
          <w:sz w:val="14"/>
          <w:szCs w:val="14"/>
          <w:color w:val="auto"/>
        </w:rPr>
        <w:t>Reflects (i) a severance payment consisting of salary continuation (24 months for the CEO, 12 months for the other NEOs) of the sum of the NEO’s base salary and a multiple of target annual bonus as of September 30, 2024 (two times for the CEO and one times for the other NEOs), (ii) a lump sum payment for the pro-rata portion of the NEO’s target annual cash bonus for 2024, (iii) a lump sum payment for continued coverage of COBRA premiums (24 months for the CEO, 12 months for the other NEOs) and (iv) 12 months of outplacement services (no accelerated vesting is assumed here, as accelerated vesting is at the discretion of the Compensation Committee). In order to obtain certain severance benefits, the NEO will be required to execute, deliver, and not thereafter revoke, a Separation and Release Agreement, which will contain, among other things, certain restrictive covenants.</w:t>
      </w:r>
    </w:p>
    <w:p>
      <w:pPr>
        <w:spacing w:after="0" w:line="131" w:lineRule="exact"/>
        <w:rPr>
          <w:rFonts w:ascii="Arial" w:cs="Arial" w:eastAsia="Arial" w:hAnsi="Arial"/>
          <w:sz w:val="22"/>
          <w:szCs w:val="22"/>
          <w:color w:val="auto"/>
          <w:vertAlign w:val="superscript"/>
        </w:rPr>
      </w:pPr>
    </w:p>
    <w:p>
      <w:pPr>
        <w:ind w:left="620" w:right="480" w:hanging="288"/>
        <w:spacing w:after="0" w:line="220" w:lineRule="auto"/>
        <w:tabs>
          <w:tab w:leader="none" w:pos="620" w:val="left"/>
        </w:tabs>
        <w:numPr>
          <w:ilvl w:val="0"/>
          <w:numId w:val="43"/>
        </w:numPr>
        <w:rPr>
          <w:rFonts w:ascii="Arial" w:cs="Arial" w:eastAsia="Arial" w:hAnsi="Arial"/>
          <w:sz w:val="22"/>
          <w:szCs w:val="22"/>
          <w:color w:val="auto"/>
          <w:vertAlign w:val="superscript"/>
        </w:rPr>
      </w:pPr>
      <w:r>
        <w:rPr>
          <w:rFonts w:ascii="Arial" w:cs="Arial" w:eastAsia="Arial" w:hAnsi="Arial"/>
          <w:sz w:val="14"/>
          <w:szCs w:val="14"/>
          <w:color w:val="auto"/>
        </w:rPr>
        <w:t>With respect to Mr. Curtis, who is eligible for retirement, this column reflects the value of accelerated vesting of all outstanding TVU awards and, following the expiration of any related performance period, to a pro-rata portion of any amounts otherwise payable with respect to PSU awards paid at target. None of the other NEOs were eligible for retirement as of September 30, 2024.</w:t>
      </w:r>
    </w:p>
    <w:p>
      <w:pPr>
        <w:spacing w:after="0" w:line="27" w:lineRule="exact"/>
        <w:rPr>
          <w:rFonts w:ascii="Arial" w:cs="Arial" w:eastAsia="Arial" w:hAnsi="Arial"/>
          <w:sz w:val="22"/>
          <w:szCs w:val="22"/>
          <w:color w:val="auto"/>
          <w:vertAlign w:val="superscript"/>
        </w:rPr>
      </w:pPr>
    </w:p>
    <w:p>
      <w:pPr>
        <w:ind w:left="620" w:right="740" w:hanging="288"/>
        <w:spacing w:after="0" w:line="214" w:lineRule="auto"/>
        <w:tabs>
          <w:tab w:leader="none" w:pos="620" w:val="left"/>
        </w:tabs>
        <w:numPr>
          <w:ilvl w:val="0"/>
          <w:numId w:val="43"/>
        </w:numPr>
        <w:rPr>
          <w:rFonts w:ascii="Arial" w:cs="Arial" w:eastAsia="Arial" w:hAnsi="Arial"/>
          <w:sz w:val="22"/>
          <w:szCs w:val="22"/>
          <w:color w:val="auto"/>
          <w:vertAlign w:val="superscript"/>
        </w:rPr>
      </w:pPr>
      <w:r>
        <w:rPr>
          <w:rFonts w:ascii="Arial" w:cs="Arial" w:eastAsia="Arial" w:hAnsi="Arial"/>
          <w:sz w:val="14"/>
          <w:szCs w:val="14"/>
          <w:color w:val="auto"/>
        </w:rPr>
        <w:t>Upon voluntary termination, NEOs may exercise each option or SAR held by the NEO within three months after such termination. Upon involuntary termination for Cause, all options and SARs held by the NEO are canceled as of the date of termination. The SARs value was based on $14.10, the closing price of Embecta common stock on September 30, 2024.</w:t>
      </w:r>
    </w:p>
    <w:p>
      <w:pPr>
        <w:spacing w:after="0" w:line="1" w:lineRule="exact"/>
        <w:rPr>
          <w:rFonts w:ascii="Arial" w:cs="Arial" w:eastAsia="Arial" w:hAnsi="Arial"/>
          <w:sz w:val="22"/>
          <w:szCs w:val="22"/>
          <w:color w:val="auto"/>
          <w:vertAlign w:val="superscript"/>
        </w:rPr>
      </w:pPr>
    </w:p>
    <w:p>
      <w:pPr>
        <w:ind w:left="620" w:hanging="288"/>
        <w:spacing w:after="0" w:line="204" w:lineRule="auto"/>
        <w:tabs>
          <w:tab w:leader="none" w:pos="620" w:val="left"/>
        </w:tabs>
        <w:numPr>
          <w:ilvl w:val="0"/>
          <w:numId w:val="43"/>
        </w:numPr>
        <w:rPr>
          <w:rFonts w:ascii="Arial" w:cs="Arial" w:eastAsia="Arial" w:hAnsi="Arial"/>
          <w:sz w:val="22"/>
          <w:szCs w:val="22"/>
          <w:color w:val="auto"/>
          <w:vertAlign w:val="superscript"/>
        </w:rPr>
      </w:pPr>
      <w:r>
        <w:rPr>
          <w:rFonts w:ascii="Arial" w:cs="Arial" w:eastAsia="Arial" w:hAnsi="Arial"/>
          <w:sz w:val="14"/>
          <w:szCs w:val="14"/>
          <w:color w:val="auto"/>
        </w:rPr>
        <w:t>Reflects accelerated vesting of all outstanding equity awards.</w:t>
      </w:r>
    </w:p>
    <w:p>
      <w:pPr>
        <w:spacing w:after="0" w:line="40" w:lineRule="exact"/>
        <w:rPr>
          <w:rFonts w:ascii="Arial" w:cs="Arial" w:eastAsia="Arial" w:hAnsi="Arial"/>
          <w:sz w:val="22"/>
          <w:szCs w:val="22"/>
          <w:color w:val="auto"/>
          <w:vertAlign w:val="superscript"/>
        </w:rPr>
      </w:pPr>
    </w:p>
    <w:p>
      <w:pPr>
        <w:ind w:left="620" w:hanging="288"/>
        <w:spacing w:after="0" w:line="183" w:lineRule="auto"/>
        <w:tabs>
          <w:tab w:leader="none" w:pos="620" w:val="left"/>
        </w:tabs>
        <w:numPr>
          <w:ilvl w:val="0"/>
          <w:numId w:val="43"/>
        </w:numPr>
        <w:rPr>
          <w:rFonts w:ascii="Arial" w:cs="Arial" w:eastAsia="Arial" w:hAnsi="Arial"/>
          <w:sz w:val="20"/>
          <w:szCs w:val="20"/>
          <w:color w:val="auto"/>
          <w:vertAlign w:val="superscript"/>
        </w:rPr>
      </w:pPr>
      <w:r>
        <w:rPr>
          <w:rFonts w:ascii="Arial" w:cs="Arial" w:eastAsia="Arial" w:hAnsi="Arial"/>
          <w:sz w:val="14"/>
          <w:szCs w:val="14"/>
          <w:color w:val="auto"/>
        </w:rPr>
        <w:t>Reflects the NEO’s base salary and target annual cash bonus for 2024 as of September 30, 2024.</w:t>
      </w:r>
    </w:p>
    <w:p>
      <w:pPr>
        <w:spacing w:after="0" w:line="40" w:lineRule="exact"/>
        <w:rPr>
          <w:rFonts w:ascii="Arial" w:cs="Arial" w:eastAsia="Arial" w:hAnsi="Arial"/>
          <w:sz w:val="20"/>
          <w:szCs w:val="20"/>
          <w:color w:val="auto"/>
          <w:vertAlign w:val="superscript"/>
        </w:rPr>
      </w:pPr>
    </w:p>
    <w:p>
      <w:pPr>
        <w:ind w:left="620" w:hanging="288"/>
        <w:spacing w:after="0" w:line="183" w:lineRule="auto"/>
        <w:tabs>
          <w:tab w:leader="none" w:pos="620" w:val="left"/>
        </w:tabs>
        <w:numPr>
          <w:ilvl w:val="0"/>
          <w:numId w:val="43"/>
        </w:numPr>
        <w:rPr>
          <w:rFonts w:ascii="Arial" w:cs="Arial" w:eastAsia="Arial" w:hAnsi="Arial"/>
          <w:sz w:val="20"/>
          <w:szCs w:val="20"/>
          <w:color w:val="auto"/>
          <w:vertAlign w:val="superscript"/>
        </w:rPr>
      </w:pPr>
      <w:r>
        <w:rPr>
          <w:rFonts w:ascii="Arial" w:cs="Arial" w:eastAsia="Arial" w:hAnsi="Arial"/>
          <w:sz w:val="14"/>
          <w:szCs w:val="14"/>
          <w:color w:val="auto"/>
        </w:rPr>
        <w:t>Reflects the target annual bonus amounts with respect to fiscal year 2024.</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123825</wp:posOffset>
            </wp:positionV>
            <wp:extent cx="699516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114" w:right="1419" w:bottom="1440" w:gutter="0" w:footer="0" w:header="0"/>
        </w:sectPr>
      </w:pPr>
    </w:p>
    <w:bookmarkStart w:id="70" w:name="page71"/>
    <w:bookmarkEnd w:id="7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6"/>
          <w:szCs w:val="16"/>
          <w:color w:val="342C82"/>
        </w:rPr>
        <w:t>Compensation of named executive officers</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29"/>
          <w:szCs w:val="29"/>
          <w:color w:val="342C82"/>
        </w:rPr>
        <w:t>Deferred compensation</w:t>
      </w:r>
    </w:p>
    <w:p>
      <w:pPr>
        <w:spacing w:after="0" w:line="130" w:lineRule="exact"/>
        <w:rPr>
          <w:sz w:val="20"/>
          <w:szCs w:val="20"/>
          <w:color w:val="auto"/>
        </w:rPr>
      </w:pPr>
    </w:p>
    <w:p>
      <w:pPr>
        <w:ind w:left="300" w:right="399"/>
        <w:spacing w:after="0" w:line="256"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Prior to the Separation, Embecta employees were eligible to participate in the portion of the BD Restoration</w:t>
      </w:r>
      <w:r>
        <w:rPr>
          <w:rFonts w:ascii="Arial" w:cs="Arial" w:eastAsia="Arial" w:hAnsi="Arial"/>
          <w:sz w:val="16"/>
          <w:szCs w:val="16"/>
          <w:i w:val="1"/>
          <w:iCs w:val="1"/>
          <w:color w:val="auto"/>
        </w:rPr>
        <w:t xml:space="preserve"> </w:t>
      </w:r>
      <w:r>
        <w:rPr>
          <w:rFonts w:ascii="Arial" w:cs="Arial" w:eastAsia="Arial" w:hAnsi="Arial"/>
          <w:sz w:val="16"/>
          <w:szCs w:val="16"/>
          <w:color w:val="auto"/>
        </w:rPr>
        <w:t>Plan that permitted the deferral of receipt of a portion of salary and annual and long-term incentive awards. As of the Separation, the portion of the BD Restoration Plan that provided for the deferral of compensation was spun off to Embecta as the DCP. Amounts deferred into the BD Restoration Plan and earnings thereon are now subject to the DCP.</w:t>
      </w:r>
    </w:p>
    <w:p>
      <w:pPr>
        <w:spacing w:after="0" w:line="126" w:lineRule="exact"/>
        <w:rPr>
          <w:sz w:val="20"/>
          <w:szCs w:val="20"/>
          <w:color w:val="auto"/>
        </w:rPr>
      </w:pPr>
    </w:p>
    <w:p>
      <w:pPr>
        <w:ind w:left="300" w:right="319"/>
        <w:spacing w:after="0" w:line="254" w:lineRule="auto"/>
        <w:rPr>
          <w:sz w:val="20"/>
          <w:szCs w:val="20"/>
          <w:color w:val="auto"/>
        </w:rPr>
      </w:pPr>
      <w:r>
        <w:rPr>
          <w:rFonts w:ascii="Arial" w:cs="Arial" w:eastAsia="Arial" w:hAnsi="Arial"/>
          <w:sz w:val="16"/>
          <w:szCs w:val="16"/>
          <w:i w:val="1"/>
          <w:iCs w:val="1"/>
          <w:color w:val="auto"/>
        </w:rPr>
        <w:t xml:space="preserve">Cash deferrals. </w:t>
      </w:r>
      <w:r>
        <w:rPr>
          <w:rFonts w:ascii="Arial" w:cs="Arial" w:eastAsia="Arial" w:hAnsi="Arial"/>
          <w:sz w:val="16"/>
          <w:szCs w:val="16"/>
          <w:color w:val="auto"/>
        </w:rPr>
        <w:t>The DCP allows an eligible Embecta employee to defer receipt of up to 75% of salary and/or up to</w:t>
      </w:r>
      <w:r>
        <w:rPr>
          <w:rFonts w:ascii="Arial" w:cs="Arial" w:eastAsia="Arial" w:hAnsi="Arial"/>
          <w:sz w:val="16"/>
          <w:szCs w:val="16"/>
          <w:i w:val="1"/>
          <w:iCs w:val="1"/>
          <w:color w:val="auto"/>
        </w:rPr>
        <w:t xml:space="preserve"> </w:t>
      </w:r>
      <w:r>
        <w:rPr>
          <w:rFonts w:ascii="Arial" w:cs="Arial" w:eastAsia="Arial" w:hAnsi="Arial"/>
          <w:sz w:val="16"/>
          <w:szCs w:val="16"/>
          <w:color w:val="auto"/>
        </w:rPr>
        <w:t>100% of an annual incentive award until the date or dates elected by the employee. The amounts deferred are invested in accounts that mirror the gains and/or losses of several different publicly available investment funds, based on the investment selections of the participants. The investment risk is borne solely by the participant. Participants are entitled to change their investment elections at any time with respect to prior deferrals, future deferrals or both. The investment options available to participants may be changed by Embecta at any time.</w:t>
      </w:r>
    </w:p>
    <w:p>
      <w:pPr>
        <w:spacing w:after="0" w:line="128" w:lineRule="exact"/>
        <w:rPr>
          <w:sz w:val="20"/>
          <w:szCs w:val="20"/>
          <w:color w:val="auto"/>
        </w:rPr>
      </w:pPr>
    </w:p>
    <w:p>
      <w:pPr>
        <w:ind w:left="300" w:right="379"/>
        <w:spacing w:after="0" w:line="259" w:lineRule="auto"/>
        <w:rPr>
          <w:sz w:val="20"/>
          <w:szCs w:val="20"/>
          <w:color w:val="auto"/>
        </w:rPr>
      </w:pPr>
      <w:r>
        <w:rPr>
          <w:rFonts w:ascii="Arial" w:cs="Arial" w:eastAsia="Arial" w:hAnsi="Arial"/>
          <w:sz w:val="16"/>
          <w:szCs w:val="16"/>
          <w:i w:val="1"/>
          <w:iCs w:val="1"/>
          <w:color w:val="auto"/>
        </w:rPr>
        <w:t xml:space="preserve">Withdrawals and distributions. </w:t>
      </w:r>
      <w:r>
        <w:rPr>
          <w:rFonts w:ascii="Arial" w:cs="Arial" w:eastAsia="Arial" w:hAnsi="Arial"/>
          <w:sz w:val="16"/>
          <w:szCs w:val="16"/>
          <w:color w:val="auto"/>
        </w:rPr>
        <w:t>Participants may elect to receive deferred amounts either during their employment or</w:t>
      </w:r>
      <w:r>
        <w:rPr>
          <w:rFonts w:ascii="Arial" w:cs="Arial" w:eastAsia="Arial" w:hAnsi="Arial"/>
          <w:sz w:val="16"/>
          <w:szCs w:val="16"/>
          <w:i w:val="1"/>
          <w:iCs w:val="1"/>
          <w:color w:val="auto"/>
        </w:rPr>
        <w:t xml:space="preserve"> </w:t>
      </w:r>
      <w:r>
        <w:rPr>
          <w:rFonts w:ascii="Arial" w:cs="Arial" w:eastAsia="Arial" w:hAnsi="Arial"/>
          <w:sz w:val="16"/>
          <w:szCs w:val="16"/>
          <w:color w:val="auto"/>
        </w:rPr>
        <w:t>following termination of employment, and to receive distributions in installments or in a lump sum. Except in an unforeseen financial emergency, participants may not withdraw deferred amounts prior to their scheduled distribution date.</w:t>
      </w:r>
    </w:p>
    <w:p>
      <w:pPr>
        <w:spacing w:after="0" w:line="124" w:lineRule="exact"/>
        <w:rPr>
          <w:sz w:val="20"/>
          <w:szCs w:val="20"/>
          <w:color w:val="auto"/>
        </w:rPr>
      </w:pPr>
    </w:p>
    <w:p>
      <w:pPr>
        <w:ind w:left="300" w:right="399"/>
        <w:spacing w:after="0" w:line="259" w:lineRule="auto"/>
        <w:rPr>
          <w:sz w:val="20"/>
          <w:szCs w:val="20"/>
          <w:color w:val="auto"/>
        </w:rPr>
      </w:pPr>
      <w:r>
        <w:rPr>
          <w:rFonts w:ascii="Arial" w:cs="Arial" w:eastAsia="Arial" w:hAnsi="Arial"/>
          <w:sz w:val="16"/>
          <w:szCs w:val="16"/>
          <w:i w:val="1"/>
          <w:iCs w:val="1"/>
          <w:color w:val="auto"/>
        </w:rPr>
        <w:t xml:space="preserve">Matching contributions. </w:t>
      </w:r>
      <w:r>
        <w:rPr>
          <w:rFonts w:ascii="Arial" w:cs="Arial" w:eastAsia="Arial" w:hAnsi="Arial"/>
          <w:sz w:val="16"/>
          <w:szCs w:val="16"/>
          <w:color w:val="auto"/>
        </w:rPr>
        <w:t>Embecta provides matching contributions on cash amounts deferred under the DCP. These</w:t>
      </w:r>
      <w:r>
        <w:rPr>
          <w:rFonts w:ascii="Arial" w:cs="Arial" w:eastAsia="Arial" w:hAnsi="Arial"/>
          <w:sz w:val="16"/>
          <w:szCs w:val="16"/>
          <w:i w:val="1"/>
          <w:iCs w:val="1"/>
          <w:color w:val="auto"/>
        </w:rPr>
        <w:t xml:space="preserve"> </w:t>
      </w:r>
      <w:r>
        <w:rPr>
          <w:rFonts w:ascii="Arial" w:cs="Arial" w:eastAsia="Arial" w:hAnsi="Arial"/>
          <w:sz w:val="16"/>
          <w:szCs w:val="16"/>
          <w:color w:val="auto"/>
        </w:rPr>
        <w:t>contributions are made in the first calendar quarter following the calendar year in which the compensation was deferred. Embecta matches 75% of the first 6% of salary and annual incentive award deferred by a participant under the DCP, subject to certain limits.</w:t>
      </w:r>
    </w:p>
    <w:p>
      <w:pPr>
        <w:spacing w:after="0" w:line="124" w:lineRule="exact"/>
        <w:rPr>
          <w:sz w:val="20"/>
          <w:szCs w:val="20"/>
          <w:color w:val="auto"/>
        </w:rPr>
      </w:pPr>
    </w:p>
    <w:p>
      <w:pPr>
        <w:ind w:left="300" w:right="379"/>
        <w:spacing w:after="0" w:line="259" w:lineRule="auto"/>
        <w:rPr>
          <w:sz w:val="20"/>
          <w:szCs w:val="20"/>
          <w:color w:val="auto"/>
        </w:rPr>
      </w:pPr>
      <w:r>
        <w:rPr>
          <w:rFonts w:ascii="Arial" w:cs="Arial" w:eastAsia="Arial" w:hAnsi="Arial"/>
          <w:sz w:val="16"/>
          <w:szCs w:val="16"/>
          <w:i w:val="1"/>
          <w:iCs w:val="1"/>
          <w:color w:val="auto"/>
        </w:rPr>
        <w:t xml:space="preserve">Unfunded liability. </w:t>
      </w:r>
      <w:r>
        <w:rPr>
          <w:rFonts w:ascii="Arial" w:cs="Arial" w:eastAsia="Arial" w:hAnsi="Arial"/>
          <w:sz w:val="16"/>
          <w:szCs w:val="16"/>
          <w:color w:val="auto"/>
        </w:rPr>
        <w:t>Embecta is not required to make any contributions to the DCP with respect to its obligations to pay</w:t>
      </w:r>
      <w:r>
        <w:rPr>
          <w:rFonts w:ascii="Arial" w:cs="Arial" w:eastAsia="Arial" w:hAnsi="Arial"/>
          <w:sz w:val="16"/>
          <w:szCs w:val="16"/>
          <w:i w:val="1"/>
          <w:iCs w:val="1"/>
          <w:color w:val="auto"/>
        </w:rPr>
        <w:t xml:space="preserve"> </w:t>
      </w:r>
      <w:r>
        <w:rPr>
          <w:rFonts w:ascii="Arial" w:cs="Arial" w:eastAsia="Arial" w:hAnsi="Arial"/>
          <w:sz w:val="16"/>
          <w:szCs w:val="16"/>
          <w:color w:val="auto"/>
        </w:rPr>
        <w:t>deferred compensation. Embecta has unrestricted use of any cash amounts deferred by participants. Participants have an unsecured contractual commitment from Embecta to pay deferred amounts due under the DCP. When such payments are due, cash and/or stock will be distributed from Embecta’s general assets.</w:t>
      </w:r>
    </w:p>
    <w:p>
      <w:pPr>
        <w:spacing w:after="0" w:line="124" w:lineRule="exact"/>
        <w:rPr>
          <w:sz w:val="20"/>
          <w:szCs w:val="20"/>
          <w:color w:val="auto"/>
        </w:rPr>
      </w:pPr>
    </w:p>
    <w:p>
      <w:pPr>
        <w:ind w:left="300" w:right="739"/>
        <w:spacing w:after="0" w:line="286" w:lineRule="auto"/>
        <w:rPr>
          <w:sz w:val="20"/>
          <w:szCs w:val="20"/>
          <w:color w:val="auto"/>
        </w:rPr>
      </w:pPr>
      <w:r>
        <w:rPr>
          <w:rFonts w:ascii="Arial" w:cs="Arial" w:eastAsia="Arial" w:hAnsi="Arial"/>
          <w:sz w:val="16"/>
          <w:szCs w:val="16"/>
          <w:color w:val="auto"/>
        </w:rPr>
        <w:t>The following table sets forth information regarding activity during fiscal year 2024 in the deferred compensation accounts of the NEOs.</w:t>
      </w:r>
    </w:p>
    <w:p>
      <w:pPr>
        <w:spacing w:after="0" w:line="22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Nonqualified Deferred Compensation</w:t>
      </w:r>
    </w:p>
    <w:p>
      <w:pPr>
        <w:spacing w:after="0" w:line="147" w:lineRule="exact"/>
        <w:rPr>
          <w:sz w:val="20"/>
          <w:szCs w:val="20"/>
          <w:color w:val="auto"/>
        </w:rPr>
      </w:pPr>
    </w:p>
    <w:tbl>
      <w:tblPr>
        <w:tblLayout w:type="fixed"/>
        <w:tblInd w:w="300" w:type="dxa"/>
        <w:tblCellMar>
          <w:top w:w="0" w:type="dxa"/>
          <w:left w:w="0" w:type="dxa"/>
          <w:bottom w:w="0" w:type="dxa"/>
          <w:right w:w="0" w:type="dxa"/>
        </w:tblCellMar>
      </w:tblPr>
      <w:tr>
        <w:trPr>
          <w:trHeight w:val="203"/>
        </w:trPr>
        <w:tc>
          <w:tcPr>
            <w:tcW w:w="1940" w:type="dxa"/>
            <w:vAlign w:val="bottom"/>
          </w:tcPr>
          <w:p>
            <w:pPr>
              <w:spacing w:after="0"/>
              <w:rPr>
                <w:sz w:val="17"/>
                <w:szCs w:val="17"/>
                <w:color w:val="auto"/>
              </w:rPr>
            </w:pPr>
          </w:p>
        </w:tc>
        <w:tc>
          <w:tcPr>
            <w:tcW w:w="2180" w:type="dxa"/>
            <w:vAlign w:val="bottom"/>
          </w:tcPr>
          <w:p>
            <w:pPr>
              <w:jc w:val="right"/>
              <w:ind w:right="239"/>
              <w:spacing w:after="0"/>
              <w:rPr>
                <w:sz w:val="20"/>
                <w:szCs w:val="20"/>
                <w:color w:val="auto"/>
              </w:rPr>
            </w:pPr>
            <w:r>
              <w:rPr>
                <w:rFonts w:ascii="Arial" w:cs="Arial" w:eastAsia="Arial" w:hAnsi="Arial"/>
                <w:sz w:val="16"/>
                <w:szCs w:val="16"/>
                <w:b w:val="1"/>
                <w:bCs w:val="1"/>
                <w:color w:val="auto"/>
              </w:rPr>
              <w:t>Executive</w:t>
            </w:r>
          </w:p>
        </w:tc>
        <w:tc>
          <w:tcPr>
            <w:tcW w:w="1640" w:type="dxa"/>
            <w:vAlign w:val="bottom"/>
          </w:tcPr>
          <w:p>
            <w:pPr>
              <w:jc w:val="right"/>
              <w:ind w:right="219"/>
              <w:spacing w:after="0"/>
              <w:rPr>
                <w:sz w:val="20"/>
                <w:szCs w:val="20"/>
                <w:color w:val="auto"/>
              </w:rPr>
            </w:pPr>
            <w:r>
              <w:rPr>
                <w:rFonts w:ascii="Arial" w:cs="Arial" w:eastAsia="Arial" w:hAnsi="Arial"/>
                <w:sz w:val="16"/>
                <w:szCs w:val="16"/>
                <w:b w:val="1"/>
                <w:bCs w:val="1"/>
                <w:color w:val="auto"/>
              </w:rPr>
              <w:t>Registrant</w:t>
            </w:r>
          </w:p>
        </w:tc>
        <w:tc>
          <w:tcPr>
            <w:tcW w:w="1460" w:type="dxa"/>
            <w:vAlign w:val="bottom"/>
          </w:tcPr>
          <w:p>
            <w:pPr>
              <w:jc w:val="right"/>
              <w:ind w:right="219"/>
              <w:spacing w:after="0"/>
              <w:rPr>
                <w:sz w:val="20"/>
                <w:szCs w:val="20"/>
                <w:color w:val="auto"/>
              </w:rPr>
            </w:pPr>
            <w:r>
              <w:rPr>
                <w:rFonts w:ascii="Arial" w:cs="Arial" w:eastAsia="Arial" w:hAnsi="Arial"/>
                <w:sz w:val="16"/>
                <w:szCs w:val="16"/>
                <w:b w:val="1"/>
                <w:bCs w:val="1"/>
                <w:color w:val="auto"/>
              </w:rPr>
              <w:t>Aggregate</w:t>
            </w:r>
          </w:p>
        </w:tc>
        <w:tc>
          <w:tcPr>
            <w:tcW w:w="1200" w:type="dxa"/>
            <w:vAlign w:val="bottom"/>
          </w:tcPr>
          <w:p>
            <w:pPr>
              <w:jc w:val="right"/>
              <w:ind w:right="39"/>
              <w:spacing w:after="0"/>
              <w:rPr>
                <w:sz w:val="20"/>
                <w:szCs w:val="20"/>
                <w:color w:val="auto"/>
              </w:rPr>
            </w:pPr>
            <w:r>
              <w:rPr>
                <w:rFonts w:ascii="Arial" w:cs="Arial" w:eastAsia="Arial" w:hAnsi="Arial"/>
                <w:sz w:val="16"/>
                <w:szCs w:val="16"/>
                <w:b w:val="1"/>
                <w:bCs w:val="1"/>
                <w:color w:val="auto"/>
              </w:rPr>
              <w:t>Aggregate</w:t>
            </w:r>
          </w:p>
        </w:tc>
      </w:tr>
      <w:tr>
        <w:trPr>
          <w:trHeight w:val="189"/>
        </w:trPr>
        <w:tc>
          <w:tcPr>
            <w:tcW w:w="1940" w:type="dxa"/>
            <w:vAlign w:val="bottom"/>
          </w:tcPr>
          <w:p>
            <w:pPr>
              <w:spacing w:after="0"/>
              <w:rPr>
                <w:sz w:val="16"/>
                <w:szCs w:val="16"/>
                <w:color w:val="auto"/>
              </w:rPr>
            </w:pPr>
          </w:p>
        </w:tc>
        <w:tc>
          <w:tcPr>
            <w:tcW w:w="2180" w:type="dxa"/>
            <w:vAlign w:val="bottom"/>
          </w:tcPr>
          <w:p>
            <w:pPr>
              <w:jc w:val="right"/>
              <w:ind w:right="239"/>
              <w:spacing w:after="0"/>
              <w:rPr>
                <w:sz w:val="20"/>
                <w:szCs w:val="20"/>
                <w:color w:val="auto"/>
              </w:rPr>
            </w:pPr>
            <w:r>
              <w:rPr>
                <w:rFonts w:ascii="Arial" w:cs="Arial" w:eastAsia="Arial" w:hAnsi="Arial"/>
                <w:sz w:val="16"/>
                <w:szCs w:val="16"/>
                <w:b w:val="1"/>
                <w:bCs w:val="1"/>
                <w:color w:val="auto"/>
              </w:rPr>
              <w:t>contributions</w:t>
            </w:r>
          </w:p>
        </w:tc>
        <w:tc>
          <w:tcPr>
            <w:tcW w:w="1640" w:type="dxa"/>
            <w:vAlign w:val="bottom"/>
          </w:tcPr>
          <w:p>
            <w:pPr>
              <w:jc w:val="right"/>
              <w:ind w:right="219"/>
              <w:spacing w:after="0"/>
              <w:rPr>
                <w:sz w:val="20"/>
                <w:szCs w:val="20"/>
                <w:color w:val="auto"/>
              </w:rPr>
            </w:pPr>
            <w:r>
              <w:rPr>
                <w:rFonts w:ascii="Arial" w:cs="Arial" w:eastAsia="Arial" w:hAnsi="Arial"/>
                <w:sz w:val="16"/>
                <w:szCs w:val="16"/>
                <w:b w:val="1"/>
                <w:bCs w:val="1"/>
                <w:color w:val="auto"/>
              </w:rPr>
              <w:t>Contributions</w:t>
            </w:r>
          </w:p>
        </w:tc>
        <w:tc>
          <w:tcPr>
            <w:tcW w:w="1460" w:type="dxa"/>
            <w:vAlign w:val="bottom"/>
          </w:tcPr>
          <w:p>
            <w:pPr>
              <w:jc w:val="right"/>
              <w:ind w:right="219"/>
              <w:spacing w:after="0"/>
              <w:rPr>
                <w:sz w:val="20"/>
                <w:szCs w:val="20"/>
                <w:color w:val="auto"/>
              </w:rPr>
            </w:pPr>
            <w:r>
              <w:rPr>
                <w:rFonts w:ascii="Arial" w:cs="Arial" w:eastAsia="Arial" w:hAnsi="Arial"/>
                <w:sz w:val="16"/>
                <w:szCs w:val="16"/>
                <w:b w:val="1"/>
                <w:bCs w:val="1"/>
                <w:color w:val="auto"/>
              </w:rPr>
              <w:t>Earnings in</w:t>
            </w:r>
          </w:p>
        </w:tc>
        <w:tc>
          <w:tcPr>
            <w:tcW w:w="1200" w:type="dxa"/>
            <w:vAlign w:val="bottom"/>
          </w:tcPr>
          <w:p>
            <w:pPr>
              <w:jc w:val="right"/>
              <w:ind w:right="39"/>
              <w:spacing w:after="0"/>
              <w:rPr>
                <w:sz w:val="20"/>
                <w:szCs w:val="20"/>
                <w:color w:val="auto"/>
              </w:rPr>
            </w:pPr>
            <w:r>
              <w:rPr>
                <w:rFonts w:ascii="Arial" w:cs="Arial" w:eastAsia="Arial" w:hAnsi="Arial"/>
                <w:sz w:val="16"/>
                <w:szCs w:val="16"/>
                <w:b w:val="1"/>
                <w:bCs w:val="1"/>
                <w:color w:val="auto"/>
              </w:rPr>
              <w:t>Balance at</w:t>
            </w:r>
          </w:p>
        </w:tc>
      </w:tr>
      <w:tr>
        <w:trPr>
          <w:trHeight w:val="189"/>
        </w:trPr>
        <w:tc>
          <w:tcPr>
            <w:tcW w:w="1940" w:type="dxa"/>
            <w:vAlign w:val="bottom"/>
          </w:tcPr>
          <w:p>
            <w:pPr>
              <w:spacing w:after="0"/>
              <w:rPr>
                <w:sz w:val="16"/>
                <w:szCs w:val="16"/>
                <w:color w:val="auto"/>
              </w:rPr>
            </w:pPr>
          </w:p>
        </w:tc>
        <w:tc>
          <w:tcPr>
            <w:tcW w:w="2180" w:type="dxa"/>
            <w:vAlign w:val="bottom"/>
          </w:tcPr>
          <w:p>
            <w:pPr>
              <w:jc w:val="right"/>
              <w:ind w:right="239"/>
              <w:spacing w:after="0"/>
              <w:rPr>
                <w:sz w:val="20"/>
                <w:szCs w:val="20"/>
                <w:color w:val="auto"/>
              </w:rPr>
            </w:pPr>
            <w:r>
              <w:rPr>
                <w:rFonts w:ascii="Arial" w:cs="Arial" w:eastAsia="Arial" w:hAnsi="Arial"/>
                <w:sz w:val="16"/>
                <w:szCs w:val="16"/>
                <w:b w:val="1"/>
                <w:bCs w:val="1"/>
                <w:color w:val="auto"/>
              </w:rPr>
              <w:t>in Last FY</w:t>
            </w:r>
          </w:p>
        </w:tc>
        <w:tc>
          <w:tcPr>
            <w:tcW w:w="1640" w:type="dxa"/>
            <w:vAlign w:val="bottom"/>
          </w:tcPr>
          <w:p>
            <w:pPr>
              <w:jc w:val="right"/>
              <w:ind w:right="219"/>
              <w:spacing w:after="0"/>
              <w:rPr>
                <w:sz w:val="20"/>
                <w:szCs w:val="20"/>
                <w:color w:val="auto"/>
              </w:rPr>
            </w:pPr>
            <w:r>
              <w:rPr>
                <w:rFonts w:ascii="Arial" w:cs="Arial" w:eastAsia="Arial" w:hAnsi="Arial"/>
                <w:sz w:val="16"/>
                <w:szCs w:val="16"/>
                <w:b w:val="1"/>
                <w:bCs w:val="1"/>
                <w:color w:val="auto"/>
              </w:rPr>
              <w:t>in Last FY</w:t>
            </w:r>
          </w:p>
        </w:tc>
        <w:tc>
          <w:tcPr>
            <w:tcW w:w="1460" w:type="dxa"/>
            <w:vAlign w:val="bottom"/>
          </w:tcPr>
          <w:p>
            <w:pPr>
              <w:jc w:val="right"/>
              <w:ind w:right="179"/>
              <w:spacing w:after="0"/>
              <w:rPr>
                <w:sz w:val="20"/>
                <w:szCs w:val="20"/>
                <w:color w:val="auto"/>
              </w:rPr>
            </w:pPr>
            <w:r>
              <w:rPr>
                <w:rFonts w:ascii="Arial" w:cs="Arial" w:eastAsia="Arial" w:hAnsi="Arial"/>
                <w:sz w:val="16"/>
                <w:szCs w:val="16"/>
                <w:b w:val="1"/>
                <w:bCs w:val="1"/>
                <w:color w:val="auto"/>
              </w:rPr>
              <w:t>Last FY</w:t>
            </w:r>
          </w:p>
        </w:tc>
        <w:tc>
          <w:tcPr>
            <w:tcW w:w="1200" w:type="dxa"/>
            <w:vAlign w:val="bottom"/>
          </w:tcPr>
          <w:p>
            <w:pPr>
              <w:jc w:val="right"/>
              <w:ind w:right="39"/>
              <w:spacing w:after="0"/>
              <w:rPr>
                <w:sz w:val="20"/>
                <w:szCs w:val="20"/>
                <w:color w:val="auto"/>
              </w:rPr>
            </w:pPr>
            <w:r>
              <w:rPr>
                <w:rFonts w:ascii="Arial" w:cs="Arial" w:eastAsia="Arial" w:hAnsi="Arial"/>
                <w:sz w:val="16"/>
                <w:szCs w:val="16"/>
                <w:b w:val="1"/>
                <w:bCs w:val="1"/>
                <w:color w:val="auto"/>
              </w:rPr>
              <w:t>Last FYE</w:t>
            </w:r>
          </w:p>
        </w:tc>
      </w:tr>
      <w:tr>
        <w:trPr>
          <w:trHeight w:val="270"/>
        </w:trPr>
        <w:tc>
          <w:tcPr>
            <w:tcW w:w="1940" w:type="dxa"/>
            <w:vAlign w:val="bottom"/>
            <w:tcBorders>
              <w:bottom w:val="single" w:sz="8" w:color="342C82"/>
            </w:tcBorders>
          </w:tcPr>
          <w:p>
            <w:pPr>
              <w:ind w:left="80"/>
              <w:spacing w:after="0"/>
              <w:rPr>
                <w:sz w:val="20"/>
                <w:szCs w:val="20"/>
                <w:color w:val="auto"/>
              </w:rPr>
            </w:pPr>
            <w:r>
              <w:rPr>
                <w:rFonts w:ascii="Arial" w:cs="Arial" w:eastAsia="Arial" w:hAnsi="Arial"/>
                <w:sz w:val="16"/>
                <w:szCs w:val="16"/>
                <w:b w:val="1"/>
                <w:bCs w:val="1"/>
                <w:color w:val="auto"/>
              </w:rPr>
              <w:t>Name</w:t>
            </w:r>
          </w:p>
        </w:tc>
        <w:tc>
          <w:tcPr>
            <w:tcW w:w="2180" w:type="dxa"/>
            <w:vAlign w:val="bottom"/>
            <w:tcBorders>
              <w:bottom w:val="single" w:sz="8" w:color="342C82"/>
            </w:tcBorders>
          </w:tcPr>
          <w:p>
            <w:pPr>
              <w:jc w:val="right"/>
              <w:ind w:right="199"/>
              <w:spacing w:after="0" w:line="270"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26"/>
                <w:szCs w:val="26"/>
                <w:b w:val="1"/>
                <w:bCs w:val="1"/>
                <w:color w:val="auto"/>
                <w:vertAlign w:val="superscript"/>
              </w:rPr>
              <w:t>(1)</w:t>
            </w:r>
          </w:p>
        </w:tc>
        <w:tc>
          <w:tcPr>
            <w:tcW w:w="1640" w:type="dxa"/>
            <w:vAlign w:val="bottom"/>
            <w:tcBorders>
              <w:bottom w:val="single" w:sz="8" w:color="342C82"/>
            </w:tcBorders>
          </w:tcPr>
          <w:p>
            <w:pPr>
              <w:jc w:val="right"/>
              <w:ind w:right="179"/>
              <w:spacing w:after="0" w:line="270"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26"/>
                <w:szCs w:val="26"/>
                <w:b w:val="1"/>
                <w:bCs w:val="1"/>
                <w:color w:val="auto"/>
                <w:vertAlign w:val="superscript"/>
              </w:rPr>
              <w:t>(2)</w:t>
            </w:r>
          </w:p>
        </w:tc>
        <w:tc>
          <w:tcPr>
            <w:tcW w:w="1460" w:type="dxa"/>
            <w:vAlign w:val="bottom"/>
            <w:tcBorders>
              <w:bottom w:val="single" w:sz="8" w:color="342C82"/>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342C82"/>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29"/>
        </w:trPr>
        <w:tc>
          <w:tcPr>
            <w:tcW w:w="1940" w:type="dxa"/>
            <w:vAlign w:val="bottom"/>
          </w:tcPr>
          <w:p>
            <w:pPr>
              <w:ind w:left="80"/>
              <w:spacing w:after="0"/>
              <w:rPr>
                <w:sz w:val="20"/>
                <w:szCs w:val="20"/>
                <w:color w:val="auto"/>
              </w:rPr>
            </w:pPr>
            <w:r>
              <w:rPr>
                <w:rFonts w:ascii="Arial" w:cs="Arial" w:eastAsia="Arial" w:hAnsi="Arial"/>
                <w:sz w:val="16"/>
                <w:szCs w:val="16"/>
                <w:b w:val="1"/>
                <w:bCs w:val="1"/>
                <w:color w:val="342C82"/>
              </w:rPr>
              <w:t>Dev Kurdikar</w:t>
            </w:r>
          </w:p>
        </w:tc>
        <w:tc>
          <w:tcPr>
            <w:tcW w:w="2180" w:type="dxa"/>
            <w:vAlign w:val="bottom"/>
          </w:tcPr>
          <w:p>
            <w:pPr>
              <w:jc w:val="right"/>
              <w:ind w:right="279"/>
              <w:spacing w:after="0"/>
              <w:rPr>
                <w:sz w:val="20"/>
                <w:szCs w:val="20"/>
                <w:color w:val="auto"/>
              </w:rPr>
            </w:pPr>
            <w:r>
              <w:rPr>
                <w:rFonts w:ascii="Arial" w:cs="Arial" w:eastAsia="Arial" w:hAnsi="Arial"/>
                <w:sz w:val="16"/>
                <w:szCs w:val="16"/>
                <w:color w:val="auto"/>
              </w:rPr>
              <w:t>504,157</w:t>
            </w:r>
          </w:p>
        </w:tc>
        <w:tc>
          <w:tcPr>
            <w:tcW w:w="1640" w:type="dxa"/>
            <w:vAlign w:val="bottom"/>
          </w:tcPr>
          <w:p>
            <w:pPr>
              <w:jc w:val="right"/>
              <w:ind w:right="259"/>
              <w:spacing w:after="0"/>
              <w:rPr>
                <w:sz w:val="20"/>
                <w:szCs w:val="20"/>
                <w:color w:val="auto"/>
              </w:rPr>
            </w:pPr>
            <w:r>
              <w:rPr>
                <w:rFonts w:ascii="Arial" w:cs="Arial" w:eastAsia="Arial" w:hAnsi="Arial"/>
                <w:sz w:val="16"/>
                <w:szCs w:val="16"/>
                <w:color w:val="auto"/>
              </w:rPr>
              <w:t>49,916</w:t>
            </w:r>
          </w:p>
        </w:tc>
        <w:tc>
          <w:tcPr>
            <w:tcW w:w="1460" w:type="dxa"/>
            <w:vAlign w:val="bottom"/>
          </w:tcPr>
          <w:p>
            <w:pPr>
              <w:jc w:val="right"/>
              <w:ind w:right="279"/>
              <w:spacing w:after="0"/>
              <w:rPr>
                <w:sz w:val="20"/>
                <w:szCs w:val="20"/>
                <w:color w:val="auto"/>
              </w:rPr>
            </w:pPr>
            <w:r>
              <w:rPr>
                <w:rFonts w:ascii="Arial" w:cs="Arial" w:eastAsia="Arial" w:hAnsi="Arial"/>
                <w:sz w:val="16"/>
                <w:szCs w:val="16"/>
                <w:color w:val="auto"/>
              </w:rPr>
              <w:t>407,878</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2,139,394</w:t>
            </w:r>
          </w:p>
        </w:tc>
      </w:tr>
      <w:tr>
        <w:trPr>
          <w:trHeight w:val="21"/>
        </w:trPr>
        <w:tc>
          <w:tcPr>
            <w:tcW w:w="1940" w:type="dxa"/>
            <w:vAlign w:val="bottom"/>
            <w:tcBorders>
              <w:bottom w:val="single" w:sz="8" w:color="808080"/>
            </w:tcBorders>
          </w:tcPr>
          <w:p>
            <w:pPr>
              <w:spacing w:after="0" w:line="20" w:lineRule="exact"/>
              <w:rPr>
                <w:sz w:val="1"/>
                <w:szCs w:val="1"/>
                <w:color w:val="auto"/>
              </w:rPr>
            </w:pPr>
          </w:p>
        </w:tc>
        <w:tc>
          <w:tcPr>
            <w:tcW w:w="2180" w:type="dxa"/>
            <w:vAlign w:val="bottom"/>
            <w:tcBorders>
              <w:bottom w:val="single" w:sz="8" w:color="808080"/>
            </w:tcBorders>
          </w:tcPr>
          <w:p>
            <w:pPr>
              <w:spacing w:after="0" w:line="20" w:lineRule="exact"/>
              <w:rPr>
                <w:sz w:val="1"/>
                <w:szCs w:val="1"/>
                <w:color w:val="auto"/>
              </w:rPr>
            </w:pPr>
          </w:p>
        </w:tc>
        <w:tc>
          <w:tcPr>
            <w:tcW w:w="1640" w:type="dxa"/>
            <w:vAlign w:val="bottom"/>
            <w:tcBorders>
              <w:bottom w:val="single" w:sz="8" w:color="808080"/>
            </w:tcBorders>
          </w:tcPr>
          <w:p>
            <w:pPr>
              <w:spacing w:after="0" w:line="20" w:lineRule="exact"/>
              <w:rPr>
                <w:sz w:val="1"/>
                <w:szCs w:val="1"/>
                <w:color w:val="auto"/>
              </w:rPr>
            </w:pPr>
          </w:p>
        </w:tc>
        <w:tc>
          <w:tcPr>
            <w:tcW w:w="1460" w:type="dxa"/>
            <w:vAlign w:val="bottom"/>
            <w:tcBorders>
              <w:bottom w:val="single" w:sz="8" w:color="808080"/>
            </w:tcBorders>
          </w:tcPr>
          <w:p>
            <w:pPr>
              <w:spacing w:after="0" w:line="20" w:lineRule="exact"/>
              <w:rPr>
                <w:sz w:val="1"/>
                <w:szCs w:val="1"/>
                <w:color w:val="auto"/>
              </w:rPr>
            </w:pPr>
          </w:p>
        </w:tc>
        <w:tc>
          <w:tcPr>
            <w:tcW w:w="1200" w:type="dxa"/>
            <w:vAlign w:val="bottom"/>
            <w:tcBorders>
              <w:bottom w:val="single" w:sz="8" w:color="808080"/>
            </w:tcBorders>
          </w:tcPr>
          <w:p>
            <w:pPr>
              <w:spacing w:after="0" w:line="20" w:lineRule="exact"/>
              <w:rPr>
                <w:sz w:val="1"/>
                <w:szCs w:val="1"/>
                <w:color w:val="auto"/>
              </w:rPr>
            </w:pPr>
          </w:p>
        </w:tc>
      </w:tr>
      <w:tr>
        <w:trPr>
          <w:trHeight w:val="229"/>
        </w:trPr>
        <w:tc>
          <w:tcPr>
            <w:tcW w:w="1940" w:type="dxa"/>
            <w:vAlign w:val="bottom"/>
          </w:tcPr>
          <w:p>
            <w:pPr>
              <w:ind w:left="80"/>
              <w:spacing w:after="0"/>
              <w:rPr>
                <w:sz w:val="20"/>
                <w:szCs w:val="20"/>
                <w:color w:val="auto"/>
              </w:rPr>
            </w:pPr>
            <w:r>
              <w:rPr>
                <w:rFonts w:ascii="Arial" w:cs="Arial" w:eastAsia="Arial" w:hAnsi="Arial"/>
                <w:sz w:val="16"/>
                <w:szCs w:val="16"/>
                <w:b w:val="1"/>
                <w:bCs w:val="1"/>
                <w:color w:val="342C82"/>
              </w:rPr>
              <w:t>Jake Elguicze</w:t>
            </w:r>
          </w:p>
        </w:tc>
        <w:tc>
          <w:tcPr>
            <w:tcW w:w="2180" w:type="dxa"/>
            <w:vAlign w:val="bottom"/>
          </w:tcPr>
          <w:p>
            <w:pPr>
              <w:jc w:val="right"/>
              <w:ind w:right="299"/>
              <w:spacing w:after="0"/>
              <w:rPr>
                <w:sz w:val="20"/>
                <w:szCs w:val="20"/>
                <w:color w:val="auto"/>
              </w:rPr>
            </w:pPr>
            <w:r>
              <w:rPr>
                <w:rFonts w:ascii="Arial" w:cs="Arial" w:eastAsia="Arial" w:hAnsi="Arial"/>
                <w:sz w:val="16"/>
                <w:szCs w:val="16"/>
                <w:color w:val="auto"/>
              </w:rPr>
              <w:t>55,723</w:t>
            </w:r>
          </w:p>
        </w:tc>
        <w:tc>
          <w:tcPr>
            <w:tcW w:w="1640" w:type="dxa"/>
            <w:vAlign w:val="bottom"/>
          </w:tcPr>
          <w:p>
            <w:pPr>
              <w:jc w:val="right"/>
              <w:ind w:right="259"/>
              <w:spacing w:after="0"/>
              <w:rPr>
                <w:sz w:val="20"/>
                <w:szCs w:val="20"/>
                <w:color w:val="auto"/>
              </w:rPr>
            </w:pPr>
            <w:r>
              <w:rPr>
                <w:rFonts w:ascii="Arial" w:cs="Arial" w:eastAsia="Arial" w:hAnsi="Arial"/>
                <w:sz w:val="16"/>
                <w:szCs w:val="16"/>
                <w:color w:val="auto"/>
              </w:rPr>
              <w:t>48,057</w:t>
            </w:r>
          </w:p>
        </w:tc>
        <w:tc>
          <w:tcPr>
            <w:tcW w:w="1460" w:type="dxa"/>
            <w:vAlign w:val="bottom"/>
          </w:tcPr>
          <w:p>
            <w:pPr>
              <w:jc w:val="right"/>
              <w:ind w:right="279"/>
              <w:spacing w:after="0"/>
              <w:rPr>
                <w:sz w:val="20"/>
                <w:szCs w:val="20"/>
                <w:color w:val="auto"/>
              </w:rPr>
            </w:pPr>
            <w:r>
              <w:rPr>
                <w:rFonts w:ascii="Arial" w:cs="Arial" w:eastAsia="Arial" w:hAnsi="Arial"/>
                <w:sz w:val="16"/>
                <w:szCs w:val="16"/>
                <w:color w:val="auto"/>
              </w:rPr>
              <w:t>50,685</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300,976</w:t>
            </w:r>
          </w:p>
        </w:tc>
      </w:tr>
      <w:tr>
        <w:trPr>
          <w:trHeight w:val="21"/>
        </w:trPr>
        <w:tc>
          <w:tcPr>
            <w:tcW w:w="1940" w:type="dxa"/>
            <w:vAlign w:val="bottom"/>
            <w:tcBorders>
              <w:bottom w:val="single" w:sz="8" w:color="808080"/>
            </w:tcBorders>
          </w:tcPr>
          <w:p>
            <w:pPr>
              <w:spacing w:after="0" w:line="20" w:lineRule="exact"/>
              <w:rPr>
                <w:sz w:val="1"/>
                <w:szCs w:val="1"/>
                <w:color w:val="auto"/>
              </w:rPr>
            </w:pPr>
          </w:p>
        </w:tc>
        <w:tc>
          <w:tcPr>
            <w:tcW w:w="2180" w:type="dxa"/>
            <w:vAlign w:val="bottom"/>
            <w:tcBorders>
              <w:bottom w:val="single" w:sz="8" w:color="808080"/>
            </w:tcBorders>
          </w:tcPr>
          <w:p>
            <w:pPr>
              <w:spacing w:after="0" w:line="20" w:lineRule="exact"/>
              <w:rPr>
                <w:sz w:val="1"/>
                <w:szCs w:val="1"/>
                <w:color w:val="auto"/>
              </w:rPr>
            </w:pPr>
          </w:p>
        </w:tc>
        <w:tc>
          <w:tcPr>
            <w:tcW w:w="1640" w:type="dxa"/>
            <w:vAlign w:val="bottom"/>
            <w:tcBorders>
              <w:bottom w:val="single" w:sz="8" w:color="808080"/>
            </w:tcBorders>
          </w:tcPr>
          <w:p>
            <w:pPr>
              <w:spacing w:after="0" w:line="20" w:lineRule="exact"/>
              <w:rPr>
                <w:sz w:val="1"/>
                <w:szCs w:val="1"/>
                <w:color w:val="auto"/>
              </w:rPr>
            </w:pPr>
          </w:p>
        </w:tc>
        <w:tc>
          <w:tcPr>
            <w:tcW w:w="1460" w:type="dxa"/>
            <w:vAlign w:val="bottom"/>
            <w:tcBorders>
              <w:bottom w:val="single" w:sz="8" w:color="808080"/>
            </w:tcBorders>
          </w:tcPr>
          <w:p>
            <w:pPr>
              <w:spacing w:after="0" w:line="20" w:lineRule="exact"/>
              <w:rPr>
                <w:sz w:val="1"/>
                <w:szCs w:val="1"/>
                <w:color w:val="auto"/>
              </w:rPr>
            </w:pPr>
          </w:p>
        </w:tc>
        <w:tc>
          <w:tcPr>
            <w:tcW w:w="1200" w:type="dxa"/>
            <w:vAlign w:val="bottom"/>
            <w:tcBorders>
              <w:bottom w:val="single" w:sz="8" w:color="808080"/>
            </w:tcBorders>
          </w:tcPr>
          <w:p>
            <w:pPr>
              <w:spacing w:after="0" w:line="20" w:lineRule="exact"/>
              <w:rPr>
                <w:sz w:val="1"/>
                <w:szCs w:val="1"/>
                <w:color w:val="auto"/>
              </w:rPr>
            </w:pPr>
          </w:p>
        </w:tc>
      </w:tr>
      <w:tr>
        <w:trPr>
          <w:trHeight w:val="229"/>
        </w:trPr>
        <w:tc>
          <w:tcPr>
            <w:tcW w:w="1940" w:type="dxa"/>
            <w:vAlign w:val="bottom"/>
          </w:tcPr>
          <w:p>
            <w:pPr>
              <w:ind w:left="80"/>
              <w:spacing w:after="0"/>
              <w:rPr>
                <w:sz w:val="20"/>
                <w:szCs w:val="20"/>
                <w:color w:val="auto"/>
              </w:rPr>
            </w:pPr>
            <w:r>
              <w:rPr>
                <w:rFonts w:ascii="Arial" w:cs="Arial" w:eastAsia="Arial" w:hAnsi="Arial"/>
                <w:sz w:val="16"/>
                <w:szCs w:val="16"/>
                <w:b w:val="1"/>
                <w:bCs w:val="1"/>
                <w:color w:val="342C82"/>
              </w:rPr>
              <w:t>Shaun Curtis</w:t>
            </w:r>
          </w:p>
        </w:tc>
        <w:tc>
          <w:tcPr>
            <w:tcW w:w="21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1"/>
        </w:trPr>
        <w:tc>
          <w:tcPr>
            <w:tcW w:w="1940" w:type="dxa"/>
            <w:vAlign w:val="bottom"/>
            <w:tcBorders>
              <w:bottom w:val="single" w:sz="8" w:color="808080"/>
            </w:tcBorders>
          </w:tcPr>
          <w:p>
            <w:pPr>
              <w:spacing w:after="0" w:line="20" w:lineRule="exact"/>
              <w:rPr>
                <w:sz w:val="1"/>
                <w:szCs w:val="1"/>
                <w:color w:val="auto"/>
              </w:rPr>
            </w:pPr>
          </w:p>
        </w:tc>
        <w:tc>
          <w:tcPr>
            <w:tcW w:w="2180" w:type="dxa"/>
            <w:vAlign w:val="bottom"/>
            <w:tcBorders>
              <w:bottom w:val="single" w:sz="8" w:color="808080"/>
            </w:tcBorders>
          </w:tcPr>
          <w:p>
            <w:pPr>
              <w:spacing w:after="0" w:line="20" w:lineRule="exact"/>
              <w:rPr>
                <w:sz w:val="1"/>
                <w:szCs w:val="1"/>
                <w:color w:val="auto"/>
              </w:rPr>
            </w:pPr>
          </w:p>
        </w:tc>
        <w:tc>
          <w:tcPr>
            <w:tcW w:w="1640" w:type="dxa"/>
            <w:vAlign w:val="bottom"/>
            <w:tcBorders>
              <w:bottom w:val="single" w:sz="8" w:color="808080"/>
            </w:tcBorders>
          </w:tcPr>
          <w:p>
            <w:pPr>
              <w:spacing w:after="0" w:line="20" w:lineRule="exact"/>
              <w:rPr>
                <w:sz w:val="1"/>
                <w:szCs w:val="1"/>
                <w:color w:val="auto"/>
              </w:rPr>
            </w:pPr>
          </w:p>
        </w:tc>
        <w:tc>
          <w:tcPr>
            <w:tcW w:w="1460" w:type="dxa"/>
            <w:vAlign w:val="bottom"/>
            <w:tcBorders>
              <w:bottom w:val="single" w:sz="8" w:color="808080"/>
            </w:tcBorders>
          </w:tcPr>
          <w:p>
            <w:pPr>
              <w:spacing w:after="0" w:line="20" w:lineRule="exact"/>
              <w:rPr>
                <w:sz w:val="1"/>
                <w:szCs w:val="1"/>
                <w:color w:val="auto"/>
              </w:rPr>
            </w:pPr>
          </w:p>
        </w:tc>
        <w:tc>
          <w:tcPr>
            <w:tcW w:w="1200" w:type="dxa"/>
            <w:vAlign w:val="bottom"/>
            <w:tcBorders>
              <w:bottom w:val="single" w:sz="8" w:color="808080"/>
            </w:tcBorders>
          </w:tcPr>
          <w:p>
            <w:pPr>
              <w:spacing w:after="0" w:line="20" w:lineRule="exact"/>
              <w:rPr>
                <w:sz w:val="1"/>
                <w:szCs w:val="1"/>
                <w:color w:val="auto"/>
              </w:rPr>
            </w:pPr>
          </w:p>
        </w:tc>
      </w:tr>
      <w:tr>
        <w:trPr>
          <w:trHeight w:val="229"/>
        </w:trPr>
        <w:tc>
          <w:tcPr>
            <w:tcW w:w="1940" w:type="dxa"/>
            <w:vAlign w:val="bottom"/>
          </w:tcPr>
          <w:p>
            <w:pPr>
              <w:ind w:left="80"/>
              <w:spacing w:after="0"/>
              <w:rPr>
                <w:sz w:val="20"/>
                <w:szCs w:val="20"/>
                <w:color w:val="auto"/>
              </w:rPr>
            </w:pPr>
            <w:r>
              <w:rPr>
                <w:rFonts w:ascii="Arial" w:cs="Arial" w:eastAsia="Arial" w:hAnsi="Arial"/>
                <w:sz w:val="16"/>
                <w:szCs w:val="16"/>
                <w:b w:val="1"/>
                <w:bCs w:val="1"/>
                <w:color w:val="342C82"/>
              </w:rPr>
              <w:t>Jeff Mann</w:t>
            </w:r>
          </w:p>
        </w:tc>
        <w:tc>
          <w:tcPr>
            <w:tcW w:w="21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259"/>
              <w:spacing w:after="0"/>
              <w:rPr>
                <w:sz w:val="20"/>
                <w:szCs w:val="20"/>
                <w:color w:val="auto"/>
              </w:rPr>
            </w:pPr>
            <w:r>
              <w:rPr>
                <w:rFonts w:ascii="Arial" w:cs="Arial" w:eastAsia="Arial" w:hAnsi="Arial"/>
                <w:sz w:val="16"/>
                <w:szCs w:val="16"/>
                <w:color w:val="auto"/>
              </w:rPr>
              <w:t>17,915</w:t>
            </w:r>
          </w:p>
        </w:tc>
        <w:tc>
          <w:tcPr>
            <w:tcW w:w="1460" w:type="dxa"/>
            <w:vAlign w:val="bottom"/>
          </w:tcPr>
          <w:p>
            <w:pPr>
              <w:jc w:val="right"/>
              <w:ind w:right="279"/>
              <w:spacing w:after="0"/>
              <w:rPr>
                <w:sz w:val="20"/>
                <w:szCs w:val="20"/>
                <w:color w:val="auto"/>
              </w:rPr>
            </w:pPr>
            <w:r>
              <w:rPr>
                <w:rFonts w:ascii="Arial" w:cs="Arial" w:eastAsia="Arial" w:hAnsi="Arial"/>
                <w:sz w:val="16"/>
                <w:szCs w:val="16"/>
                <w:color w:val="auto"/>
              </w:rPr>
              <w:t>762</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24,068</w:t>
            </w:r>
          </w:p>
        </w:tc>
      </w:tr>
      <w:tr>
        <w:trPr>
          <w:trHeight w:val="21"/>
        </w:trPr>
        <w:tc>
          <w:tcPr>
            <w:tcW w:w="1940" w:type="dxa"/>
            <w:vAlign w:val="bottom"/>
            <w:tcBorders>
              <w:bottom w:val="single" w:sz="8" w:color="808080"/>
            </w:tcBorders>
          </w:tcPr>
          <w:p>
            <w:pPr>
              <w:spacing w:after="0" w:line="20" w:lineRule="exact"/>
              <w:rPr>
                <w:sz w:val="1"/>
                <w:szCs w:val="1"/>
                <w:color w:val="auto"/>
              </w:rPr>
            </w:pPr>
          </w:p>
        </w:tc>
        <w:tc>
          <w:tcPr>
            <w:tcW w:w="2180" w:type="dxa"/>
            <w:vAlign w:val="bottom"/>
            <w:tcBorders>
              <w:bottom w:val="single" w:sz="8" w:color="808080"/>
            </w:tcBorders>
          </w:tcPr>
          <w:p>
            <w:pPr>
              <w:spacing w:after="0" w:line="20" w:lineRule="exact"/>
              <w:rPr>
                <w:sz w:val="1"/>
                <w:szCs w:val="1"/>
                <w:color w:val="auto"/>
              </w:rPr>
            </w:pPr>
          </w:p>
        </w:tc>
        <w:tc>
          <w:tcPr>
            <w:tcW w:w="1640" w:type="dxa"/>
            <w:vAlign w:val="bottom"/>
            <w:tcBorders>
              <w:bottom w:val="single" w:sz="8" w:color="808080"/>
            </w:tcBorders>
          </w:tcPr>
          <w:p>
            <w:pPr>
              <w:spacing w:after="0" w:line="20" w:lineRule="exact"/>
              <w:rPr>
                <w:sz w:val="1"/>
                <w:szCs w:val="1"/>
                <w:color w:val="auto"/>
              </w:rPr>
            </w:pPr>
          </w:p>
        </w:tc>
        <w:tc>
          <w:tcPr>
            <w:tcW w:w="1460" w:type="dxa"/>
            <w:vAlign w:val="bottom"/>
            <w:tcBorders>
              <w:bottom w:val="single" w:sz="8" w:color="808080"/>
            </w:tcBorders>
          </w:tcPr>
          <w:p>
            <w:pPr>
              <w:spacing w:after="0" w:line="20" w:lineRule="exact"/>
              <w:rPr>
                <w:sz w:val="1"/>
                <w:szCs w:val="1"/>
                <w:color w:val="auto"/>
              </w:rPr>
            </w:pPr>
          </w:p>
        </w:tc>
        <w:tc>
          <w:tcPr>
            <w:tcW w:w="1200" w:type="dxa"/>
            <w:vAlign w:val="bottom"/>
            <w:tcBorders>
              <w:bottom w:val="single" w:sz="8" w:color="808080"/>
            </w:tcBorders>
          </w:tcPr>
          <w:p>
            <w:pPr>
              <w:spacing w:after="0" w:line="20" w:lineRule="exact"/>
              <w:rPr>
                <w:sz w:val="1"/>
                <w:szCs w:val="1"/>
                <w:color w:val="auto"/>
              </w:rPr>
            </w:pPr>
          </w:p>
        </w:tc>
      </w:tr>
      <w:tr>
        <w:trPr>
          <w:trHeight w:val="223"/>
        </w:trPr>
        <w:tc>
          <w:tcPr>
            <w:tcW w:w="1940" w:type="dxa"/>
            <w:vAlign w:val="bottom"/>
            <w:tcBorders>
              <w:bottom w:val="single" w:sz="8" w:color="342C82"/>
            </w:tcBorders>
          </w:tcPr>
          <w:p>
            <w:pPr>
              <w:ind w:left="80"/>
              <w:spacing w:after="0"/>
              <w:rPr>
                <w:sz w:val="20"/>
                <w:szCs w:val="20"/>
                <w:color w:val="auto"/>
              </w:rPr>
            </w:pPr>
            <w:r>
              <w:rPr>
                <w:rFonts w:ascii="Arial" w:cs="Arial" w:eastAsia="Arial" w:hAnsi="Arial"/>
                <w:sz w:val="16"/>
                <w:szCs w:val="16"/>
                <w:b w:val="1"/>
                <w:bCs w:val="1"/>
                <w:color w:val="342C82"/>
              </w:rPr>
              <w:t>Jean Casner</w:t>
            </w:r>
          </w:p>
        </w:tc>
        <w:tc>
          <w:tcPr>
            <w:tcW w:w="2180" w:type="dxa"/>
            <w:vAlign w:val="bottom"/>
            <w:tcBorders>
              <w:bottom w:val="single" w:sz="8" w:color="342C82"/>
            </w:tcBorders>
          </w:tcPr>
          <w:p>
            <w:pPr>
              <w:jc w:val="right"/>
              <w:ind w:right="299"/>
              <w:spacing w:after="0"/>
              <w:rPr>
                <w:sz w:val="20"/>
                <w:szCs w:val="20"/>
                <w:color w:val="auto"/>
              </w:rPr>
            </w:pPr>
            <w:r>
              <w:rPr>
                <w:rFonts w:ascii="Arial" w:cs="Arial" w:eastAsia="Arial" w:hAnsi="Arial"/>
                <w:sz w:val="16"/>
                <w:szCs w:val="16"/>
                <w:color w:val="auto"/>
              </w:rPr>
              <w:t>35,192</w:t>
            </w:r>
          </w:p>
        </w:tc>
        <w:tc>
          <w:tcPr>
            <w:tcW w:w="1640" w:type="dxa"/>
            <w:vAlign w:val="bottom"/>
            <w:tcBorders>
              <w:bottom w:val="single" w:sz="8" w:color="342C82"/>
            </w:tcBorders>
          </w:tcPr>
          <w:p>
            <w:pPr>
              <w:jc w:val="right"/>
              <w:ind w:right="2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342C82"/>
            </w:tcBorders>
          </w:tcPr>
          <w:p>
            <w:pPr>
              <w:jc w:val="right"/>
              <w:ind w:right="279"/>
              <w:spacing w:after="0"/>
              <w:rPr>
                <w:sz w:val="20"/>
                <w:szCs w:val="20"/>
                <w:color w:val="auto"/>
              </w:rPr>
            </w:pPr>
            <w:r>
              <w:rPr>
                <w:rFonts w:ascii="Arial" w:cs="Arial" w:eastAsia="Arial" w:hAnsi="Arial"/>
                <w:sz w:val="16"/>
                <w:szCs w:val="16"/>
                <w:color w:val="auto"/>
              </w:rPr>
              <w:t>3,381</w:t>
            </w:r>
          </w:p>
        </w:tc>
        <w:tc>
          <w:tcPr>
            <w:tcW w:w="1200" w:type="dxa"/>
            <w:vAlign w:val="bottom"/>
            <w:tcBorders>
              <w:bottom w:val="single" w:sz="8" w:color="342C82"/>
            </w:tcBorders>
          </w:tcPr>
          <w:p>
            <w:pPr>
              <w:jc w:val="right"/>
              <w:ind w:right="119"/>
              <w:spacing w:after="0"/>
              <w:rPr>
                <w:sz w:val="20"/>
                <w:szCs w:val="20"/>
                <w:color w:val="auto"/>
              </w:rPr>
            </w:pPr>
            <w:r>
              <w:rPr>
                <w:rFonts w:ascii="Arial" w:cs="Arial" w:eastAsia="Arial" w:hAnsi="Arial"/>
                <w:sz w:val="16"/>
                <w:szCs w:val="16"/>
                <w:color w:val="auto"/>
              </w:rPr>
              <w:t>38,573</w:t>
            </w:r>
          </w:p>
        </w:tc>
      </w:tr>
    </w:tbl>
    <w:p>
      <w:pPr>
        <w:spacing w:after="0" w:line="166" w:lineRule="exact"/>
        <w:rPr>
          <w:sz w:val="20"/>
          <w:szCs w:val="20"/>
          <w:color w:val="auto"/>
        </w:rPr>
      </w:pPr>
    </w:p>
    <w:p>
      <w:pPr>
        <w:ind w:left="580" w:right="539" w:hanging="288"/>
        <w:spacing w:after="0" w:line="204" w:lineRule="auto"/>
        <w:tabs>
          <w:tab w:leader="none" w:pos="580" w:val="left"/>
        </w:tabs>
        <w:numPr>
          <w:ilvl w:val="0"/>
          <w:numId w:val="44"/>
        </w:numPr>
        <w:rPr>
          <w:rFonts w:ascii="Arial" w:cs="Arial" w:eastAsia="Arial" w:hAnsi="Arial"/>
          <w:sz w:val="22"/>
          <w:szCs w:val="22"/>
          <w:color w:val="auto"/>
          <w:vertAlign w:val="superscript"/>
        </w:rPr>
      </w:pPr>
      <w:r>
        <w:rPr>
          <w:rFonts w:ascii="Arial" w:cs="Arial" w:eastAsia="Arial" w:hAnsi="Arial"/>
          <w:sz w:val="14"/>
          <w:szCs w:val="14"/>
          <w:color w:val="auto"/>
        </w:rPr>
        <w:t xml:space="preserve">The following amounts are reported as compensation in the fiscal year 2024 “Salary” column of the Summary Compensation Table appearing on page </w:t>
      </w:r>
      <w:r>
        <w:rPr>
          <w:rFonts w:ascii="Arial" w:cs="Arial" w:eastAsia="Arial" w:hAnsi="Arial"/>
          <w:sz w:val="14"/>
          <w:szCs w:val="14"/>
          <w:u w:val="single" w:color="auto"/>
          <w:color w:val="0000EE"/>
        </w:rPr>
        <w:t>50</w:t>
      </w:r>
      <w:r>
        <w:rPr>
          <w:rFonts w:ascii="Arial" w:cs="Arial" w:eastAsia="Arial" w:hAnsi="Arial"/>
          <w:sz w:val="14"/>
          <w:szCs w:val="14"/>
          <w:color w:val="auto"/>
        </w:rPr>
        <w:t>.</w:t>
      </w:r>
    </w:p>
    <w:p>
      <w:pPr>
        <w:spacing w:after="0" w:line="26" w:lineRule="exact"/>
        <w:rPr>
          <w:rFonts w:ascii="Arial" w:cs="Arial" w:eastAsia="Arial" w:hAnsi="Arial"/>
          <w:sz w:val="22"/>
          <w:szCs w:val="22"/>
          <w:color w:val="auto"/>
          <w:vertAlign w:val="superscript"/>
        </w:rPr>
      </w:pPr>
    </w:p>
    <w:p>
      <w:pPr>
        <w:ind w:left="580" w:right="459" w:hanging="288"/>
        <w:spacing w:after="0" w:line="204" w:lineRule="auto"/>
        <w:tabs>
          <w:tab w:leader="none" w:pos="580" w:val="left"/>
        </w:tabs>
        <w:numPr>
          <w:ilvl w:val="0"/>
          <w:numId w:val="44"/>
        </w:numPr>
        <w:rPr>
          <w:rFonts w:ascii="Arial" w:cs="Arial" w:eastAsia="Arial" w:hAnsi="Arial"/>
          <w:sz w:val="22"/>
          <w:szCs w:val="22"/>
          <w:color w:val="auto"/>
          <w:vertAlign w:val="superscript"/>
        </w:rPr>
      </w:pPr>
      <w:r>
        <w:rPr>
          <w:rFonts w:ascii="Arial" w:cs="Arial" w:eastAsia="Arial" w:hAnsi="Arial"/>
          <w:sz w:val="14"/>
          <w:szCs w:val="14"/>
          <w:color w:val="auto"/>
        </w:rPr>
        <w:t>Amounts in this column are included in the “All Other Compensation” column of the Summary Compensation Table and reflect matching contributions credited to accounts in fiscal year 2024.</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123825</wp:posOffset>
            </wp:positionV>
            <wp:extent cx="699516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1" w:name="page72"/>
    <w:bookmarkEnd w:id="7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6" w:lineRule="exact"/>
        <w:rPr>
          <w:sz w:val="20"/>
          <w:szCs w:val="20"/>
          <w:color w:val="auto"/>
        </w:rPr>
      </w:pPr>
    </w:p>
    <w:p>
      <w:pPr>
        <w:ind w:left="300"/>
        <w:spacing w:after="0"/>
        <w:rPr>
          <w:sz w:val="20"/>
          <w:szCs w:val="20"/>
          <w:color w:val="auto"/>
        </w:rPr>
      </w:pPr>
      <w:r>
        <w:rPr>
          <w:rFonts w:ascii="Arial" w:cs="Arial" w:eastAsia="Arial" w:hAnsi="Arial"/>
          <w:sz w:val="43"/>
          <w:szCs w:val="43"/>
          <w:color w:val="342C82"/>
        </w:rPr>
        <w:t>CEO Pay Ratio</w:t>
      </w:r>
    </w:p>
    <w:p>
      <w:pPr>
        <w:spacing w:after="0" w:line="167" w:lineRule="exact"/>
        <w:rPr>
          <w:sz w:val="20"/>
          <w:szCs w:val="20"/>
          <w:color w:val="auto"/>
        </w:rPr>
      </w:pPr>
    </w:p>
    <w:p>
      <w:pPr>
        <w:ind w:left="300" w:right="359"/>
        <w:spacing w:after="0" w:line="249" w:lineRule="auto"/>
        <w:rPr>
          <w:sz w:val="20"/>
          <w:szCs w:val="20"/>
          <w:color w:val="auto"/>
        </w:rPr>
      </w:pPr>
      <w:r>
        <w:rPr>
          <w:rFonts w:ascii="Arial" w:cs="Arial" w:eastAsia="Arial" w:hAnsi="Arial"/>
          <w:sz w:val="16"/>
          <w:szCs w:val="16"/>
          <w:color w:val="auto"/>
        </w:rPr>
        <w:t>Under the rules the SEC adopted under the Dodd-Frank Act, we are required to disclose the CEO’s annual total compensation, the median employee’s annual total compensation, and the ratio between the two. For fiscal 2024, we used the same median employee that we had identified as of September 30, 2023 because we believe that there have been no changes in our employee population or our compensation arrangements since September 2023 that would result in a significant change in our pay ratio disclosure or our median employee. To determine our median employee in fiscal 2023, we analyzed the compensation of our employee population as of September 30, 2023 (2,088 employees, excluding deferred closing populations in China, Mexico, and Italy, and our CEO). We then converted all compensation elements to USD, using the foreign exchange rates as in effect on September 30, 2023. Once converted to USD, we calculated the anticipated cash compensation for fiscal 2023, including base salary and annual cash incentives at target. Two employees were identified as the median employee, and we excluded one of the two employees due to the employee’s recent hire date. We then calculated the annual compensation of the median employee using the same methodology used to calculate Mr. Kurdikar’s compensation for the Summary Compensation Table.</w:t>
      </w:r>
    </w:p>
    <w:p>
      <w:pPr>
        <w:spacing w:after="0" w:line="137" w:lineRule="exact"/>
        <w:rPr>
          <w:sz w:val="20"/>
          <w:szCs w:val="20"/>
          <w:color w:val="auto"/>
        </w:rPr>
      </w:pPr>
    </w:p>
    <w:p>
      <w:pPr>
        <w:ind w:left="300" w:right="299"/>
        <w:spacing w:after="0" w:line="286" w:lineRule="auto"/>
        <w:rPr>
          <w:sz w:val="20"/>
          <w:szCs w:val="20"/>
          <w:color w:val="auto"/>
        </w:rPr>
      </w:pPr>
      <w:r>
        <w:rPr>
          <w:rFonts w:ascii="Arial" w:cs="Arial" w:eastAsia="Arial" w:hAnsi="Arial"/>
          <w:sz w:val="16"/>
          <w:szCs w:val="16"/>
          <w:color w:val="auto"/>
        </w:rPr>
        <w:t>For fiscal year 2024, the annual total compensation of our CEO was $8,587,472 and the annual total compensation of the median employee was $74,201, for a ratio of 116:1.</w:t>
      </w:r>
    </w:p>
    <w:p>
      <w:pPr>
        <w:spacing w:after="0" w:line="102" w:lineRule="exact"/>
        <w:rPr>
          <w:sz w:val="20"/>
          <w:szCs w:val="20"/>
          <w:color w:val="auto"/>
        </w:rPr>
      </w:pPr>
    </w:p>
    <w:p>
      <w:pPr>
        <w:ind w:left="300" w:right="359"/>
        <w:spacing w:after="0" w:line="253" w:lineRule="auto"/>
        <w:rPr>
          <w:sz w:val="20"/>
          <w:szCs w:val="20"/>
          <w:color w:val="auto"/>
        </w:rPr>
      </w:pPr>
      <w:r>
        <w:rPr>
          <w:rFonts w:ascii="Arial" w:cs="Arial" w:eastAsia="Arial" w:hAnsi="Arial"/>
          <w:sz w:val="16"/>
          <w:szCs w:val="16"/>
          <w:color w:val="auto"/>
        </w:rPr>
        <w:t>We believe that the pay ratio reported above is a reasonable estimate calculated in a manner consistent with SEC rules based on our internal records and the methodology described above.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Therefore, Embecta’s ratio may not be comparable to the ratios disclosed by other companies based on a number of factors, including differences in employee populations, different geographic distributions of employees, and the nature of the companies’ businesses.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123825</wp:posOffset>
            </wp:positionV>
            <wp:extent cx="699516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6" w:lineRule="exact"/>
        <w:rPr>
          <w:sz w:val="20"/>
          <w:szCs w:val="20"/>
          <w:color w:val="auto"/>
        </w:rPr>
      </w:pPr>
    </w:p>
    <w:p>
      <w:pPr>
        <w:ind w:left="540"/>
        <w:spacing w:after="0"/>
        <w:rPr>
          <w:sz w:val="20"/>
          <w:szCs w:val="20"/>
          <w:color w:val="auto"/>
        </w:rPr>
      </w:pPr>
      <w:r>
        <w:rPr>
          <w:rFonts w:ascii="Arial" w:cs="Arial" w:eastAsia="Arial" w:hAnsi="Arial"/>
          <w:sz w:val="43"/>
          <w:szCs w:val="43"/>
          <w:color w:val="342C82"/>
        </w:rPr>
        <w:t>Pay Versus Performance</w:t>
      </w:r>
    </w:p>
    <w:p>
      <w:pPr>
        <w:spacing w:after="0" w:line="167" w:lineRule="exact"/>
        <w:rPr>
          <w:sz w:val="20"/>
          <w:szCs w:val="20"/>
          <w:color w:val="auto"/>
        </w:rPr>
      </w:pPr>
    </w:p>
    <w:p>
      <w:pPr>
        <w:ind w:left="540" w:right="540"/>
        <w:spacing w:after="0" w:line="254" w:lineRule="auto"/>
        <w:rPr>
          <w:sz w:val="20"/>
          <w:szCs w:val="20"/>
          <w:color w:val="auto"/>
        </w:rPr>
      </w:pPr>
      <w:r>
        <w:rPr>
          <w:rFonts w:ascii="Arial" w:cs="Arial" w:eastAsia="Arial" w:hAnsi="Arial"/>
          <w:sz w:val="16"/>
          <w:szCs w:val="16"/>
          <w:color w:val="auto"/>
        </w:rPr>
        <w:t>As required by Section 953(a) of the Dodd-Frank Wall Street Reform and Consumer Protection Act and Item 402(v) of Regulation S-K, we are providing the following information about the relationship between “compensation actually paid” to our NEOs and certain financial performance metrics of the Company using a methodology that has been prescribed by the SEC. “Compensation actually paid” does not correlate to the total amount of cash or equity compensation realized during a fiscal year and is different from any references to “realizable” or “realized” compensation in the Compensation Discussion and Analysis.</w:t>
      </w:r>
    </w:p>
    <w:p>
      <w:pPr>
        <w:spacing w:after="0" w:line="128" w:lineRule="exact"/>
        <w:rPr>
          <w:sz w:val="20"/>
          <w:szCs w:val="20"/>
          <w:color w:val="auto"/>
        </w:rPr>
      </w:pPr>
    </w:p>
    <w:p>
      <w:pPr>
        <w:ind w:left="540" w:right="540"/>
        <w:spacing w:after="0" w:line="256" w:lineRule="auto"/>
        <w:rPr>
          <w:sz w:val="20"/>
          <w:szCs w:val="20"/>
          <w:color w:val="auto"/>
        </w:rPr>
      </w:pPr>
      <w:r>
        <w:rPr>
          <w:rFonts w:ascii="Arial" w:cs="Arial" w:eastAsia="Arial" w:hAnsi="Arial"/>
          <w:sz w:val="16"/>
          <w:szCs w:val="16"/>
          <w:color w:val="auto"/>
        </w:rPr>
        <w:t>The Compensation Committee did not consider the pay versus performance disclosure below in making its pay decisions for any of the years shown. For further information concerning our pay-for-performance philosophy and how we align executive compensation with the Company’s performance, including through performance-based annual incentives and the grant of PSUs as a meaningful component of our compensation program, refer to the Compensation Discussion and Analysis.</w:t>
      </w:r>
    </w:p>
    <w:p>
      <w:pPr>
        <w:spacing w:after="0" w:line="333" w:lineRule="exact"/>
        <w:rPr>
          <w:sz w:val="20"/>
          <w:szCs w:val="20"/>
          <w:color w:val="auto"/>
        </w:rPr>
      </w:pPr>
    </w:p>
    <w:p>
      <w:pPr>
        <w:ind w:left="540"/>
        <w:spacing w:after="0"/>
        <w:rPr>
          <w:sz w:val="20"/>
          <w:szCs w:val="20"/>
          <w:color w:val="auto"/>
        </w:rPr>
      </w:pPr>
      <w:r>
        <w:rPr>
          <w:rFonts w:ascii="Arial" w:cs="Arial" w:eastAsia="Arial" w:hAnsi="Arial"/>
          <w:sz w:val="25"/>
          <w:szCs w:val="25"/>
          <w:color w:val="342C82"/>
        </w:rPr>
        <w:t>Pay Versus Performance Table (“PvP Table”)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20" w:type="dxa"/>
            <w:vAlign w:val="bottom"/>
            <w:gridSpan w:val="2"/>
          </w:tcPr>
          <w:p>
            <w:pPr>
              <w:jc w:val="right"/>
              <w:ind w:right="295"/>
              <w:spacing w:after="0"/>
              <w:rPr>
                <w:sz w:val="20"/>
                <w:szCs w:val="20"/>
                <w:color w:val="auto"/>
              </w:rPr>
            </w:pPr>
            <w:r>
              <w:rPr>
                <w:rFonts w:ascii="Arial" w:cs="Arial" w:eastAsia="Arial" w:hAnsi="Arial"/>
                <w:sz w:val="13"/>
                <w:szCs w:val="13"/>
                <w:b w:val="1"/>
                <w:bCs w:val="1"/>
                <w:color w:val="auto"/>
              </w:rPr>
              <w:t>Value of Initial Fixed $100</w:t>
            </w: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20" w:type="dxa"/>
            <w:vAlign w:val="bottom"/>
            <w:gridSpan w:val="2"/>
          </w:tcPr>
          <w:p>
            <w:pPr>
              <w:jc w:val="right"/>
              <w:ind w:right="375"/>
              <w:spacing w:after="0"/>
              <w:rPr>
                <w:sz w:val="20"/>
                <w:szCs w:val="20"/>
                <w:color w:val="auto"/>
              </w:rPr>
            </w:pPr>
            <w:r>
              <w:rPr>
                <w:rFonts w:ascii="Arial" w:cs="Arial" w:eastAsia="Arial" w:hAnsi="Arial"/>
                <w:sz w:val="13"/>
                <w:szCs w:val="13"/>
                <w:b w:val="1"/>
                <w:bCs w:val="1"/>
                <w:color w:val="auto"/>
              </w:rPr>
              <w:t>Investment Based On:</w:t>
            </w: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20" w:type="dxa"/>
            <w:vAlign w:val="bottom"/>
            <w:vMerge w:val="restart"/>
          </w:tcPr>
          <w:p>
            <w:pPr>
              <w:jc w:val="right"/>
              <w:ind w:right="116"/>
              <w:spacing w:after="0"/>
              <w:rPr>
                <w:sz w:val="20"/>
                <w:szCs w:val="20"/>
                <w:color w:val="auto"/>
              </w:rPr>
            </w:pPr>
            <w:r>
              <w:rPr>
                <w:rFonts w:ascii="Arial" w:cs="Arial" w:eastAsia="Arial" w:hAnsi="Arial"/>
                <w:sz w:val="13"/>
                <w:szCs w:val="13"/>
                <w:b w:val="1"/>
                <w:bCs w:val="1"/>
                <w:color w:val="auto"/>
              </w:rPr>
              <w:t>Average</w:t>
            </w:r>
          </w:p>
        </w:tc>
        <w:tc>
          <w:tcPr>
            <w:tcW w:w="1160" w:type="dxa"/>
            <w:vAlign w:val="bottom"/>
            <w:vMerge w:val="restart"/>
          </w:tcPr>
          <w:p>
            <w:pPr>
              <w:jc w:val="right"/>
              <w:ind w:right="56"/>
              <w:spacing w:after="0"/>
              <w:rPr>
                <w:sz w:val="20"/>
                <w:szCs w:val="20"/>
                <w:color w:val="auto"/>
              </w:rPr>
            </w:pPr>
            <w:r>
              <w:rPr>
                <w:rFonts w:ascii="Arial" w:cs="Arial" w:eastAsia="Arial" w:hAnsi="Arial"/>
                <w:sz w:val="13"/>
                <w:szCs w:val="13"/>
                <w:b w:val="1"/>
                <w:bCs w:val="1"/>
                <w:color w:val="auto"/>
              </w:rPr>
              <w:t>Average</w:t>
            </w:r>
          </w:p>
        </w:tc>
        <w:tc>
          <w:tcPr>
            <w:tcW w:w="1180" w:type="dxa"/>
            <w:vAlign w:val="bottom"/>
            <w:tcBorders>
              <w:bottom w:val="single" w:sz="8" w:color="342C82"/>
            </w:tcBorders>
          </w:tcPr>
          <w:p>
            <w:pPr>
              <w:spacing w:after="0" w:line="20" w:lineRule="exact"/>
              <w:rPr>
                <w:sz w:val="1"/>
                <w:szCs w:val="1"/>
                <w:color w:val="auto"/>
              </w:rPr>
            </w:pPr>
          </w:p>
        </w:tc>
        <w:tc>
          <w:tcPr>
            <w:tcW w:w="1040" w:type="dxa"/>
            <w:vAlign w:val="bottom"/>
            <w:tcBorders>
              <w:bottom w:val="single" w:sz="8" w:color="342C82"/>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1160" w:type="dxa"/>
            <w:vAlign w:val="bottom"/>
            <w:vMerge w:val="continue"/>
          </w:tcPr>
          <w:p>
            <w:pPr>
              <w:spacing w:after="0"/>
              <w:rPr>
                <w:sz w:val="13"/>
                <w:szCs w:val="13"/>
                <w:color w:val="auto"/>
              </w:rPr>
            </w:pPr>
          </w:p>
        </w:tc>
        <w:tc>
          <w:tcPr>
            <w:tcW w:w="1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20" w:type="dxa"/>
            <w:vAlign w:val="bottom"/>
          </w:tcPr>
          <w:p>
            <w:pPr>
              <w:jc w:val="right"/>
              <w:ind w:right="116"/>
              <w:spacing w:after="0" w:line="135" w:lineRule="exact"/>
              <w:rPr>
                <w:sz w:val="20"/>
                <w:szCs w:val="20"/>
                <w:color w:val="auto"/>
              </w:rPr>
            </w:pPr>
            <w:r>
              <w:rPr>
                <w:rFonts w:ascii="Arial" w:cs="Arial" w:eastAsia="Arial" w:hAnsi="Arial"/>
                <w:sz w:val="13"/>
                <w:szCs w:val="13"/>
                <w:b w:val="1"/>
                <w:bCs w:val="1"/>
                <w:color w:val="auto"/>
              </w:rPr>
              <w:t>Summary</w:t>
            </w:r>
          </w:p>
        </w:tc>
        <w:tc>
          <w:tcPr>
            <w:tcW w:w="1160" w:type="dxa"/>
            <w:vAlign w:val="bottom"/>
            <w:vMerge w:val="continue"/>
          </w:tcPr>
          <w:p>
            <w:pPr>
              <w:spacing w:after="0"/>
              <w:rPr>
                <w:sz w:val="11"/>
                <w:szCs w:val="11"/>
                <w:color w:val="auto"/>
              </w:rPr>
            </w:pPr>
          </w:p>
        </w:tc>
        <w:tc>
          <w:tcPr>
            <w:tcW w:w="1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20" w:type="dxa"/>
            <w:vAlign w:val="bottom"/>
          </w:tcPr>
          <w:p>
            <w:pPr>
              <w:jc w:val="right"/>
              <w:ind w:right="116"/>
              <w:spacing w:after="0" w:line="135" w:lineRule="exact"/>
              <w:rPr>
                <w:sz w:val="20"/>
                <w:szCs w:val="20"/>
                <w:color w:val="auto"/>
              </w:rPr>
            </w:pPr>
            <w:r>
              <w:rPr>
                <w:rFonts w:ascii="Arial" w:cs="Arial" w:eastAsia="Arial" w:hAnsi="Arial"/>
                <w:sz w:val="13"/>
                <w:szCs w:val="13"/>
                <w:b w:val="1"/>
                <w:bCs w:val="1"/>
                <w:color w:val="auto"/>
              </w:rPr>
              <w:t>Compensation</w:t>
            </w:r>
          </w:p>
        </w:tc>
        <w:tc>
          <w:tcPr>
            <w:tcW w:w="1160" w:type="dxa"/>
            <w:vAlign w:val="bottom"/>
          </w:tcPr>
          <w:p>
            <w:pPr>
              <w:jc w:val="right"/>
              <w:ind w:right="56"/>
              <w:spacing w:after="0" w:line="135" w:lineRule="exact"/>
              <w:rPr>
                <w:sz w:val="20"/>
                <w:szCs w:val="20"/>
                <w:color w:val="auto"/>
              </w:rPr>
            </w:pPr>
            <w:r>
              <w:rPr>
                <w:rFonts w:ascii="Arial" w:cs="Arial" w:eastAsia="Arial" w:hAnsi="Arial"/>
                <w:sz w:val="13"/>
                <w:szCs w:val="13"/>
                <w:b w:val="1"/>
                <w:bCs w:val="1"/>
                <w:color w:val="auto"/>
              </w:rPr>
              <w:t>Compensation</w:t>
            </w:r>
          </w:p>
        </w:tc>
        <w:tc>
          <w:tcPr>
            <w:tcW w:w="1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1220" w:type="dxa"/>
            <w:vAlign w:val="bottom"/>
            <w:vMerge w:val="restart"/>
          </w:tcPr>
          <w:p>
            <w:pPr>
              <w:jc w:val="right"/>
              <w:ind w:right="115"/>
              <w:spacing w:after="0"/>
              <w:rPr>
                <w:sz w:val="20"/>
                <w:szCs w:val="20"/>
                <w:color w:val="auto"/>
              </w:rPr>
            </w:pPr>
            <w:r>
              <w:rPr>
                <w:rFonts w:ascii="Arial" w:cs="Arial" w:eastAsia="Arial" w:hAnsi="Arial"/>
                <w:sz w:val="13"/>
                <w:szCs w:val="13"/>
                <w:b w:val="1"/>
                <w:bCs w:val="1"/>
                <w:color w:val="auto"/>
              </w:rPr>
              <w:t>Summary</w:t>
            </w:r>
          </w:p>
        </w:tc>
        <w:tc>
          <w:tcPr>
            <w:tcW w:w="1200" w:type="dxa"/>
            <w:vAlign w:val="bottom"/>
          </w:tcPr>
          <w:p>
            <w:pPr>
              <w:spacing w:after="0"/>
              <w:rPr>
                <w:sz w:val="11"/>
                <w:szCs w:val="11"/>
                <w:color w:val="auto"/>
              </w:rPr>
            </w:pPr>
          </w:p>
        </w:tc>
        <w:tc>
          <w:tcPr>
            <w:tcW w:w="1220" w:type="dxa"/>
            <w:vAlign w:val="bottom"/>
          </w:tcPr>
          <w:p>
            <w:pPr>
              <w:jc w:val="right"/>
              <w:ind w:right="116"/>
              <w:spacing w:after="0" w:line="135" w:lineRule="exact"/>
              <w:rPr>
                <w:sz w:val="20"/>
                <w:szCs w:val="20"/>
                <w:color w:val="auto"/>
              </w:rPr>
            </w:pPr>
            <w:r>
              <w:rPr>
                <w:rFonts w:ascii="Arial" w:cs="Arial" w:eastAsia="Arial" w:hAnsi="Arial"/>
                <w:sz w:val="13"/>
                <w:szCs w:val="13"/>
                <w:b w:val="1"/>
                <w:bCs w:val="1"/>
                <w:color w:val="auto"/>
              </w:rPr>
              <w:t>Table Total for</w:t>
            </w:r>
          </w:p>
        </w:tc>
        <w:tc>
          <w:tcPr>
            <w:tcW w:w="1160" w:type="dxa"/>
            <w:vAlign w:val="bottom"/>
          </w:tcPr>
          <w:p>
            <w:pPr>
              <w:jc w:val="right"/>
              <w:ind w:right="56"/>
              <w:spacing w:after="0" w:line="135" w:lineRule="exact"/>
              <w:rPr>
                <w:sz w:val="20"/>
                <w:szCs w:val="20"/>
                <w:color w:val="auto"/>
              </w:rPr>
            </w:pPr>
            <w:r>
              <w:rPr>
                <w:rFonts w:ascii="Arial" w:cs="Arial" w:eastAsia="Arial" w:hAnsi="Arial"/>
                <w:sz w:val="13"/>
                <w:szCs w:val="13"/>
                <w:b w:val="1"/>
                <w:bCs w:val="1"/>
                <w:color w:val="auto"/>
              </w:rPr>
              <w:t>Actually Paid</w:t>
            </w:r>
          </w:p>
        </w:tc>
        <w:tc>
          <w:tcPr>
            <w:tcW w:w="1180" w:type="dxa"/>
            <w:vAlign w:val="bottom"/>
          </w:tcPr>
          <w:p>
            <w:pPr>
              <w:spacing w:after="0"/>
              <w:rPr>
                <w:sz w:val="11"/>
                <w:szCs w:val="11"/>
                <w:color w:val="auto"/>
              </w:rPr>
            </w:pPr>
          </w:p>
        </w:tc>
        <w:tc>
          <w:tcPr>
            <w:tcW w:w="1040" w:type="dxa"/>
            <w:vAlign w:val="bottom"/>
            <w:vMerge w:val="restart"/>
          </w:tcPr>
          <w:p>
            <w:pPr>
              <w:jc w:val="right"/>
              <w:ind w:right="55"/>
              <w:spacing w:after="0"/>
              <w:rPr>
                <w:sz w:val="20"/>
                <w:szCs w:val="20"/>
                <w:color w:val="auto"/>
              </w:rPr>
            </w:pPr>
            <w:r>
              <w:rPr>
                <w:rFonts w:ascii="Arial" w:cs="Arial" w:eastAsia="Arial" w:hAnsi="Arial"/>
                <w:sz w:val="13"/>
                <w:szCs w:val="13"/>
                <w:b w:val="1"/>
                <w:bCs w:val="1"/>
                <w:color w:val="auto"/>
              </w:rPr>
              <w:t>Peer Group</w:t>
            </w:r>
          </w:p>
        </w:tc>
        <w:tc>
          <w:tcPr>
            <w:tcW w:w="920" w:type="dxa"/>
            <w:vAlign w:val="bottom"/>
          </w:tcPr>
          <w:p>
            <w:pPr>
              <w:spacing w:after="0"/>
              <w:rPr>
                <w:sz w:val="11"/>
                <w:szCs w:val="11"/>
                <w:color w:val="auto"/>
              </w:rPr>
            </w:pPr>
          </w:p>
        </w:tc>
        <w:tc>
          <w:tcPr>
            <w:tcW w:w="880" w:type="dxa"/>
            <w:vAlign w:val="bottom"/>
            <w:vMerge w:val="restart"/>
          </w:tcPr>
          <w:p>
            <w:pPr>
              <w:jc w:val="right"/>
              <w:ind w:right="34"/>
              <w:spacing w:after="0"/>
              <w:rPr>
                <w:sz w:val="20"/>
                <w:szCs w:val="20"/>
                <w:color w:val="auto"/>
              </w:rPr>
            </w:pPr>
            <w:r>
              <w:rPr>
                <w:rFonts w:ascii="Arial" w:cs="Arial" w:eastAsia="Arial" w:hAnsi="Arial"/>
                <w:sz w:val="13"/>
                <w:szCs w:val="13"/>
                <w:b w:val="1"/>
                <w:bCs w:val="1"/>
                <w:color w:val="auto"/>
              </w:rPr>
              <w:t>Constant</w:t>
            </w: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1200" w:type="dxa"/>
            <w:vAlign w:val="bottom"/>
          </w:tcPr>
          <w:p>
            <w:pPr>
              <w:spacing w:after="0"/>
              <w:rPr>
                <w:sz w:val="11"/>
                <w:szCs w:val="11"/>
                <w:color w:val="auto"/>
              </w:rPr>
            </w:pPr>
          </w:p>
        </w:tc>
        <w:tc>
          <w:tcPr>
            <w:tcW w:w="1220" w:type="dxa"/>
            <w:vAlign w:val="bottom"/>
          </w:tcPr>
          <w:p>
            <w:pPr>
              <w:jc w:val="right"/>
              <w:ind w:right="116"/>
              <w:spacing w:after="0" w:line="135" w:lineRule="exact"/>
              <w:rPr>
                <w:sz w:val="20"/>
                <w:szCs w:val="20"/>
                <w:color w:val="auto"/>
              </w:rPr>
            </w:pPr>
            <w:r>
              <w:rPr>
                <w:rFonts w:ascii="Arial" w:cs="Arial" w:eastAsia="Arial" w:hAnsi="Arial"/>
                <w:sz w:val="13"/>
                <w:szCs w:val="13"/>
                <w:b w:val="1"/>
                <w:bCs w:val="1"/>
                <w:color w:val="auto"/>
              </w:rPr>
              <w:t>Non-PEO</w:t>
            </w:r>
          </w:p>
        </w:tc>
        <w:tc>
          <w:tcPr>
            <w:tcW w:w="1160" w:type="dxa"/>
            <w:vAlign w:val="bottom"/>
          </w:tcPr>
          <w:p>
            <w:pPr>
              <w:jc w:val="right"/>
              <w:ind w:right="56"/>
              <w:spacing w:after="0" w:line="135" w:lineRule="exact"/>
              <w:rPr>
                <w:sz w:val="20"/>
                <w:szCs w:val="20"/>
                <w:color w:val="auto"/>
              </w:rPr>
            </w:pPr>
            <w:r>
              <w:rPr>
                <w:rFonts w:ascii="Arial" w:cs="Arial" w:eastAsia="Arial" w:hAnsi="Arial"/>
                <w:sz w:val="13"/>
                <w:szCs w:val="13"/>
                <w:b w:val="1"/>
                <w:bCs w:val="1"/>
                <w:color w:val="auto"/>
              </w:rPr>
              <w:t>to Non-PEO</w:t>
            </w:r>
          </w:p>
        </w:tc>
        <w:tc>
          <w:tcPr>
            <w:tcW w:w="118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1220" w:type="dxa"/>
            <w:vAlign w:val="bottom"/>
          </w:tcPr>
          <w:p>
            <w:pPr>
              <w:jc w:val="right"/>
              <w:ind w:right="115"/>
              <w:spacing w:after="0" w:line="147" w:lineRule="exact"/>
              <w:rPr>
                <w:sz w:val="20"/>
                <w:szCs w:val="20"/>
                <w:color w:val="auto"/>
              </w:rPr>
            </w:pPr>
            <w:r>
              <w:rPr>
                <w:rFonts w:ascii="Arial" w:cs="Arial" w:eastAsia="Arial" w:hAnsi="Arial"/>
                <w:sz w:val="13"/>
                <w:szCs w:val="13"/>
                <w:b w:val="1"/>
                <w:bCs w:val="1"/>
                <w:color w:val="auto"/>
              </w:rPr>
              <w:t>Compensation</w:t>
            </w:r>
          </w:p>
        </w:tc>
        <w:tc>
          <w:tcPr>
            <w:tcW w:w="1200" w:type="dxa"/>
            <w:vAlign w:val="bottom"/>
          </w:tcPr>
          <w:p>
            <w:pPr>
              <w:jc w:val="right"/>
              <w:ind w:right="115"/>
              <w:spacing w:after="0" w:line="147" w:lineRule="exact"/>
              <w:rPr>
                <w:sz w:val="20"/>
                <w:szCs w:val="20"/>
                <w:color w:val="auto"/>
              </w:rPr>
            </w:pPr>
            <w:r>
              <w:rPr>
                <w:rFonts w:ascii="Arial" w:cs="Arial" w:eastAsia="Arial" w:hAnsi="Arial"/>
                <w:sz w:val="13"/>
                <w:szCs w:val="13"/>
                <w:b w:val="1"/>
                <w:bCs w:val="1"/>
                <w:color w:val="auto"/>
              </w:rPr>
              <w:t>Compensation</w:t>
            </w:r>
          </w:p>
        </w:tc>
        <w:tc>
          <w:tcPr>
            <w:tcW w:w="1220" w:type="dxa"/>
            <w:vAlign w:val="bottom"/>
          </w:tcPr>
          <w:p>
            <w:pPr>
              <w:jc w:val="right"/>
              <w:ind w:right="116"/>
              <w:spacing w:after="0" w:line="147" w:lineRule="exact"/>
              <w:rPr>
                <w:sz w:val="20"/>
                <w:szCs w:val="20"/>
                <w:color w:val="auto"/>
              </w:rPr>
            </w:pPr>
            <w:r>
              <w:rPr>
                <w:rFonts w:ascii="Arial" w:cs="Arial" w:eastAsia="Arial" w:hAnsi="Arial"/>
                <w:sz w:val="13"/>
                <w:szCs w:val="13"/>
                <w:b w:val="1"/>
                <w:bCs w:val="1"/>
                <w:color w:val="auto"/>
              </w:rPr>
              <w:t>Named</w:t>
            </w:r>
          </w:p>
        </w:tc>
        <w:tc>
          <w:tcPr>
            <w:tcW w:w="1160" w:type="dxa"/>
            <w:vAlign w:val="bottom"/>
          </w:tcPr>
          <w:p>
            <w:pPr>
              <w:jc w:val="right"/>
              <w:ind w:right="56"/>
              <w:spacing w:after="0" w:line="147" w:lineRule="exact"/>
              <w:rPr>
                <w:sz w:val="20"/>
                <w:szCs w:val="20"/>
                <w:color w:val="auto"/>
              </w:rPr>
            </w:pPr>
            <w:r>
              <w:rPr>
                <w:rFonts w:ascii="Arial" w:cs="Arial" w:eastAsia="Arial" w:hAnsi="Arial"/>
                <w:sz w:val="13"/>
                <w:szCs w:val="13"/>
                <w:b w:val="1"/>
                <w:bCs w:val="1"/>
                <w:color w:val="auto"/>
              </w:rPr>
              <w:t>Named</w:t>
            </w:r>
          </w:p>
        </w:tc>
        <w:tc>
          <w:tcPr>
            <w:tcW w:w="1180" w:type="dxa"/>
            <w:vAlign w:val="bottom"/>
          </w:tcPr>
          <w:p>
            <w:pPr>
              <w:jc w:val="right"/>
              <w:ind w:right="134"/>
              <w:spacing w:after="0" w:line="147" w:lineRule="exact"/>
              <w:rPr>
                <w:sz w:val="20"/>
                <w:szCs w:val="20"/>
                <w:color w:val="auto"/>
              </w:rPr>
            </w:pPr>
            <w:r>
              <w:rPr>
                <w:rFonts w:ascii="Arial" w:cs="Arial" w:eastAsia="Arial" w:hAnsi="Arial"/>
                <w:sz w:val="13"/>
                <w:szCs w:val="13"/>
                <w:b w:val="1"/>
                <w:bCs w:val="1"/>
                <w:color w:val="auto"/>
              </w:rPr>
              <w:t>Total</w:t>
            </w:r>
          </w:p>
        </w:tc>
        <w:tc>
          <w:tcPr>
            <w:tcW w:w="1040" w:type="dxa"/>
            <w:vAlign w:val="bottom"/>
          </w:tcPr>
          <w:p>
            <w:pPr>
              <w:jc w:val="right"/>
              <w:ind w:right="55"/>
              <w:spacing w:after="0" w:line="147" w:lineRule="exact"/>
              <w:rPr>
                <w:sz w:val="20"/>
                <w:szCs w:val="20"/>
                <w:color w:val="auto"/>
              </w:rPr>
            </w:pPr>
            <w:r>
              <w:rPr>
                <w:rFonts w:ascii="Arial" w:cs="Arial" w:eastAsia="Arial" w:hAnsi="Arial"/>
                <w:sz w:val="13"/>
                <w:szCs w:val="13"/>
                <w:b w:val="1"/>
                <w:bCs w:val="1"/>
                <w:color w:val="auto"/>
              </w:rPr>
              <w:t>Total</w:t>
            </w:r>
          </w:p>
        </w:tc>
        <w:tc>
          <w:tcPr>
            <w:tcW w:w="920" w:type="dxa"/>
            <w:vAlign w:val="bottom"/>
          </w:tcPr>
          <w:p>
            <w:pPr>
              <w:jc w:val="right"/>
              <w:ind w:right="173"/>
              <w:spacing w:after="0" w:line="147" w:lineRule="exact"/>
              <w:rPr>
                <w:sz w:val="20"/>
                <w:szCs w:val="20"/>
                <w:color w:val="auto"/>
              </w:rPr>
            </w:pPr>
            <w:r>
              <w:rPr>
                <w:rFonts w:ascii="Arial" w:cs="Arial" w:eastAsia="Arial" w:hAnsi="Arial"/>
                <w:sz w:val="13"/>
                <w:szCs w:val="13"/>
                <w:b w:val="1"/>
                <w:bCs w:val="1"/>
                <w:color w:val="auto"/>
              </w:rPr>
              <w:t>Net</w:t>
            </w:r>
          </w:p>
        </w:tc>
        <w:tc>
          <w:tcPr>
            <w:tcW w:w="880" w:type="dxa"/>
            <w:vAlign w:val="bottom"/>
          </w:tcPr>
          <w:p>
            <w:pPr>
              <w:jc w:val="right"/>
              <w:ind w:right="34"/>
              <w:spacing w:after="0" w:line="147" w:lineRule="exact"/>
              <w:rPr>
                <w:sz w:val="20"/>
                <w:szCs w:val="20"/>
                <w:color w:val="auto"/>
              </w:rPr>
            </w:pPr>
            <w:r>
              <w:rPr>
                <w:rFonts w:ascii="Arial" w:cs="Arial" w:eastAsia="Arial" w:hAnsi="Arial"/>
                <w:sz w:val="13"/>
                <w:szCs w:val="13"/>
                <w:b w:val="1"/>
                <w:bCs w:val="1"/>
                <w:color w:val="auto"/>
              </w:rPr>
              <w:t>Currency</w:t>
            </w:r>
          </w:p>
        </w:tc>
        <w:tc>
          <w:tcPr>
            <w:tcW w:w="0" w:type="dxa"/>
            <w:vAlign w:val="bottom"/>
          </w:tcPr>
          <w:p>
            <w:pPr>
              <w:spacing w:after="0"/>
              <w:rPr>
                <w:sz w:val="1"/>
                <w:szCs w:val="1"/>
                <w:color w:val="auto"/>
              </w:rPr>
            </w:pPr>
          </w:p>
        </w:tc>
      </w:tr>
      <w:tr>
        <w:trPr>
          <w:trHeight w:val="154"/>
        </w:trPr>
        <w:tc>
          <w:tcPr>
            <w:tcW w:w="680" w:type="dxa"/>
            <w:vAlign w:val="bottom"/>
          </w:tcPr>
          <w:p>
            <w:pPr>
              <w:spacing w:after="0"/>
              <w:rPr>
                <w:sz w:val="13"/>
                <w:szCs w:val="13"/>
                <w:color w:val="auto"/>
              </w:rPr>
            </w:pPr>
          </w:p>
        </w:tc>
        <w:tc>
          <w:tcPr>
            <w:tcW w:w="1220" w:type="dxa"/>
            <w:vAlign w:val="bottom"/>
          </w:tcPr>
          <w:p>
            <w:pPr>
              <w:jc w:val="right"/>
              <w:ind w:right="115"/>
              <w:spacing w:after="0"/>
              <w:rPr>
                <w:sz w:val="20"/>
                <w:szCs w:val="20"/>
                <w:color w:val="auto"/>
              </w:rPr>
            </w:pPr>
            <w:r>
              <w:rPr>
                <w:rFonts w:ascii="Arial" w:cs="Arial" w:eastAsia="Arial" w:hAnsi="Arial"/>
                <w:sz w:val="13"/>
                <w:szCs w:val="13"/>
                <w:b w:val="1"/>
                <w:bCs w:val="1"/>
                <w:color w:val="auto"/>
              </w:rPr>
              <w:t>Table Total</w:t>
            </w:r>
          </w:p>
        </w:tc>
        <w:tc>
          <w:tcPr>
            <w:tcW w:w="1200" w:type="dxa"/>
            <w:vAlign w:val="bottom"/>
          </w:tcPr>
          <w:p>
            <w:pPr>
              <w:jc w:val="right"/>
              <w:ind w:right="115"/>
              <w:spacing w:after="0"/>
              <w:rPr>
                <w:sz w:val="20"/>
                <w:szCs w:val="20"/>
                <w:color w:val="auto"/>
              </w:rPr>
            </w:pPr>
            <w:r>
              <w:rPr>
                <w:rFonts w:ascii="Arial" w:cs="Arial" w:eastAsia="Arial" w:hAnsi="Arial"/>
                <w:sz w:val="13"/>
                <w:szCs w:val="13"/>
                <w:b w:val="1"/>
                <w:bCs w:val="1"/>
                <w:color w:val="auto"/>
              </w:rPr>
              <w:t>Actually Paid</w:t>
            </w:r>
          </w:p>
        </w:tc>
        <w:tc>
          <w:tcPr>
            <w:tcW w:w="1220" w:type="dxa"/>
            <w:vAlign w:val="bottom"/>
          </w:tcPr>
          <w:p>
            <w:pPr>
              <w:jc w:val="right"/>
              <w:ind w:right="116"/>
              <w:spacing w:after="0"/>
              <w:rPr>
                <w:sz w:val="20"/>
                <w:szCs w:val="20"/>
                <w:color w:val="auto"/>
              </w:rPr>
            </w:pPr>
            <w:r>
              <w:rPr>
                <w:rFonts w:ascii="Arial" w:cs="Arial" w:eastAsia="Arial" w:hAnsi="Arial"/>
                <w:sz w:val="13"/>
                <w:szCs w:val="13"/>
                <w:b w:val="1"/>
                <w:bCs w:val="1"/>
                <w:color w:val="auto"/>
              </w:rPr>
              <w:t>Executive</w:t>
            </w:r>
          </w:p>
        </w:tc>
        <w:tc>
          <w:tcPr>
            <w:tcW w:w="1160" w:type="dxa"/>
            <w:vAlign w:val="bottom"/>
          </w:tcPr>
          <w:p>
            <w:pPr>
              <w:jc w:val="right"/>
              <w:ind w:right="56"/>
              <w:spacing w:after="0"/>
              <w:rPr>
                <w:sz w:val="20"/>
                <w:szCs w:val="20"/>
                <w:color w:val="auto"/>
              </w:rPr>
            </w:pPr>
            <w:r>
              <w:rPr>
                <w:rFonts w:ascii="Arial" w:cs="Arial" w:eastAsia="Arial" w:hAnsi="Arial"/>
                <w:sz w:val="13"/>
                <w:szCs w:val="13"/>
                <w:b w:val="1"/>
                <w:bCs w:val="1"/>
                <w:color w:val="auto"/>
              </w:rPr>
              <w:t>Executive</w:t>
            </w:r>
          </w:p>
        </w:tc>
        <w:tc>
          <w:tcPr>
            <w:tcW w:w="1180" w:type="dxa"/>
            <w:vAlign w:val="bottom"/>
          </w:tcPr>
          <w:p>
            <w:pPr>
              <w:jc w:val="right"/>
              <w:ind w:right="134"/>
              <w:spacing w:after="0"/>
              <w:rPr>
                <w:sz w:val="20"/>
                <w:szCs w:val="20"/>
                <w:color w:val="auto"/>
              </w:rPr>
            </w:pPr>
            <w:r>
              <w:rPr>
                <w:rFonts w:ascii="Arial" w:cs="Arial" w:eastAsia="Arial" w:hAnsi="Arial"/>
                <w:sz w:val="13"/>
                <w:szCs w:val="13"/>
                <w:b w:val="1"/>
                <w:bCs w:val="1"/>
                <w:color w:val="auto"/>
              </w:rPr>
              <w:t>Shareholder</w:t>
            </w:r>
          </w:p>
        </w:tc>
        <w:tc>
          <w:tcPr>
            <w:tcW w:w="1040" w:type="dxa"/>
            <w:vAlign w:val="bottom"/>
          </w:tcPr>
          <w:p>
            <w:pPr>
              <w:jc w:val="right"/>
              <w:ind w:right="55"/>
              <w:spacing w:after="0"/>
              <w:rPr>
                <w:sz w:val="20"/>
                <w:szCs w:val="20"/>
                <w:color w:val="auto"/>
              </w:rPr>
            </w:pPr>
            <w:r>
              <w:rPr>
                <w:rFonts w:ascii="Arial" w:cs="Arial" w:eastAsia="Arial" w:hAnsi="Arial"/>
                <w:sz w:val="13"/>
                <w:szCs w:val="13"/>
                <w:b w:val="1"/>
                <w:bCs w:val="1"/>
                <w:color w:val="auto"/>
              </w:rPr>
              <w:t>Shareholder</w:t>
            </w:r>
          </w:p>
        </w:tc>
        <w:tc>
          <w:tcPr>
            <w:tcW w:w="920" w:type="dxa"/>
            <w:vAlign w:val="bottom"/>
          </w:tcPr>
          <w:p>
            <w:pPr>
              <w:jc w:val="right"/>
              <w:ind w:right="173"/>
              <w:spacing w:after="0"/>
              <w:rPr>
                <w:sz w:val="20"/>
                <w:szCs w:val="20"/>
                <w:color w:val="auto"/>
              </w:rPr>
            </w:pPr>
            <w:r>
              <w:rPr>
                <w:rFonts w:ascii="Arial" w:cs="Arial" w:eastAsia="Arial" w:hAnsi="Arial"/>
                <w:sz w:val="13"/>
                <w:szCs w:val="13"/>
                <w:b w:val="1"/>
                <w:bCs w:val="1"/>
                <w:color w:val="auto"/>
              </w:rPr>
              <w:t>Income</w:t>
            </w:r>
          </w:p>
        </w:tc>
        <w:tc>
          <w:tcPr>
            <w:tcW w:w="880" w:type="dxa"/>
            <w:vAlign w:val="bottom"/>
          </w:tcPr>
          <w:p>
            <w:pPr>
              <w:jc w:val="right"/>
              <w:ind w:right="34"/>
              <w:spacing w:after="0"/>
              <w:rPr>
                <w:sz w:val="20"/>
                <w:szCs w:val="20"/>
                <w:color w:val="auto"/>
              </w:rPr>
            </w:pPr>
            <w:r>
              <w:rPr>
                <w:rFonts w:ascii="Arial" w:cs="Arial" w:eastAsia="Arial" w:hAnsi="Arial"/>
                <w:sz w:val="13"/>
                <w:szCs w:val="13"/>
                <w:b w:val="1"/>
                <w:bCs w:val="1"/>
                <w:color w:val="auto"/>
              </w:rPr>
              <w:t>Revenue</w:t>
            </w:r>
          </w:p>
        </w:tc>
        <w:tc>
          <w:tcPr>
            <w:tcW w:w="0" w:type="dxa"/>
            <w:vAlign w:val="bottom"/>
          </w:tcPr>
          <w:p>
            <w:pPr>
              <w:spacing w:after="0"/>
              <w:rPr>
                <w:sz w:val="1"/>
                <w:szCs w:val="1"/>
                <w:color w:val="auto"/>
              </w:rPr>
            </w:pPr>
          </w:p>
        </w:tc>
      </w:tr>
      <w:tr>
        <w:trPr>
          <w:trHeight w:val="135"/>
        </w:trPr>
        <w:tc>
          <w:tcPr>
            <w:tcW w:w="68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Year</w:t>
            </w:r>
          </w:p>
        </w:tc>
        <w:tc>
          <w:tcPr>
            <w:tcW w:w="1220" w:type="dxa"/>
            <w:vAlign w:val="bottom"/>
          </w:tcPr>
          <w:p>
            <w:pPr>
              <w:jc w:val="right"/>
              <w:ind w:right="115"/>
              <w:spacing w:after="0" w:line="135" w:lineRule="exact"/>
              <w:rPr>
                <w:sz w:val="20"/>
                <w:szCs w:val="20"/>
                <w:color w:val="auto"/>
              </w:rPr>
            </w:pPr>
            <w:r>
              <w:rPr>
                <w:rFonts w:ascii="Arial" w:cs="Arial" w:eastAsia="Arial" w:hAnsi="Arial"/>
                <w:sz w:val="13"/>
                <w:szCs w:val="13"/>
                <w:b w:val="1"/>
                <w:bCs w:val="1"/>
                <w:color w:val="auto"/>
              </w:rPr>
              <w:t>for PEO</w:t>
            </w:r>
          </w:p>
        </w:tc>
        <w:tc>
          <w:tcPr>
            <w:tcW w:w="1200" w:type="dxa"/>
            <w:vAlign w:val="bottom"/>
          </w:tcPr>
          <w:p>
            <w:pPr>
              <w:jc w:val="right"/>
              <w:ind w:right="115"/>
              <w:spacing w:after="0" w:line="135" w:lineRule="exact"/>
              <w:rPr>
                <w:sz w:val="20"/>
                <w:szCs w:val="20"/>
                <w:color w:val="auto"/>
              </w:rPr>
            </w:pPr>
            <w:r>
              <w:rPr>
                <w:rFonts w:ascii="Arial" w:cs="Arial" w:eastAsia="Arial" w:hAnsi="Arial"/>
                <w:sz w:val="13"/>
                <w:szCs w:val="13"/>
                <w:b w:val="1"/>
                <w:bCs w:val="1"/>
                <w:color w:val="auto"/>
              </w:rPr>
              <w:t>to PEO</w:t>
            </w:r>
          </w:p>
        </w:tc>
        <w:tc>
          <w:tcPr>
            <w:tcW w:w="1220" w:type="dxa"/>
            <w:vAlign w:val="bottom"/>
          </w:tcPr>
          <w:p>
            <w:pPr>
              <w:jc w:val="right"/>
              <w:ind w:right="116"/>
              <w:spacing w:after="0" w:line="135" w:lineRule="exact"/>
              <w:rPr>
                <w:sz w:val="20"/>
                <w:szCs w:val="20"/>
                <w:color w:val="auto"/>
              </w:rPr>
            </w:pPr>
            <w:r>
              <w:rPr>
                <w:rFonts w:ascii="Arial" w:cs="Arial" w:eastAsia="Arial" w:hAnsi="Arial"/>
                <w:sz w:val="13"/>
                <w:szCs w:val="13"/>
                <w:b w:val="1"/>
                <w:bCs w:val="1"/>
                <w:color w:val="auto"/>
              </w:rPr>
              <w:t>Officers</w:t>
            </w:r>
          </w:p>
        </w:tc>
        <w:tc>
          <w:tcPr>
            <w:tcW w:w="1160" w:type="dxa"/>
            <w:vAlign w:val="bottom"/>
          </w:tcPr>
          <w:p>
            <w:pPr>
              <w:jc w:val="right"/>
              <w:ind w:right="56"/>
              <w:spacing w:after="0" w:line="135" w:lineRule="exact"/>
              <w:rPr>
                <w:sz w:val="20"/>
                <w:szCs w:val="20"/>
                <w:color w:val="auto"/>
              </w:rPr>
            </w:pPr>
            <w:r>
              <w:rPr>
                <w:rFonts w:ascii="Arial" w:cs="Arial" w:eastAsia="Arial" w:hAnsi="Arial"/>
                <w:sz w:val="13"/>
                <w:szCs w:val="13"/>
                <w:b w:val="1"/>
                <w:bCs w:val="1"/>
                <w:color w:val="auto"/>
              </w:rPr>
              <w:t>Officers</w:t>
            </w:r>
          </w:p>
        </w:tc>
        <w:tc>
          <w:tcPr>
            <w:tcW w:w="1180" w:type="dxa"/>
            <w:vAlign w:val="bottom"/>
          </w:tcPr>
          <w:p>
            <w:pPr>
              <w:ind w:left="580"/>
              <w:spacing w:after="0" w:line="135" w:lineRule="exact"/>
              <w:rPr>
                <w:sz w:val="20"/>
                <w:szCs w:val="20"/>
                <w:color w:val="auto"/>
              </w:rPr>
            </w:pPr>
            <w:r>
              <w:rPr>
                <w:rFonts w:ascii="Arial" w:cs="Arial" w:eastAsia="Arial" w:hAnsi="Arial"/>
                <w:sz w:val="13"/>
                <w:szCs w:val="13"/>
                <w:b w:val="1"/>
                <w:bCs w:val="1"/>
                <w:color w:val="auto"/>
              </w:rPr>
              <w:t>Return</w:t>
            </w:r>
          </w:p>
        </w:tc>
        <w:tc>
          <w:tcPr>
            <w:tcW w:w="1040" w:type="dxa"/>
            <w:vAlign w:val="bottom"/>
          </w:tcPr>
          <w:p>
            <w:pPr>
              <w:jc w:val="right"/>
              <w:ind w:right="55"/>
              <w:spacing w:after="0" w:line="135" w:lineRule="exact"/>
              <w:rPr>
                <w:sz w:val="20"/>
                <w:szCs w:val="20"/>
                <w:color w:val="auto"/>
              </w:rPr>
            </w:pPr>
            <w:r>
              <w:rPr>
                <w:rFonts w:ascii="Arial" w:cs="Arial" w:eastAsia="Arial" w:hAnsi="Arial"/>
                <w:sz w:val="13"/>
                <w:szCs w:val="13"/>
                <w:b w:val="1"/>
                <w:bCs w:val="1"/>
                <w:color w:val="auto"/>
              </w:rPr>
              <w:t>Return</w:t>
            </w:r>
          </w:p>
        </w:tc>
        <w:tc>
          <w:tcPr>
            <w:tcW w:w="920" w:type="dxa"/>
            <w:vAlign w:val="bottom"/>
          </w:tcPr>
          <w:p>
            <w:pPr>
              <w:jc w:val="right"/>
              <w:ind w:right="173"/>
              <w:spacing w:after="0" w:line="135" w:lineRule="exact"/>
              <w:rPr>
                <w:sz w:val="20"/>
                <w:szCs w:val="20"/>
                <w:color w:val="auto"/>
              </w:rPr>
            </w:pPr>
            <w:r>
              <w:rPr>
                <w:rFonts w:ascii="Arial" w:cs="Arial" w:eastAsia="Arial" w:hAnsi="Arial"/>
                <w:sz w:val="13"/>
                <w:szCs w:val="13"/>
                <w:b w:val="1"/>
                <w:bCs w:val="1"/>
                <w:color w:val="auto"/>
              </w:rPr>
              <w:t>($)</w:t>
            </w:r>
          </w:p>
        </w:tc>
        <w:tc>
          <w:tcPr>
            <w:tcW w:w="880" w:type="dxa"/>
            <w:vAlign w:val="bottom"/>
          </w:tcPr>
          <w:p>
            <w:pPr>
              <w:jc w:val="right"/>
              <w:ind w:right="34"/>
              <w:spacing w:after="0" w:line="135"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03"/>
        </w:trPr>
        <w:tc>
          <w:tcPr>
            <w:tcW w:w="680" w:type="dxa"/>
            <w:vAlign w:val="bottom"/>
            <w:tcBorders>
              <w:bottom w:val="single" w:sz="8" w:color="342C82"/>
            </w:tcBorders>
            <w:vMerge w:val="continue"/>
          </w:tcPr>
          <w:p>
            <w:pPr>
              <w:spacing w:after="0"/>
              <w:rPr>
                <w:sz w:val="17"/>
                <w:szCs w:val="17"/>
                <w:color w:val="auto"/>
              </w:rPr>
            </w:pPr>
          </w:p>
        </w:tc>
        <w:tc>
          <w:tcPr>
            <w:tcW w:w="1220" w:type="dxa"/>
            <w:vAlign w:val="bottom"/>
            <w:tcBorders>
              <w:bottom w:val="single" w:sz="8" w:color="342C82"/>
            </w:tcBorders>
          </w:tcPr>
          <w:p>
            <w:pPr>
              <w:jc w:val="right"/>
              <w:ind w:right="95"/>
              <w:spacing w:after="0" w:line="202" w:lineRule="exact"/>
              <w:rPr>
                <w:sz w:val="20"/>
                <w:szCs w:val="20"/>
                <w:color w:val="auto"/>
              </w:rPr>
            </w:pPr>
            <w:r>
              <w:rPr>
                <w:rFonts w:ascii="Arial" w:cs="Arial" w:eastAsia="Arial" w:hAnsi="Arial"/>
                <w:sz w:val="23"/>
                <w:szCs w:val="23"/>
                <w:b w:val="1"/>
                <w:bCs w:val="1"/>
                <w:color w:val="auto"/>
                <w:vertAlign w:val="subscript"/>
              </w:rPr>
              <w:t>($)</w:t>
            </w:r>
            <w:r>
              <w:rPr>
                <w:rFonts w:ascii="Arial" w:cs="Arial" w:eastAsia="Arial" w:hAnsi="Arial"/>
                <w:sz w:val="10"/>
                <w:szCs w:val="10"/>
                <w:b w:val="1"/>
                <w:bCs w:val="1"/>
                <w:color w:val="auto"/>
              </w:rPr>
              <w:t>(2)</w:t>
            </w:r>
          </w:p>
        </w:tc>
        <w:tc>
          <w:tcPr>
            <w:tcW w:w="1200" w:type="dxa"/>
            <w:vAlign w:val="bottom"/>
            <w:tcBorders>
              <w:bottom w:val="single" w:sz="8" w:color="342C82"/>
            </w:tcBorders>
          </w:tcPr>
          <w:p>
            <w:pPr>
              <w:jc w:val="right"/>
              <w:ind w:right="95"/>
              <w:spacing w:after="0" w:line="202" w:lineRule="exact"/>
              <w:rPr>
                <w:sz w:val="20"/>
                <w:szCs w:val="20"/>
                <w:color w:val="auto"/>
              </w:rPr>
            </w:pPr>
            <w:r>
              <w:rPr>
                <w:rFonts w:ascii="Arial" w:cs="Arial" w:eastAsia="Arial" w:hAnsi="Arial"/>
                <w:sz w:val="23"/>
                <w:szCs w:val="23"/>
                <w:b w:val="1"/>
                <w:bCs w:val="1"/>
                <w:color w:val="auto"/>
                <w:vertAlign w:val="subscript"/>
              </w:rPr>
              <w:t>($)</w:t>
            </w:r>
            <w:r>
              <w:rPr>
                <w:rFonts w:ascii="Arial" w:cs="Arial" w:eastAsia="Arial" w:hAnsi="Arial"/>
                <w:sz w:val="10"/>
                <w:szCs w:val="10"/>
                <w:b w:val="1"/>
                <w:bCs w:val="1"/>
                <w:color w:val="auto"/>
              </w:rPr>
              <w:t>(3)</w:t>
            </w:r>
          </w:p>
        </w:tc>
        <w:tc>
          <w:tcPr>
            <w:tcW w:w="1220" w:type="dxa"/>
            <w:vAlign w:val="bottom"/>
            <w:tcBorders>
              <w:bottom w:val="single" w:sz="8" w:color="342C82"/>
            </w:tcBorders>
          </w:tcPr>
          <w:p>
            <w:pPr>
              <w:jc w:val="right"/>
              <w:ind w:right="76"/>
              <w:spacing w:after="0" w:line="202" w:lineRule="exact"/>
              <w:rPr>
                <w:sz w:val="20"/>
                <w:szCs w:val="20"/>
                <w:color w:val="auto"/>
              </w:rPr>
            </w:pPr>
            <w:r>
              <w:rPr>
                <w:rFonts w:ascii="Arial" w:cs="Arial" w:eastAsia="Arial" w:hAnsi="Arial"/>
                <w:sz w:val="23"/>
                <w:szCs w:val="23"/>
                <w:b w:val="1"/>
                <w:bCs w:val="1"/>
                <w:color w:val="auto"/>
                <w:vertAlign w:val="subscript"/>
              </w:rPr>
              <w:t>($)</w:t>
            </w:r>
            <w:r>
              <w:rPr>
                <w:rFonts w:ascii="Arial" w:cs="Arial" w:eastAsia="Arial" w:hAnsi="Arial"/>
                <w:sz w:val="10"/>
                <w:szCs w:val="10"/>
                <w:b w:val="1"/>
                <w:bCs w:val="1"/>
                <w:color w:val="auto"/>
              </w:rPr>
              <w:t>(2)</w:t>
            </w:r>
          </w:p>
        </w:tc>
        <w:tc>
          <w:tcPr>
            <w:tcW w:w="1160" w:type="dxa"/>
            <w:vAlign w:val="bottom"/>
            <w:tcBorders>
              <w:bottom w:val="single" w:sz="8" w:color="342C82"/>
            </w:tcBorders>
          </w:tcPr>
          <w:p>
            <w:pPr>
              <w:jc w:val="right"/>
              <w:ind w:right="16"/>
              <w:spacing w:after="0" w:line="202" w:lineRule="exact"/>
              <w:rPr>
                <w:sz w:val="20"/>
                <w:szCs w:val="20"/>
                <w:color w:val="auto"/>
              </w:rPr>
            </w:pPr>
            <w:r>
              <w:rPr>
                <w:rFonts w:ascii="Arial" w:cs="Arial" w:eastAsia="Arial" w:hAnsi="Arial"/>
                <w:sz w:val="23"/>
                <w:szCs w:val="23"/>
                <w:b w:val="1"/>
                <w:bCs w:val="1"/>
                <w:color w:val="auto"/>
                <w:vertAlign w:val="subscript"/>
              </w:rPr>
              <w:t>($)</w:t>
            </w:r>
            <w:r>
              <w:rPr>
                <w:rFonts w:ascii="Arial" w:cs="Arial" w:eastAsia="Arial" w:hAnsi="Arial"/>
                <w:sz w:val="10"/>
                <w:szCs w:val="10"/>
                <w:b w:val="1"/>
                <w:bCs w:val="1"/>
                <w:color w:val="auto"/>
              </w:rPr>
              <w:t>(3)</w:t>
            </w:r>
          </w:p>
        </w:tc>
        <w:tc>
          <w:tcPr>
            <w:tcW w:w="1180" w:type="dxa"/>
            <w:vAlign w:val="bottom"/>
            <w:tcBorders>
              <w:bottom w:val="single" w:sz="8" w:color="342C82"/>
            </w:tcBorders>
          </w:tcPr>
          <w:p>
            <w:pPr>
              <w:jc w:val="right"/>
              <w:ind w:right="94"/>
              <w:spacing w:after="0"/>
              <w:rPr>
                <w:sz w:val="20"/>
                <w:szCs w:val="20"/>
                <w:color w:val="auto"/>
              </w:rPr>
            </w:pPr>
            <w:r>
              <w:rPr>
                <w:rFonts w:ascii="Arial" w:cs="Arial" w:eastAsia="Arial" w:hAnsi="Arial"/>
                <w:sz w:val="13"/>
                <w:szCs w:val="13"/>
                <w:b w:val="1"/>
                <w:bCs w:val="1"/>
                <w:color w:val="auto"/>
              </w:rPr>
              <w:t>($)</w:t>
            </w:r>
          </w:p>
        </w:tc>
        <w:tc>
          <w:tcPr>
            <w:tcW w:w="1040" w:type="dxa"/>
            <w:vAlign w:val="bottom"/>
            <w:tcBorders>
              <w:bottom w:val="single" w:sz="8" w:color="342C82"/>
            </w:tcBorders>
          </w:tcPr>
          <w:p>
            <w:pPr>
              <w:jc w:val="right"/>
              <w:ind w:right="35"/>
              <w:spacing w:after="0" w:line="202" w:lineRule="exact"/>
              <w:rPr>
                <w:sz w:val="20"/>
                <w:szCs w:val="20"/>
                <w:color w:val="auto"/>
              </w:rPr>
            </w:pPr>
            <w:r>
              <w:rPr>
                <w:rFonts w:ascii="Arial" w:cs="Arial" w:eastAsia="Arial" w:hAnsi="Arial"/>
                <w:sz w:val="23"/>
                <w:szCs w:val="23"/>
                <w:b w:val="1"/>
                <w:bCs w:val="1"/>
                <w:color w:val="auto"/>
                <w:vertAlign w:val="subscript"/>
              </w:rPr>
              <w:t>($)</w:t>
            </w:r>
            <w:r>
              <w:rPr>
                <w:rFonts w:ascii="Arial" w:cs="Arial" w:eastAsia="Arial" w:hAnsi="Arial"/>
                <w:sz w:val="10"/>
                <w:szCs w:val="10"/>
                <w:b w:val="1"/>
                <w:bCs w:val="1"/>
                <w:color w:val="auto"/>
              </w:rPr>
              <w:t>(4)</w:t>
            </w:r>
          </w:p>
        </w:tc>
        <w:tc>
          <w:tcPr>
            <w:tcW w:w="920" w:type="dxa"/>
            <w:vAlign w:val="bottom"/>
            <w:tcBorders>
              <w:bottom w:val="single" w:sz="8" w:color="342C82"/>
            </w:tcBorders>
          </w:tcPr>
          <w:p>
            <w:pPr>
              <w:jc w:val="right"/>
              <w:ind w:right="133"/>
              <w:spacing w:after="0"/>
              <w:rPr>
                <w:sz w:val="20"/>
                <w:szCs w:val="20"/>
                <w:color w:val="auto"/>
              </w:rPr>
            </w:pPr>
            <w:r>
              <w:rPr>
                <w:rFonts w:ascii="Arial" w:cs="Arial" w:eastAsia="Arial" w:hAnsi="Arial"/>
                <w:sz w:val="13"/>
                <w:szCs w:val="13"/>
                <w:b w:val="1"/>
                <w:bCs w:val="1"/>
                <w:color w:val="auto"/>
              </w:rPr>
              <w:t>(million)</w:t>
            </w:r>
          </w:p>
        </w:tc>
        <w:tc>
          <w:tcPr>
            <w:tcW w:w="880" w:type="dxa"/>
            <w:vAlign w:val="bottom"/>
            <w:tcBorders>
              <w:bottom w:val="single" w:sz="8" w:color="342C82"/>
            </w:tcBorders>
          </w:tcPr>
          <w:p>
            <w:pPr>
              <w:jc w:val="right"/>
              <w:ind w:right="14"/>
              <w:spacing w:after="0" w:line="203" w:lineRule="exact"/>
              <w:rPr>
                <w:sz w:val="20"/>
                <w:szCs w:val="20"/>
                <w:color w:val="auto"/>
              </w:rPr>
            </w:pPr>
            <w:r>
              <w:rPr>
                <w:rFonts w:ascii="Arial" w:cs="Arial" w:eastAsia="Arial" w:hAnsi="Arial"/>
                <w:sz w:val="13"/>
                <w:szCs w:val="13"/>
                <w:b w:val="1"/>
                <w:bCs w:val="1"/>
                <w:color w:val="auto"/>
              </w:rPr>
              <w:t>(million)</w:t>
            </w:r>
            <w:r>
              <w:rPr>
                <w:rFonts w:ascii="Arial" w:cs="Arial" w:eastAsia="Arial" w:hAnsi="Arial"/>
                <w:sz w:val="20"/>
                <w:szCs w:val="20"/>
                <w:b w:val="1"/>
                <w:bCs w:val="1"/>
                <w:color w:val="auto"/>
                <w:vertAlign w:val="superscript"/>
              </w:rPr>
              <w:t>(5)</w:t>
            </w:r>
          </w:p>
        </w:tc>
        <w:tc>
          <w:tcPr>
            <w:tcW w:w="0" w:type="dxa"/>
            <w:vAlign w:val="bottom"/>
          </w:tcPr>
          <w:p>
            <w:pPr>
              <w:spacing w:after="0"/>
              <w:rPr>
                <w:sz w:val="1"/>
                <w:szCs w:val="1"/>
                <w:color w:val="auto"/>
              </w:rPr>
            </w:pPr>
          </w:p>
        </w:tc>
      </w:tr>
      <w:tr>
        <w:trPr>
          <w:trHeight w:val="215"/>
        </w:trPr>
        <w:tc>
          <w:tcPr>
            <w:tcW w:w="680" w:type="dxa"/>
            <w:vAlign w:val="bottom"/>
          </w:tcPr>
          <w:p>
            <w:pPr>
              <w:ind w:left="80"/>
              <w:spacing w:after="0"/>
              <w:rPr>
                <w:sz w:val="20"/>
                <w:szCs w:val="20"/>
                <w:color w:val="auto"/>
              </w:rPr>
            </w:pPr>
            <w:r>
              <w:rPr>
                <w:rFonts w:ascii="Arial" w:cs="Arial" w:eastAsia="Arial" w:hAnsi="Arial"/>
                <w:sz w:val="14"/>
                <w:szCs w:val="14"/>
                <w:color w:val="auto"/>
              </w:rPr>
              <w:t>2024</w:t>
            </w:r>
          </w:p>
        </w:tc>
        <w:tc>
          <w:tcPr>
            <w:tcW w:w="1220" w:type="dxa"/>
            <w:vAlign w:val="bottom"/>
          </w:tcPr>
          <w:p>
            <w:pPr>
              <w:jc w:val="right"/>
              <w:ind w:right="215"/>
              <w:spacing w:after="0"/>
              <w:rPr>
                <w:sz w:val="20"/>
                <w:szCs w:val="20"/>
                <w:color w:val="auto"/>
              </w:rPr>
            </w:pPr>
            <w:r>
              <w:rPr>
                <w:rFonts w:ascii="Arial" w:cs="Arial" w:eastAsia="Arial" w:hAnsi="Arial"/>
                <w:sz w:val="14"/>
                <w:szCs w:val="14"/>
                <w:color w:val="auto"/>
              </w:rPr>
              <w:t>8,587,473</w:t>
            </w:r>
          </w:p>
        </w:tc>
        <w:tc>
          <w:tcPr>
            <w:tcW w:w="1200" w:type="dxa"/>
            <w:vAlign w:val="bottom"/>
          </w:tcPr>
          <w:p>
            <w:pPr>
              <w:jc w:val="right"/>
              <w:ind w:right="215"/>
              <w:spacing w:after="0"/>
              <w:rPr>
                <w:sz w:val="20"/>
                <w:szCs w:val="20"/>
                <w:color w:val="auto"/>
              </w:rPr>
            </w:pPr>
            <w:r>
              <w:rPr>
                <w:rFonts w:ascii="Arial" w:cs="Arial" w:eastAsia="Arial" w:hAnsi="Arial"/>
                <w:sz w:val="14"/>
                <w:szCs w:val="14"/>
                <w:color w:val="auto"/>
              </w:rPr>
              <w:t>​ 7,419,886</w:t>
            </w:r>
          </w:p>
        </w:tc>
        <w:tc>
          <w:tcPr>
            <w:tcW w:w="1220" w:type="dxa"/>
            <w:vAlign w:val="bottom"/>
          </w:tcPr>
          <w:p>
            <w:pPr>
              <w:jc w:val="right"/>
              <w:ind w:right="196"/>
              <w:spacing w:after="0"/>
              <w:rPr>
                <w:sz w:val="20"/>
                <w:szCs w:val="20"/>
                <w:color w:val="auto"/>
              </w:rPr>
            </w:pPr>
            <w:r>
              <w:rPr>
                <w:rFonts w:ascii="Arial" w:cs="Arial" w:eastAsia="Arial" w:hAnsi="Arial"/>
                <w:sz w:val="14"/>
                <w:szCs w:val="14"/>
                <w:color w:val="auto"/>
              </w:rPr>
              <w:t>2,183,751</w:t>
            </w:r>
          </w:p>
        </w:tc>
        <w:tc>
          <w:tcPr>
            <w:tcW w:w="1160" w:type="dxa"/>
            <w:vAlign w:val="bottom"/>
          </w:tcPr>
          <w:p>
            <w:pPr>
              <w:jc w:val="right"/>
              <w:ind w:right="156"/>
              <w:spacing w:after="0"/>
              <w:rPr>
                <w:sz w:val="20"/>
                <w:szCs w:val="20"/>
                <w:color w:val="auto"/>
              </w:rPr>
            </w:pPr>
            <w:r>
              <w:rPr>
                <w:rFonts w:ascii="Arial" w:cs="Arial" w:eastAsia="Arial" w:hAnsi="Arial"/>
                <w:sz w:val="14"/>
                <w:szCs w:val="14"/>
                <w:color w:val="auto"/>
              </w:rPr>
              <w:t>1,980,117​</w:t>
            </w:r>
          </w:p>
        </w:tc>
        <w:tc>
          <w:tcPr>
            <w:tcW w:w="1180" w:type="dxa"/>
            <w:vAlign w:val="bottom"/>
          </w:tcPr>
          <w:p>
            <w:pPr>
              <w:ind w:left="580"/>
              <w:spacing w:after="0"/>
              <w:rPr>
                <w:sz w:val="20"/>
                <w:szCs w:val="20"/>
                <w:color w:val="auto"/>
              </w:rPr>
            </w:pPr>
            <w:r>
              <w:rPr>
                <w:rFonts w:ascii="Arial" w:cs="Arial" w:eastAsia="Arial" w:hAnsi="Arial"/>
                <w:sz w:val="14"/>
                <w:szCs w:val="14"/>
                <w:color w:val="auto"/>
              </w:rPr>
              <w:t>49.55</w:t>
            </w:r>
          </w:p>
        </w:tc>
        <w:tc>
          <w:tcPr>
            <w:tcW w:w="1040" w:type="dxa"/>
            <w:vAlign w:val="bottom"/>
          </w:tcPr>
          <w:p>
            <w:pPr>
              <w:jc w:val="right"/>
              <w:ind w:right="115"/>
              <w:spacing w:after="0"/>
              <w:rPr>
                <w:sz w:val="20"/>
                <w:szCs w:val="20"/>
                <w:color w:val="auto"/>
              </w:rPr>
            </w:pPr>
            <w:r>
              <w:rPr>
                <w:rFonts w:ascii="Arial" w:cs="Arial" w:eastAsia="Arial" w:hAnsi="Arial"/>
                <w:sz w:val="14"/>
                <w:szCs w:val="14"/>
                <w:color w:val="auto"/>
              </w:rPr>
              <w:t>84.52</w:t>
            </w:r>
          </w:p>
        </w:tc>
        <w:tc>
          <w:tcPr>
            <w:tcW w:w="920" w:type="dxa"/>
            <w:vAlign w:val="bottom"/>
          </w:tcPr>
          <w:p>
            <w:pPr>
              <w:jc w:val="right"/>
              <w:ind w:right="193"/>
              <w:spacing w:after="0"/>
              <w:rPr>
                <w:sz w:val="20"/>
                <w:szCs w:val="20"/>
                <w:color w:val="auto"/>
              </w:rPr>
            </w:pPr>
            <w:r>
              <w:rPr>
                <w:rFonts w:ascii="Arial" w:cs="Arial" w:eastAsia="Arial" w:hAnsi="Arial"/>
                <w:sz w:val="14"/>
                <w:szCs w:val="14"/>
                <w:color w:val="auto"/>
              </w:rPr>
              <w:t>76.7</w:t>
            </w:r>
          </w:p>
        </w:tc>
        <w:tc>
          <w:tcPr>
            <w:tcW w:w="880" w:type="dxa"/>
            <w:vAlign w:val="bottom"/>
          </w:tcPr>
          <w:p>
            <w:pPr>
              <w:ind w:left="220"/>
              <w:spacing w:after="0"/>
              <w:rPr>
                <w:sz w:val="20"/>
                <w:szCs w:val="20"/>
                <w:color w:val="auto"/>
              </w:rPr>
            </w:pPr>
            <w:r>
              <w:rPr>
                <w:rFonts w:ascii="Arial" w:cs="Arial" w:eastAsia="Arial" w:hAnsi="Arial"/>
                <w:sz w:val="14"/>
                <w:szCs w:val="14"/>
                <w:color w:val="auto"/>
              </w:rPr>
              <w:t>1,120.5</w:t>
            </w:r>
          </w:p>
        </w:tc>
        <w:tc>
          <w:tcPr>
            <w:tcW w:w="0" w:type="dxa"/>
            <w:vAlign w:val="bottom"/>
          </w:tcPr>
          <w:p>
            <w:pPr>
              <w:spacing w:after="0"/>
              <w:rPr>
                <w:sz w:val="1"/>
                <w:szCs w:val="1"/>
                <w:color w:val="auto"/>
              </w:rPr>
            </w:pPr>
          </w:p>
        </w:tc>
      </w:tr>
      <w:tr>
        <w:trPr>
          <w:trHeight w:val="22"/>
        </w:trPr>
        <w:tc>
          <w:tcPr>
            <w:tcW w:w="680" w:type="dxa"/>
            <w:vAlign w:val="bottom"/>
            <w:tcBorders>
              <w:bottom w:val="single" w:sz="8" w:color="808080"/>
            </w:tcBorders>
          </w:tcPr>
          <w:p>
            <w:pPr>
              <w:spacing w:after="0" w:line="20" w:lineRule="exact"/>
              <w:rPr>
                <w:sz w:val="1"/>
                <w:szCs w:val="1"/>
                <w:color w:val="auto"/>
              </w:rPr>
            </w:pPr>
          </w:p>
        </w:tc>
        <w:tc>
          <w:tcPr>
            <w:tcW w:w="1220" w:type="dxa"/>
            <w:vAlign w:val="bottom"/>
            <w:tcBorders>
              <w:bottom w:val="single" w:sz="8" w:color="808080"/>
            </w:tcBorders>
          </w:tcPr>
          <w:p>
            <w:pPr>
              <w:spacing w:after="0" w:line="20" w:lineRule="exact"/>
              <w:rPr>
                <w:sz w:val="1"/>
                <w:szCs w:val="1"/>
                <w:color w:val="auto"/>
              </w:rPr>
            </w:pPr>
          </w:p>
        </w:tc>
        <w:tc>
          <w:tcPr>
            <w:tcW w:w="1200" w:type="dxa"/>
            <w:vAlign w:val="bottom"/>
            <w:tcBorders>
              <w:bottom w:val="single" w:sz="8" w:color="808080"/>
            </w:tcBorders>
          </w:tcPr>
          <w:p>
            <w:pPr>
              <w:spacing w:after="0" w:line="20" w:lineRule="exact"/>
              <w:rPr>
                <w:sz w:val="1"/>
                <w:szCs w:val="1"/>
                <w:color w:val="auto"/>
              </w:rPr>
            </w:pPr>
          </w:p>
        </w:tc>
        <w:tc>
          <w:tcPr>
            <w:tcW w:w="1220" w:type="dxa"/>
            <w:vAlign w:val="bottom"/>
            <w:tcBorders>
              <w:bottom w:val="single" w:sz="8" w:color="808080"/>
            </w:tcBorders>
          </w:tcPr>
          <w:p>
            <w:pPr>
              <w:spacing w:after="0" w:line="20" w:lineRule="exact"/>
              <w:rPr>
                <w:sz w:val="1"/>
                <w:szCs w:val="1"/>
                <w:color w:val="auto"/>
              </w:rPr>
            </w:pPr>
          </w:p>
        </w:tc>
        <w:tc>
          <w:tcPr>
            <w:tcW w:w="1160" w:type="dxa"/>
            <w:vAlign w:val="bottom"/>
            <w:tcBorders>
              <w:bottom w:val="single" w:sz="8" w:color="808080"/>
            </w:tcBorders>
          </w:tcPr>
          <w:p>
            <w:pPr>
              <w:spacing w:after="0" w:line="20" w:lineRule="exact"/>
              <w:rPr>
                <w:sz w:val="1"/>
                <w:szCs w:val="1"/>
                <w:color w:val="auto"/>
              </w:rPr>
            </w:pPr>
          </w:p>
        </w:tc>
        <w:tc>
          <w:tcPr>
            <w:tcW w:w="1180" w:type="dxa"/>
            <w:vAlign w:val="bottom"/>
            <w:tcBorders>
              <w:bottom w:val="single" w:sz="8" w:color="808080"/>
            </w:tcBorders>
          </w:tcPr>
          <w:p>
            <w:pPr>
              <w:spacing w:after="0" w:line="20" w:lineRule="exact"/>
              <w:rPr>
                <w:sz w:val="1"/>
                <w:szCs w:val="1"/>
                <w:color w:val="auto"/>
              </w:rPr>
            </w:pPr>
          </w:p>
        </w:tc>
        <w:tc>
          <w:tcPr>
            <w:tcW w:w="1040" w:type="dxa"/>
            <w:vAlign w:val="bottom"/>
            <w:tcBorders>
              <w:bottom w:val="single" w:sz="8" w:color="808080"/>
            </w:tcBorders>
          </w:tcPr>
          <w:p>
            <w:pPr>
              <w:spacing w:after="0" w:line="20" w:lineRule="exact"/>
              <w:rPr>
                <w:sz w:val="1"/>
                <w:szCs w:val="1"/>
                <w:color w:val="auto"/>
              </w:rPr>
            </w:pPr>
          </w:p>
        </w:tc>
        <w:tc>
          <w:tcPr>
            <w:tcW w:w="920" w:type="dxa"/>
            <w:vAlign w:val="bottom"/>
            <w:tcBorders>
              <w:bottom w:val="single" w:sz="8" w:color="808080"/>
            </w:tcBorders>
          </w:tcPr>
          <w:p>
            <w:pPr>
              <w:spacing w:after="0" w:line="20" w:lineRule="exact"/>
              <w:rPr>
                <w:sz w:val="1"/>
                <w:szCs w:val="1"/>
                <w:color w:val="auto"/>
              </w:rPr>
            </w:pPr>
          </w:p>
        </w:tc>
        <w:tc>
          <w:tcPr>
            <w:tcW w:w="88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680" w:type="dxa"/>
            <w:vAlign w:val="bottom"/>
          </w:tcPr>
          <w:p>
            <w:pPr>
              <w:ind w:left="80"/>
              <w:spacing w:after="0"/>
              <w:rPr>
                <w:sz w:val="20"/>
                <w:szCs w:val="20"/>
                <w:color w:val="auto"/>
              </w:rPr>
            </w:pPr>
            <w:r>
              <w:rPr>
                <w:rFonts w:ascii="Arial" w:cs="Arial" w:eastAsia="Arial" w:hAnsi="Arial"/>
                <w:sz w:val="14"/>
                <w:szCs w:val="14"/>
                <w:color w:val="auto"/>
              </w:rPr>
              <w:t>2023</w:t>
            </w:r>
          </w:p>
        </w:tc>
        <w:tc>
          <w:tcPr>
            <w:tcW w:w="1220" w:type="dxa"/>
            <w:vAlign w:val="bottom"/>
          </w:tcPr>
          <w:p>
            <w:pPr>
              <w:jc w:val="right"/>
              <w:ind w:right="215"/>
              <w:spacing w:after="0"/>
              <w:rPr>
                <w:sz w:val="20"/>
                <w:szCs w:val="20"/>
                <w:color w:val="auto"/>
              </w:rPr>
            </w:pPr>
            <w:r>
              <w:rPr>
                <w:rFonts w:ascii="Arial" w:cs="Arial" w:eastAsia="Arial" w:hAnsi="Arial"/>
                <w:sz w:val="14"/>
                <w:szCs w:val="14"/>
                <w:color w:val="auto"/>
              </w:rPr>
              <w:t>7,464,497</w:t>
            </w:r>
          </w:p>
        </w:tc>
        <w:tc>
          <w:tcPr>
            <w:tcW w:w="1200" w:type="dxa"/>
            <w:vAlign w:val="bottom"/>
          </w:tcPr>
          <w:p>
            <w:pPr>
              <w:jc w:val="right"/>
              <w:ind w:right="175"/>
              <w:spacing w:after="0"/>
              <w:rPr>
                <w:sz w:val="20"/>
                <w:szCs w:val="20"/>
                <w:color w:val="auto"/>
              </w:rPr>
            </w:pPr>
            <w:r>
              <w:rPr>
                <w:rFonts w:ascii="Arial" w:cs="Arial" w:eastAsia="Arial" w:hAnsi="Arial"/>
                <w:sz w:val="14"/>
                <w:szCs w:val="14"/>
                <w:color w:val="auto"/>
              </w:rPr>
              <w:t>(1,276,899)</w:t>
            </w:r>
          </w:p>
        </w:tc>
        <w:tc>
          <w:tcPr>
            <w:tcW w:w="1220" w:type="dxa"/>
            <w:vAlign w:val="bottom"/>
          </w:tcPr>
          <w:p>
            <w:pPr>
              <w:jc w:val="right"/>
              <w:ind w:right="196"/>
              <w:spacing w:after="0"/>
              <w:rPr>
                <w:sz w:val="20"/>
                <w:szCs w:val="20"/>
                <w:color w:val="auto"/>
              </w:rPr>
            </w:pPr>
            <w:r>
              <w:rPr>
                <w:rFonts w:ascii="Arial" w:cs="Arial" w:eastAsia="Arial" w:hAnsi="Arial"/>
                <w:sz w:val="14"/>
                <w:szCs w:val="14"/>
                <w:color w:val="auto"/>
              </w:rPr>
              <w:t>1,815,985</w:t>
            </w:r>
          </w:p>
        </w:tc>
        <w:tc>
          <w:tcPr>
            <w:tcW w:w="1160" w:type="dxa"/>
            <w:vAlign w:val="bottom"/>
          </w:tcPr>
          <w:p>
            <w:pPr>
              <w:jc w:val="right"/>
              <w:ind w:right="136"/>
              <w:spacing w:after="0"/>
              <w:rPr>
                <w:sz w:val="20"/>
                <w:szCs w:val="20"/>
                <w:color w:val="auto"/>
              </w:rPr>
            </w:pPr>
            <w:r>
              <w:rPr>
                <w:rFonts w:ascii="Arial" w:cs="Arial" w:eastAsia="Arial" w:hAnsi="Arial"/>
                <w:sz w:val="14"/>
                <w:szCs w:val="14"/>
                <w:color w:val="auto"/>
              </w:rPr>
              <w:t>535,986</w:t>
            </w:r>
          </w:p>
        </w:tc>
        <w:tc>
          <w:tcPr>
            <w:tcW w:w="1180" w:type="dxa"/>
            <w:vAlign w:val="bottom"/>
          </w:tcPr>
          <w:p>
            <w:pPr>
              <w:ind w:left="580"/>
              <w:spacing w:after="0"/>
              <w:rPr>
                <w:sz w:val="20"/>
                <w:szCs w:val="20"/>
                <w:color w:val="auto"/>
              </w:rPr>
            </w:pPr>
            <w:r>
              <w:rPr>
                <w:rFonts w:ascii="Arial" w:cs="Arial" w:eastAsia="Arial" w:hAnsi="Arial"/>
                <w:sz w:val="14"/>
                <w:szCs w:val="14"/>
                <w:color w:val="auto"/>
              </w:rPr>
              <w:t>50.82</w:t>
            </w:r>
          </w:p>
        </w:tc>
        <w:tc>
          <w:tcPr>
            <w:tcW w:w="1040" w:type="dxa"/>
            <w:vAlign w:val="bottom"/>
          </w:tcPr>
          <w:p>
            <w:pPr>
              <w:jc w:val="right"/>
              <w:ind w:right="115"/>
              <w:spacing w:after="0"/>
              <w:rPr>
                <w:sz w:val="20"/>
                <w:szCs w:val="20"/>
                <w:color w:val="auto"/>
              </w:rPr>
            </w:pPr>
            <w:r>
              <w:rPr>
                <w:rFonts w:ascii="Arial" w:cs="Arial" w:eastAsia="Arial" w:hAnsi="Arial"/>
                <w:sz w:val="14"/>
                <w:szCs w:val="14"/>
                <w:color w:val="auto"/>
              </w:rPr>
              <w:t>68.52</w:t>
            </w:r>
          </w:p>
        </w:tc>
        <w:tc>
          <w:tcPr>
            <w:tcW w:w="920" w:type="dxa"/>
            <w:vAlign w:val="bottom"/>
          </w:tcPr>
          <w:p>
            <w:pPr>
              <w:jc w:val="right"/>
              <w:ind w:right="193"/>
              <w:spacing w:after="0"/>
              <w:rPr>
                <w:sz w:val="20"/>
                <w:szCs w:val="20"/>
                <w:color w:val="auto"/>
              </w:rPr>
            </w:pPr>
            <w:r>
              <w:rPr>
                <w:rFonts w:ascii="Arial" w:cs="Arial" w:eastAsia="Arial" w:hAnsi="Arial"/>
                <w:sz w:val="14"/>
                <w:szCs w:val="14"/>
                <w:color w:val="auto"/>
              </w:rPr>
              <w:t>70.4</w:t>
            </w:r>
          </w:p>
        </w:tc>
        <w:tc>
          <w:tcPr>
            <w:tcW w:w="880" w:type="dxa"/>
            <w:vAlign w:val="bottom"/>
          </w:tcPr>
          <w:p>
            <w:pPr>
              <w:ind w:left="220"/>
              <w:spacing w:after="0"/>
              <w:rPr>
                <w:sz w:val="20"/>
                <w:szCs w:val="20"/>
                <w:color w:val="auto"/>
              </w:rPr>
            </w:pPr>
            <w:r>
              <w:rPr>
                <w:rFonts w:ascii="Arial" w:cs="Arial" w:eastAsia="Arial" w:hAnsi="Arial"/>
                <w:sz w:val="14"/>
                <w:szCs w:val="14"/>
                <w:color w:val="auto"/>
              </w:rPr>
              <w:t>1,134.3</w:t>
            </w:r>
          </w:p>
        </w:tc>
        <w:tc>
          <w:tcPr>
            <w:tcW w:w="0" w:type="dxa"/>
            <w:vAlign w:val="bottom"/>
          </w:tcPr>
          <w:p>
            <w:pPr>
              <w:spacing w:after="0"/>
              <w:rPr>
                <w:sz w:val="1"/>
                <w:szCs w:val="1"/>
                <w:color w:val="auto"/>
              </w:rPr>
            </w:pPr>
          </w:p>
        </w:tc>
      </w:tr>
      <w:tr>
        <w:trPr>
          <w:trHeight w:val="22"/>
        </w:trPr>
        <w:tc>
          <w:tcPr>
            <w:tcW w:w="680" w:type="dxa"/>
            <w:vAlign w:val="bottom"/>
            <w:tcBorders>
              <w:bottom w:val="single" w:sz="8" w:color="808080"/>
            </w:tcBorders>
          </w:tcPr>
          <w:p>
            <w:pPr>
              <w:spacing w:after="0" w:line="20" w:lineRule="exact"/>
              <w:rPr>
                <w:sz w:val="1"/>
                <w:szCs w:val="1"/>
                <w:color w:val="auto"/>
              </w:rPr>
            </w:pPr>
          </w:p>
        </w:tc>
        <w:tc>
          <w:tcPr>
            <w:tcW w:w="1220" w:type="dxa"/>
            <w:vAlign w:val="bottom"/>
            <w:tcBorders>
              <w:bottom w:val="single" w:sz="8" w:color="808080"/>
            </w:tcBorders>
          </w:tcPr>
          <w:p>
            <w:pPr>
              <w:spacing w:after="0" w:line="20" w:lineRule="exact"/>
              <w:rPr>
                <w:sz w:val="1"/>
                <w:szCs w:val="1"/>
                <w:color w:val="auto"/>
              </w:rPr>
            </w:pPr>
          </w:p>
        </w:tc>
        <w:tc>
          <w:tcPr>
            <w:tcW w:w="1200" w:type="dxa"/>
            <w:vAlign w:val="bottom"/>
            <w:tcBorders>
              <w:bottom w:val="single" w:sz="8" w:color="808080"/>
            </w:tcBorders>
          </w:tcPr>
          <w:p>
            <w:pPr>
              <w:spacing w:after="0" w:line="20" w:lineRule="exact"/>
              <w:rPr>
                <w:sz w:val="1"/>
                <w:szCs w:val="1"/>
                <w:color w:val="auto"/>
              </w:rPr>
            </w:pPr>
          </w:p>
        </w:tc>
        <w:tc>
          <w:tcPr>
            <w:tcW w:w="1220" w:type="dxa"/>
            <w:vAlign w:val="bottom"/>
            <w:tcBorders>
              <w:bottom w:val="single" w:sz="8" w:color="808080"/>
            </w:tcBorders>
          </w:tcPr>
          <w:p>
            <w:pPr>
              <w:spacing w:after="0" w:line="20" w:lineRule="exact"/>
              <w:rPr>
                <w:sz w:val="1"/>
                <w:szCs w:val="1"/>
                <w:color w:val="auto"/>
              </w:rPr>
            </w:pPr>
          </w:p>
        </w:tc>
        <w:tc>
          <w:tcPr>
            <w:tcW w:w="1160" w:type="dxa"/>
            <w:vAlign w:val="bottom"/>
            <w:tcBorders>
              <w:bottom w:val="single" w:sz="8" w:color="808080"/>
            </w:tcBorders>
          </w:tcPr>
          <w:p>
            <w:pPr>
              <w:spacing w:after="0" w:line="20" w:lineRule="exact"/>
              <w:rPr>
                <w:sz w:val="1"/>
                <w:szCs w:val="1"/>
                <w:color w:val="auto"/>
              </w:rPr>
            </w:pPr>
          </w:p>
        </w:tc>
        <w:tc>
          <w:tcPr>
            <w:tcW w:w="1180" w:type="dxa"/>
            <w:vAlign w:val="bottom"/>
            <w:tcBorders>
              <w:bottom w:val="single" w:sz="8" w:color="808080"/>
            </w:tcBorders>
          </w:tcPr>
          <w:p>
            <w:pPr>
              <w:spacing w:after="0" w:line="20" w:lineRule="exact"/>
              <w:rPr>
                <w:sz w:val="1"/>
                <w:szCs w:val="1"/>
                <w:color w:val="auto"/>
              </w:rPr>
            </w:pPr>
          </w:p>
        </w:tc>
        <w:tc>
          <w:tcPr>
            <w:tcW w:w="1040" w:type="dxa"/>
            <w:vAlign w:val="bottom"/>
            <w:tcBorders>
              <w:bottom w:val="single" w:sz="8" w:color="808080"/>
            </w:tcBorders>
          </w:tcPr>
          <w:p>
            <w:pPr>
              <w:spacing w:after="0" w:line="20" w:lineRule="exact"/>
              <w:rPr>
                <w:sz w:val="1"/>
                <w:szCs w:val="1"/>
                <w:color w:val="auto"/>
              </w:rPr>
            </w:pPr>
          </w:p>
        </w:tc>
        <w:tc>
          <w:tcPr>
            <w:tcW w:w="920" w:type="dxa"/>
            <w:vAlign w:val="bottom"/>
            <w:tcBorders>
              <w:bottom w:val="single" w:sz="8" w:color="808080"/>
            </w:tcBorders>
          </w:tcPr>
          <w:p>
            <w:pPr>
              <w:spacing w:after="0" w:line="20" w:lineRule="exact"/>
              <w:rPr>
                <w:sz w:val="1"/>
                <w:szCs w:val="1"/>
                <w:color w:val="auto"/>
              </w:rPr>
            </w:pPr>
          </w:p>
        </w:tc>
        <w:tc>
          <w:tcPr>
            <w:tcW w:w="88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4"/>
        </w:trPr>
        <w:tc>
          <w:tcPr>
            <w:tcW w:w="680" w:type="dxa"/>
            <w:vAlign w:val="bottom"/>
          </w:tcPr>
          <w:p>
            <w:pPr>
              <w:ind w:left="80"/>
              <w:spacing w:after="0"/>
              <w:rPr>
                <w:sz w:val="20"/>
                <w:szCs w:val="20"/>
                <w:color w:val="auto"/>
              </w:rPr>
            </w:pPr>
            <w:r>
              <w:rPr>
                <w:rFonts w:ascii="Arial" w:cs="Arial" w:eastAsia="Arial" w:hAnsi="Arial"/>
                <w:sz w:val="14"/>
                <w:szCs w:val="14"/>
                <w:color w:val="auto"/>
              </w:rPr>
              <w:t>2022</w:t>
            </w:r>
            <w:r>
              <w:rPr>
                <w:rFonts w:ascii="Arial" w:cs="Arial" w:eastAsia="Arial" w:hAnsi="Arial"/>
                <w:sz w:val="23"/>
                <w:szCs w:val="23"/>
                <w:color w:val="auto"/>
                <w:vertAlign w:val="superscript"/>
              </w:rPr>
              <w:t>(1)</w:t>
            </w:r>
          </w:p>
        </w:tc>
        <w:tc>
          <w:tcPr>
            <w:tcW w:w="1220" w:type="dxa"/>
            <w:vAlign w:val="bottom"/>
          </w:tcPr>
          <w:p>
            <w:pPr>
              <w:jc w:val="right"/>
              <w:ind w:right="215"/>
              <w:spacing w:after="0"/>
              <w:rPr>
                <w:sz w:val="20"/>
                <w:szCs w:val="20"/>
                <w:color w:val="auto"/>
              </w:rPr>
            </w:pPr>
            <w:r>
              <w:rPr>
                <w:rFonts w:ascii="Arial" w:cs="Arial" w:eastAsia="Arial" w:hAnsi="Arial"/>
                <w:sz w:val="14"/>
                <w:szCs w:val="14"/>
                <w:color w:val="auto"/>
              </w:rPr>
              <w:t>11,253,966</w:t>
            </w:r>
          </w:p>
        </w:tc>
        <w:tc>
          <w:tcPr>
            <w:tcW w:w="1200" w:type="dxa"/>
            <w:vAlign w:val="bottom"/>
          </w:tcPr>
          <w:p>
            <w:pPr>
              <w:jc w:val="right"/>
              <w:ind w:right="215"/>
              <w:spacing w:after="0"/>
              <w:rPr>
                <w:sz w:val="20"/>
                <w:szCs w:val="20"/>
                <w:color w:val="auto"/>
              </w:rPr>
            </w:pPr>
            <w:r>
              <w:rPr>
                <w:rFonts w:ascii="Arial" w:cs="Arial" w:eastAsia="Arial" w:hAnsi="Arial"/>
                <w:sz w:val="14"/>
                <w:szCs w:val="14"/>
                <w:color w:val="auto"/>
              </w:rPr>
              <w:t>11,143,245</w:t>
            </w:r>
          </w:p>
        </w:tc>
        <w:tc>
          <w:tcPr>
            <w:tcW w:w="1220" w:type="dxa"/>
            <w:vAlign w:val="bottom"/>
          </w:tcPr>
          <w:p>
            <w:pPr>
              <w:jc w:val="right"/>
              <w:ind w:right="196"/>
              <w:spacing w:after="0"/>
              <w:rPr>
                <w:sz w:val="20"/>
                <w:szCs w:val="20"/>
                <w:color w:val="auto"/>
              </w:rPr>
            </w:pPr>
            <w:r>
              <w:rPr>
                <w:rFonts w:ascii="Arial" w:cs="Arial" w:eastAsia="Arial" w:hAnsi="Arial"/>
                <w:sz w:val="14"/>
                <w:szCs w:val="14"/>
                <w:color w:val="auto"/>
              </w:rPr>
              <w:t>2,559,457</w:t>
            </w:r>
          </w:p>
        </w:tc>
        <w:tc>
          <w:tcPr>
            <w:tcW w:w="1160" w:type="dxa"/>
            <w:vAlign w:val="bottom"/>
          </w:tcPr>
          <w:p>
            <w:pPr>
              <w:jc w:val="right"/>
              <w:ind w:right="156"/>
              <w:spacing w:after="0"/>
              <w:rPr>
                <w:sz w:val="20"/>
                <w:szCs w:val="20"/>
                <w:color w:val="auto"/>
              </w:rPr>
            </w:pPr>
            <w:r>
              <w:rPr>
                <w:rFonts w:ascii="Arial" w:cs="Arial" w:eastAsia="Arial" w:hAnsi="Arial"/>
                <w:sz w:val="14"/>
                <w:szCs w:val="14"/>
                <w:color w:val="auto"/>
              </w:rPr>
              <w:t>2,459,573</w:t>
            </w:r>
          </w:p>
        </w:tc>
        <w:tc>
          <w:tcPr>
            <w:tcW w:w="1180" w:type="dxa"/>
            <w:vAlign w:val="bottom"/>
          </w:tcPr>
          <w:p>
            <w:pPr>
              <w:ind w:left="580"/>
              <w:spacing w:after="0"/>
              <w:rPr>
                <w:sz w:val="20"/>
                <w:szCs w:val="20"/>
                <w:color w:val="auto"/>
              </w:rPr>
            </w:pPr>
            <w:r>
              <w:rPr>
                <w:rFonts w:ascii="Arial" w:cs="Arial" w:eastAsia="Arial" w:hAnsi="Arial"/>
                <w:sz w:val="14"/>
                <w:szCs w:val="14"/>
                <w:color w:val="auto"/>
              </w:rPr>
              <w:t>94.82</w:t>
            </w:r>
          </w:p>
        </w:tc>
        <w:tc>
          <w:tcPr>
            <w:tcW w:w="1040" w:type="dxa"/>
            <w:vAlign w:val="bottom"/>
          </w:tcPr>
          <w:p>
            <w:pPr>
              <w:jc w:val="right"/>
              <w:ind w:right="115"/>
              <w:spacing w:after="0"/>
              <w:rPr>
                <w:sz w:val="20"/>
                <w:szCs w:val="20"/>
                <w:color w:val="auto"/>
              </w:rPr>
            </w:pPr>
            <w:r>
              <w:rPr>
                <w:rFonts w:ascii="Arial" w:cs="Arial" w:eastAsia="Arial" w:hAnsi="Arial"/>
                <w:sz w:val="14"/>
                <w:szCs w:val="14"/>
                <w:color w:val="auto"/>
              </w:rPr>
              <w:t>79.69</w:t>
            </w:r>
          </w:p>
        </w:tc>
        <w:tc>
          <w:tcPr>
            <w:tcW w:w="920" w:type="dxa"/>
            <w:vAlign w:val="bottom"/>
          </w:tcPr>
          <w:p>
            <w:pPr>
              <w:jc w:val="right"/>
              <w:ind w:right="193"/>
              <w:spacing w:after="0"/>
              <w:rPr>
                <w:sz w:val="20"/>
                <w:szCs w:val="20"/>
                <w:color w:val="auto"/>
              </w:rPr>
            </w:pPr>
            <w:r>
              <w:rPr>
                <w:rFonts w:ascii="Arial" w:cs="Arial" w:eastAsia="Arial" w:hAnsi="Arial"/>
                <w:sz w:val="14"/>
                <w:szCs w:val="14"/>
                <w:color w:val="auto"/>
              </w:rPr>
              <w:t>223.6</w:t>
            </w:r>
          </w:p>
        </w:tc>
        <w:tc>
          <w:tcPr>
            <w:tcW w:w="880" w:type="dxa"/>
            <w:vAlign w:val="bottom"/>
          </w:tcPr>
          <w:p>
            <w:pPr>
              <w:ind w:left="220"/>
              <w:spacing w:after="0"/>
              <w:rPr>
                <w:sz w:val="20"/>
                <w:szCs w:val="20"/>
                <w:color w:val="auto"/>
              </w:rPr>
            </w:pPr>
            <w:r>
              <w:rPr>
                <w:rFonts w:ascii="Arial" w:cs="Arial" w:eastAsia="Arial" w:hAnsi="Arial"/>
                <w:sz w:val="14"/>
                <w:szCs w:val="14"/>
                <w:color w:val="auto"/>
              </w:rPr>
              <w:t>1,114.6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-22860</wp:posOffset>
            </wp:positionV>
            <wp:extent cx="603504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35040" cy="8890"/>
                    </a:xfrm>
                    <a:prstGeom prst="rect">
                      <a:avLst/>
                    </a:prstGeom>
                    <a:noFill/>
                  </pic:spPr>
                </pic:pic>
              </a:graphicData>
            </a:graphic>
          </wp:anchor>
        </w:drawing>
      </w:r>
    </w:p>
    <w:p>
      <w:pPr>
        <w:spacing w:after="0" w:line="42" w:lineRule="exact"/>
        <w:rPr>
          <w:sz w:val="20"/>
          <w:szCs w:val="20"/>
          <w:color w:val="auto"/>
        </w:rPr>
      </w:pPr>
    </w:p>
    <w:p>
      <w:pPr>
        <w:ind w:left="820" w:right="700" w:hanging="288"/>
        <w:spacing w:after="0" w:line="220" w:lineRule="auto"/>
        <w:tabs>
          <w:tab w:leader="none" w:pos="820" w:val="left"/>
        </w:tabs>
        <w:numPr>
          <w:ilvl w:val="0"/>
          <w:numId w:val="45"/>
        </w:numPr>
        <w:rPr>
          <w:rFonts w:ascii="Arial" w:cs="Arial" w:eastAsia="Arial" w:hAnsi="Arial"/>
          <w:sz w:val="22"/>
          <w:szCs w:val="22"/>
          <w:color w:val="auto"/>
          <w:vertAlign w:val="superscript"/>
        </w:rPr>
      </w:pPr>
      <w:r>
        <w:rPr>
          <w:rFonts w:ascii="Arial" w:cs="Arial" w:eastAsia="Arial" w:hAnsi="Arial"/>
          <w:sz w:val="14"/>
          <w:szCs w:val="14"/>
          <w:color w:val="auto"/>
        </w:rPr>
        <w:t>When the Separation was completed on April 1, 2022, Embecta became a reporting company. All changes in fair value during the 2022 year and the performance measures of Net Income and Adjusted Constant Currency Revenue are measured from October 1, 2021 through September 30, 2022. Total Shareholder Return and Peer Group Total Shareholder Return are measured from the date of the Separation through September 30, 2022.</w:t>
      </w:r>
    </w:p>
    <w:p>
      <w:pPr>
        <w:spacing w:after="0" w:line="27" w:lineRule="exact"/>
        <w:rPr>
          <w:rFonts w:ascii="Arial" w:cs="Arial" w:eastAsia="Arial" w:hAnsi="Arial"/>
          <w:sz w:val="22"/>
          <w:szCs w:val="22"/>
          <w:color w:val="auto"/>
          <w:vertAlign w:val="superscript"/>
        </w:rPr>
      </w:pPr>
    </w:p>
    <w:p>
      <w:pPr>
        <w:jc w:val="both"/>
        <w:ind w:left="820" w:right="660" w:hanging="288"/>
        <w:spacing w:after="0" w:line="214" w:lineRule="auto"/>
        <w:tabs>
          <w:tab w:leader="none" w:pos="820" w:val="left"/>
        </w:tabs>
        <w:numPr>
          <w:ilvl w:val="0"/>
          <w:numId w:val="45"/>
        </w:numPr>
        <w:rPr>
          <w:rFonts w:ascii="Arial" w:cs="Arial" w:eastAsia="Arial" w:hAnsi="Arial"/>
          <w:sz w:val="22"/>
          <w:szCs w:val="22"/>
          <w:color w:val="auto"/>
          <w:vertAlign w:val="superscript"/>
        </w:rPr>
      </w:pPr>
      <w:r>
        <w:rPr>
          <w:rFonts w:ascii="Arial" w:cs="Arial" w:eastAsia="Arial" w:hAnsi="Arial"/>
          <w:sz w:val="14"/>
          <w:szCs w:val="14"/>
          <w:color w:val="auto"/>
        </w:rPr>
        <w:t>The PEO in the compensation columns is Mr. Kurdikar, and the other NEOs (excluding the PEO) in the compensation columns are as follows: (i) for 2022, Mr. Elguicze, Mr. Kumar, Mr. Curtis and Mr. Mann; (ii) for 2023, Mr. Elguicze, Mr. Kumar, Mr. Curtis, Mr. Mann and Mr. Capone; and (iii) for 2024, Mr. Elguicze, Mr. Curtis, Mr. Mann, and Ms. Casner.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123825</wp:posOffset>
            </wp:positionV>
            <wp:extent cx="699516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114" w:right="1199" w:bottom="1440" w:gutter="0" w:footer="0" w:header="0"/>
        </w:sectPr>
      </w:pPr>
    </w:p>
    <w:bookmarkStart w:id="73" w:name="page74"/>
    <w:bookmarkEnd w:id="7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6960"/>
        <w:spacing w:after="0"/>
        <w:rPr>
          <w:sz w:val="20"/>
          <w:szCs w:val="20"/>
          <w:color w:val="auto"/>
        </w:rPr>
      </w:pPr>
      <w:r>
        <w:rPr>
          <w:rFonts w:ascii="Arial" w:cs="Arial" w:eastAsia="Arial" w:hAnsi="Arial"/>
          <w:sz w:val="16"/>
          <w:szCs w:val="16"/>
          <w:color w:val="342C82"/>
        </w:rPr>
        <w:t>Pay versus performance</w:t>
      </w:r>
    </w:p>
    <w:p>
      <w:pPr>
        <w:spacing w:after="0" w:line="104" w:lineRule="exact"/>
        <w:rPr>
          <w:sz w:val="20"/>
          <w:szCs w:val="20"/>
          <w:color w:val="auto"/>
        </w:rPr>
      </w:pPr>
    </w:p>
    <w:p>
      <w:pPr>
        <w:ind w:left="580" w:right="659" w:hanging="288"/>
        <w:spacing w:after="0" w:line="204" w:lineRule="auto"/>
        <w:tabs>
          <w:tab w:leader="none" w:pos="580" w:val="left"/>
        </w:tabs>
        <w:numPr>
          <w:ilvl w:val="0"/>
          <w:numId w:val="46"/>
        </w:numPr>
        <w:rPr>
          <w:rFonts w:ascii="Arial" w:cs="Arial" w:eastAsia="Arial" w:hAnsi="Arial"/>
          <w:sz w:val="22"/>
          <w:szCs w:val="22"/>
          <w:color w:val="auto"/>
          <w:vertAlign w:val="superscript"/>
        </w:rPr>
      </w:pPr>
      <w:r>
        <w:rPr>
          <w:rFonts w:ascii="Arial" w:cs="Arial" w:eastAsia="Arial" w:hAnsi="Arial"/>
          <w:sz w:val="14"/>
          <w:szCs w:val="14"/>
          <w:color w:val="auto"/>
        </w:rPr>
        <w:t>“Compensation Actually Paid” to the PEO and the average “Compensation Actually Paid” to our other NEOs (excluding the PEO) reflect the following adjustments from the Total Compensation reported in the Summary Compensation Table:</w:t>
      </w:r>
    </w:p>
    <w:p>
      <w:pPr>
        <w:spacing w:after="0" w:line="193" w:lineRule="exact"/>
        <w:rPr>
          <w:sz w:val="20"/>
          <w:szCs w:val="20"/>
          <w:color w:val="auto"/>
        </w:rPr>
      </w:pPr>
    </w:p>
    <w:tbl>
      <w:tblPr>
        <w:tblLayout w:type="fixed"/>
        <w:tblInd w:w="300" w:type="dxa"/>
        <w:tblCellMar>
          <w:top w:w="0" w:type="dxa"/>
          <w:left w:w="0" w:type="dxa"/>
          <w:bottom w:w="0" w:type="dxa"/>
          <w:right w:w="0" w:type="dxa"/>
        </w:tblCellMar>
      </w:tblPr>
      <w:tr>
        <w:trPr>
          <w:trHeight w:val="172"/>
        </w:trPr>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Arial" w:cs="Arial" w:eastAsia="Arial" w:hAnsi="Arial"/>
                <w:sz w:val="13"/>
                <w:szCs w:val="13"/>
                <w:b w:val="1"/>
                <w:bCs w:val="1"/>
                <w:color w:val="auto"/>
              </w:rPr>
              <w:t>Fiscal Year 2022</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4"/>
          </w:tcPr>
          <w:p>
            <w:pPr>
              <w:ind w:left="500"/>
              <w:spacing w:after="0"/>
              <w:rPr>
                <w:sz w:val="20"/>
                <w:szCs w:val="20"/>
                <w:color w:val="auto"/>
              </w:rPr>
            </w:pPr>
            <w:r>
              <w:rPr>
                <w:rFonts w:ascii="Arial" w:cs="Arial" w:eastAsia="Arial" w:hAnsi="Arial"/>
                <w:sz w:val="13"/>
                <w:szCs w:val="13"/>
                <w:b w:val="1"/>
                <w:bCs w:val="1"/>
                <w:color w:val="auto"/>
              </w:rPr>
              <w:t>Fiscal Year 2023</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4"/>
          </w:tcPr>
          <w:p>
            <w:pPr>
              <w:ind w:left="440"/>
              <w:spacing w:after="0"/>
              <w:rPr>
                <w:sz w:val="20"/>
                <w:szCs w:val="20"/>
                <w:color w:val="auto"/>
              </w:rPr>
            </w:pPr>
            <w:r>
              <w:rPr>
                <w:rFonts w:ascii="Arial" w:cs="Arial" w:eastAsia="Arial" w:hAnsi="Arial"/>
                <w:sz w:val="13"/>
                <w:szCs w:val="13"/>
                <w:b w:val="1"/>
                <w:bCs w:val="1"/>
                <w:color w:val="auto"/>
              </w:rPr>
              <w:t>Fiscal Year 2024</w:t>
            </w:r>
          </w:p>
        </w:tc>
        <w:tc>
          <w:tcPr>
            <w:tcW w:w="0" w:type="dxa"/>
            <w:vAlign w:val="bottom"/>
          </w:tcPr>
          <w:p>
            <w:pPr>
              <w:spacing w:after="0"/>
              <w:rPr>
                <w:sz w:val="1"/>
                <w:szCs w:val="1"/>
                <w:color w:val="auto"/>
              </w:rPr>
            </w:pPr>
          </w:p>
        </w:tc>
      </w:tr>
      <w:tr>
        <w:trPr>
          <w:trHeight w:val="22"/>
        </w:trPr>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342C82"/>
            </w:tcBorders>
          </w:tcPr>
          <w:p>
            <w:pPr>
              <w:spacing w:after="0" w:line="20" w:lineRule="exact"/>
              <w:rPr>
                <w:sz w:val="1"/>
                <w:szCs w:val="1"/>
                <w:color w:val="auto"/>
              </w:rPr>
            </w:pPr>
          </w:p>
        </w:tc>
        <w:tc>
          <w:tcPr>
            <w:tcW w:w="940" w:type="dxa"/>
            <w:vAlign w:val="bottom"/>
            <w:tcBorders>
              <w:bottom w:val="single" w:sz="8" w:color="342C82"/>
            </w:tcBorders>
          </w:tcPr>
          <w:p>
            <w:pPr>
              <w:spacing w:after="0" w:line="20" w:lineRule="exact"/>
              <w:rPr>
                <w:sz w:val="1"/>
                <w:szCs w:val="1"/>
                <w:color w:val="auto"/>
              </w:rPr>
            </w:pPr>
          </w:p>
        </w:tc>
        <w:tc>
          <w:tcPr>
            <w:tcW w:w="580" w:type="dxa"/>
            <w:vAlign w:val="bottom"/>
            <w:tcBorders>
              <w:bottom w:val="single" w:sz="8" w:color="342C82"/>
            </w:tcBorders>
          </w:tcPr>
          <w:p>
            <w:pPr>
              <w:spacing w:after="0" w:line="20" w:lineRule="exact"/>
              <w:rPr>
                <w:sz w:val="1"/>
                <w:szCs w:val="1"/>
                <w:color w:val="auto"/>
              </w:rPr>
            </w:pPr>
          </w:p>
        </w:tc>
        <w:tc>
          <w:tcPr>
            <w:tcW w:w="560" w:type="dxa"/>
            <w:vAlign w:val="bottom"/>
            <w:tcBorders>
              <w:bottom w:val="single" w:sz="8" w:color="342C82"/>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342C82"/>
            </w:tcBorders>
          </w:tcPr>
          <w:p>
            <w:pPr>
              <w:spacing w:after="0" w:line="20" w:lineRule="exact"/>
              <w:rPr>
                <w:sz w:val="1"/>
                <w:szCs w:val="1"/>
                <w:color w:val="auto"/>
              </w:rPr>
            </w:pPr>
          </w:p>
        </w:tc>
        <w:tc>
          <w:tcPr>
            <w:tcW w:w="920" w:type="dxa"/>
            <w:vAlign w:val="bottom"/>
            <w:tcBorders>
              <w:bottom w:val="single" w:sz="8" w:color="342C82"/>
            </w:tcBorders>
          </w:tcPr>
          <w:p>
            <w:pPr>
              <w:spacing w:after="0" w:line="20" w:lineRule="exact"/>
              <w:rPr>
                <w:sz w:val="1"/>
                <w:szCs w:val="1"/>
                <w:color w:val="auto"/>
              </w:rPr>
            </w:pPr>
          </w:p>
        </w:tc>
        <w:tc>
          <w:tcPr>
            <w:tcW w:w="480" w:type="dxa"/>
            <w:vAlign w:val="bottom"/>
            <w:tcBorders>
              <w:bottom w:val="single" w:sz="8" w:color="342C82"/>
            </w:tcBorders>
          </w:tcPr>
          <w:p>
            <w:pPr>
              <w:spacing w:after="0" w:line="20" w:lineRule="exact"/>
              <w:rPr>
                <w:sz w:val="1"/>
                <w:szCs w:val="1"/>
                <w:color w:val="auto"/>
              </w:rPr>
            </w:pPr>
          </w:p>
        </w:tc>
        <w:tc>
          <w:tcPr>
            <w:tcW w:w="660" w:type="dxa"/>
            <w:vAlign w:val="bottom"/>
            <w:tcBorders>
              <w:bottom w:val="single" w:sz="8" w:color="342C82"/>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342C82"/>
            </w:tcBorders>
          </w:tcPr>
          <w:p>
            <w:pPr>
              <w:spacing w:after="0" w:line="20" w:lineRule="exact"/>
              <w:rPr>
                <w:sz w:val="1"/>
                <w:szCs w:val="1"/>
                <w:color w:val="auto"/>
              </w:rPr>
            </w:pPr>
          </w:p>
        </w:tc>
        <w:tc>
          <w:tcPr>
            <w:tcW w:w="820" w:type="dxa"/>
            <w:vAlign w:val="bottom"/>
            <w:tcBorders>
              <w:bottom w:val="single" w:sz="8" w:color="342C82"/>
            </w:tcBorders>
          </w:tcPr>
          <w:p>
            <w:pPr>
              <w:spacing w:after="0" w:line="20" w:lineRule="exact"/>
              <w:rPr>
                <w:sz w:val="1"/>
                <w:szCs w:val="1"/>
                <w:color w:val="auto"/>
              </w:rPr>
            </w:pPr>
          </w:p>
        </w:tc>
        <w:tc>
          <w:tcPr>
            <w:tcW w:w="500" w:type="dxa"/>
            <w:vAlign w:val="bottom"/>
            <w:tcBorders>
              <w:bottom w:val="single" w:sz="8" w:color="342C82"/>
            </w:tcBorders>
          </w:tcPr>
          <w:p>
            <w:pPr>
              <w:spacing w:after="0" w:line="20" w:lineRule="exact"/>
              <w:rPr>
                <w:sz w:val="1"/>
                <w:szCs w:val="1"/>
                <w:color w:val="auto"/>
              </w:rPr>
            </w:pPr>
          </w:p>
        </w:tc>
        <w:tc>
          <w:tcPr>
            <w:tcW w:w="640" w:type="dxa"/>
            <w:vAlign w:val="bottom"/>
            <w:tcBorders>
              <w:bottom w:val="single" w:sz="8" w:color="342C8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1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97"/>
              </w:rPr>
              <w:t>Average</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Average</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Average</w:t>
            </w:r>
          </w:p>
        </w:tc>
        <w:tc>
          <w:tcPr>
            <w:tcW w:w="0" w:type="dxa"/>
            <w:vAlign w:val="bottom"/>
          </w:tcPr>
          <w:p>
            <w:pPr>
              <w:spacing w:after="0"/>
              <w:rPr>
                <w:sz w:val="1"/>
                <w:szCs w:val="1"/>
                <w:color w:val="auto"/>
              </w:rPr>
            </w:pPr>
          </w:p>
        </w:tc>
      </w:tr>
      <w:tr>
        <w:trPr>
          <w:trHeight w:val="135"/>
        </w:trPr>
        <w:tc>
          <w:tcPr>
            <w:tcW w:w="1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PEO</w:t>
            </w:r>
          </w:p>
        </w:tc>
        <w:tc>
          <w:tcPr>
            <w:tcW w:w="1200" w:type="dxa"/>
            <w:vAlign w:val="bottom"/>
            <w:gridSpan w:val="3"/>
          </w:tcPr>
          <w:p>
            <w:pPr>
              <w:jc w:val="right"/>
              <w:ind w:right="100"/>
              <w:spacing w:after="0" w:line="135" w:lineRule="exact"/>
              <w:rPr>
                <w:sz w:val="20"/>
                <w:szCs w:val="20"/>
                <w:color w:val="auto"/>
              </w:rPr>
            </w:pPr>
            <w:r>
              <w:rPr>
                <w:rFonts w:ascii="Arial" w:cs="Arial" w:eastAsia="Arial" w:hAnsi="Arial"/>
                <w:sz w:val="13"/>
                <w:szCs w:val="13"/>
                <w:b w:val="1"/>
                <w:bCs w:val="1"/>
                <w:color w:val="auto"/>
              </w:rPr>
              <w:t>Compensation</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PEO</w:t>
            </w:r>
          </w:p>
        </w:tc>
        <w:tc>
          <w:tcPr>
            <w:tcW w:w="1200" w:type="dxa"/>
            <w:vAlign w:val="bottom"/>
            <w:gridSpan w:val="3"/>
          </w:tcPr>
          <w:p>
            <w:pPr>
              <w:jc w:val="right"/>
              <w:ind w:right="100"/>
              <w:spacing w:after="0" w:line="135" w:lineRule="exact"/>
              <w:rPr>
                <w:sz w:val="20"/>
                <w:szCs w:val="20"/>
                <w:color w:val="auto"/>
              </w:rPr>
            </w:pPr>
            <w:r>
              <w:rPr>
                <w:rFonts w:ascii="Arial" w:cs="Arial" w:eastAsia="Arial" w:hAnsi="Arial"/>
                <w:sz w:val="13"/>
                <w:szCs w:val="13"/>
                <w:b w:val="1"/>
                <w:bCs w:val="1"/>
                <w:color w:val="auto"/>
              </w:rPr>
              <w:t>Compensation</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PEO</w:t>
            </w:r>
          </w:p>
        </w:tc>
        <w:tc>
          <w:tcPr>
            <w:tcW w:w="1220" w:type="dxa"/>
            <w:vAlign w:val="bottom"/>
            <w:gridSpan w:val="3"/>
          </w:tcPr>
          <w:p>
            <w:pPr>
              <w:jc w:val="right"/>
              <w:ind w:right="100"/>
              <w:spacing w:after="0" w:line="135" w:lineRule="exact"/>
              <w:rPr>
                <w:sz w:val="20"/>
                <w:szCs w:val="20"/>
                <w:color w:val="auto"/>
              </w:rPr>
            </w:pPr>
            <w:r>
              <w:rPr>
                <w:rFonts w:ascii="Arial" w:cs="Arial" w:eastAsia="Arial" w:hAnsi="Arial"/>
                <w:sz w:val="13"/>
                <w:szCs w:val="13"/>
                <w:b w:val="1"/>
                <w:bCs w:val="1"/>
                <w:color w:val="auto"/>
              </w:rPr>
              <w:t>Compensation</w:t>
            </w:r>
          </w:p>
        </w:tc>
        <w:tc>
          <w:tcPr>
            <w:tcW w:w="0" w:type="dxa"/>
            <w:vAlign w:val="bottom"/>
          </w:tcPr>
          <w:p>
            <w:pPr>
              <w:spacing w:after="0"/>
              <w:rPr>
                <w:sz w:val="1"/>
                <w:szCs w:val="1"/>
                <w:color w:val="auto"/>
              </w:rPr>
            </w:pPr>
          </w:p>
        </w:tc>
      </w:tr>
      <w:tr>
        <w:trPr>
          <w:trHeight w:val="172"/>
        </w:trPr>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200" w:type="dxa"/>
            <w:vAlign w:val="bottom"/>
            <w:gridSpan w:val="3"/>
          </w:tcPr>
          <w:p>
            <w:pPr>
              <w:ind w:left="120"/>
              <w:spacing w:after="0"/>
              <w:rPr>
                <w:sz w:val="20"/>
                <w:szCs w:val="20"/>
                <w:color w:val="auto"/>
              </w:rPr>
            </w:pPr>
            <w:r>
              <w:rPr>
                <w:rFonts w:ascii="Arial" w:cs="Arial" w:eastAsia="Arial" w:hAnsi="Arial"/>
                <w:sz w:val="13"/>
                <w:szCs w:val="13"/>
                <w:b w:val="1"/>
                <w:bCs w:val="1"/>
                <w:color w:val="auto"/>
              </w:rPr>
              <w:t>of Non-PEO NEO</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0" w:type="dxa"/>
            <w:vAlign w:val="bottom"/>
            <w:gridSpan w:val="3"/>
          </w:tcPr>
          <w:p>
            <w:pPr>
              <w:ind w:left="120"/>
              <w:spacing w:after="0"/>
              <w:rPr>
                <w:sz w:val="20"/>
                <w:szCs w:val="20"/>
                <w:color w:val="auto"/>
              </w:rPr>
            </w:pPr>
            <w:r>
              <w:rPr>
                <w:rFonts w:ascii="Arial" w:cs="Arial" w:eastAsia="Arial" w:hAnsi="Arial"/>
                <w:sz w:val="13"/>
                <w:szCs w:val="13"/>
                <w:b w:val="1"/>
                <w:bCs w:val="1"/>
                <w:color w:val="auto"/>
              </w:rPr>
              <w:t>of Non-PEO NEO</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20" w:type="dxa"/>
            <w:vAlign w:val="bottom"/>
            <w:gridSpan w:val="3"/>
          </w:tcPr>
          <w:p>
            <w:pPr>
              <w:ind w:left="140"/>
              <w:spacing w:after="0"/>
              <w:rPr>
                <w:sz w:val="20"/>
                <w:szCs w:val="20"/>
                <w:color w:val="auto"/>
              </w:rPr>
            </w:pPr>
            <w:r>
              <w:rPr>
                <w:rFonts w:ascii="Arial" w:cs="Arial" w:eastAsia="Arial" w:hAnsi="Arial"/>
                <w:sz w:val="13"/>
                <w:szCs w:val="13"/>
                <w:b w:val="1"/>
                <w:bCs w:val="1"/>
                <w:color w:val="auto"/>
              </w:rPr>
              <w:t>of Non-PEO NEO</w:t>
            </w:r>
          </w:p>
        </w:tc>
        <w:tc>
          <w:tcPr>
            <w:tcW w:w="0" w:type="dxa"/>
            <w:vAlign w:val="bottom"/>
          </w:tcPr>
          <w:p>
            <w:pPr>
              <w:spacing w:after="0"/>
              <w:rPr>
                <w:sz w:val="1"/>
                <w:szCs w:val="1"/>
                <w:color w:val="auto"/>
              </w:rPr>
            </w:pPr>
          </w:p>
        </w:tc>
      </w:tr>
      <w:tr>
        <w:trPr>
          <w:trHeight w:val="22"/>
        </w:trPr>
        <w:tc>
          <w:tcPr>
            <w:tcW w:w="1680" w:type="dxa"/>
            <w:vAlign w:val="bottom"/>
            <w:tcBorders>
              <w:bottom w:val="single" w:sz="8" w:color="342C82"/>
            </w:tcBorders>
          </w:tcPr>
          <w:p>
            <w:pPr>
              <w:spacing w:after="0" w:line="20" w:lineRule="exact"/>
              <w:rPr>
                <w:sz w:val="1"/>
                <w:szCs w:val="1"/>
                <w:color w:val="auto"/>
              </w:rPr>
            </w:pPr>
          </w:p>
        </w:tc>
        <w:tc>
          <w:tcPr>
            <w:tcW w:w="160" w:type="dxa"/>
            <w:vAlign w:val="bottom"/>
            <w:tcBorders>
              <w:bottom w:val="single" w:sz="8" w:color="342C82"/>
            </w:tcBorders>
            <w:gridSpan w:val="2"/>
          </w:tcPr>
          <w:p>
            <w:pPr>
              <w:spacing w:after="0" w:line="20" w:lineRule="exact"/>
              <w:rPr>
                <w:sz w:val="1"/>
                <w:szCs w:val="1"/>
                <w:color w:val="auto"/>
              </w:rPr>
            </w:pPr>
          </w:p>
        </w:tc>
        <w:tc>
          <w:tcPr>
            <w:tcW w:w="940" w:type="dxa"/>
            <w:vAlign w:val="bottom"/>
            <w:tcBorders>
              <w:bottom w:val="single" w:sz="8" w:color="342C82"/>
            </w:tcBorders>
          </w:tcPr>
          <w:p>
            <w:pPr>
              <w:spacing w:after="0" w:line="20" w:lineRule="exact"/>
              <w:rPr>
                <w:sz w:val="1"/>
                <w:szCs w:val="1"/>
                <w:color w:val="auto"/>
              </w:rPr>
            </w:pPr>
          </w:p>
        </w:tc>
        <w:tc>
          <w:tcPr>
            <w:tcW w:w="1140" w:type="dxa"/>
            <w:vAlign w:val="bottom"/>
            <w:tcBorders>
              <w:bottom w:val="single" w:sz="8" w:color="342C82"/>
            </w:tcBorders>
            <w:gridSpan w:val="2"/>
          </w:tcPr>
          <w:p>
            <w:pPr>
              <w:spacing w:after="0" w:line="20" w:lineRule="exact"/>
              <w:rPr>
                <w:sz w:val="1"/>
                <w:szCs w:val="1"/>
                <w:color w:val="auto"/>
              </w:rPr>
            </w:pPr>
          </w:p>
        </w:tc>
        <w:tc>
          <w:tcPr>
            <w:tcW w:w="60" w:type="dxa"/>
            <w:vAlign w:val="bottom"/>
            <w:tcBorders>
              <w:bottom w:val="single" w:sz="8" w:color="342C82"/>
            </w:tcBorders>
          </w:tcPr>
          <w:p>
            <w:pPr>
              <w:spacing w:after="0" w:line="20" w:lineRule="exact"/>
              <w:rPr>
                <w:sz w:val="1"/>
                <w:szCs w:val="1"/>
                <w:color w:val="auto"/>
              </w:rPr>
            </w:pPr>
          </w:p>
        </w:tc>
        <w:tc>
          <w:tcPr>
            <w:tcW w:w="120" w:type="dxa"/>
            <w:vAlign w:val="bottom"/>
            <w:tcBorders>
              <w:bottom w:val="single" w:sz="8" w:color="342C82"/>
            </w:tcBorders>
            <w:gridSpan w:val="2"/>
          </w:tcPr>
          <w:p>
            <w:pPr>
              <w:spacing w:after="0" w:line="20" w:lineRule="exact"/>
              <w:rPr>
                <w:sz w:val="1"/>
                <w:szCs w:val="1"/>
                <w:color w:val="auto"/>
              </w:rPr>
            </w:pPr>
          </w:p>
        </w:tc>
        <w:tc>
          <w:tcPr>
            <w:tcW w:w="920" w:type="dxa"/>
            <w:vAlign w:val="bottom"/>
            <w:tcBorders>
              <w:bottom w:val="single" w:sz="8" w:color="342C82"/>
            </w:tcBorders>
          </w:tcPr>
          <w:p>
            <w:pPr>
              <w:spacing w:after="0" w:line="20" w:lineRule="exact"/>
              <w:rPr>
                <w:sz w:val="1"/>
                <w:szCs w:val="1"/>
                <w:color w:val="auto"/>
              </w:rPr>
            </w:pPr>
          </w:p>
        </w:tc>
        <w:tc>
          <w:tcPr>
            <w:tcW w:w="480" w:type="dxa"/>
            <w:vAlign w:val="bottom"/>
            <w:tcBorders>
              <w:bottom w:val="single" w:sz="8" w:color="342C82"/>
            </w:tcBorders>
          </w:tcPr>
          <w:p>
            <w:pPr>
              <w:spacing w:after="0" w:line="20" w:lineRule="exact"/>
              <w:rPr>
                <w:sz w:val="1"/>
                <w:szCs w:val="1"/>
                <w:color w:val="auto"/>
              </w:rPr>
            </w:pPr>
          </w:p>
        </w:tc>
        <w:tc>
          <w:tcPr>
            <w:tcW w:w="660" w:type="dxa"/>
            <w:vAlign w:val="bottom"/>
            <w:tcBorders>
              <w:bottom w:val="single" w:sz="8" w:color="342C82"/>
            </w:tcBorders>
          </w:tcPr>
          <w:p>
            <w:pPr>
              <w:spacing w:after="0" w:line="20" w:lineRule="exact"/>
              <w:rPr>
                <w:sz w:val="1"/>
                <w:szCs w:val="1"/>
                <w:color w:val="auto"/>
              </w:rPr>
            </w:pPr>
          </w:p>
        </w:tc>
        <w:tc>
          <w:tcPr>
            <w:tcW w:w="60" w:type="dxa"/>
            <w:vAlign w:val="bottom"/>
            <w:tcBorders>
              <w:bottom w:val="single" w:sz="8" w:color="342C82"/>
            </w:tcBorders>
          </w:tcPr>
          <w:p>
            <w:pPr>
              <w:spacing w:after="0" w:line="20" w:lineRule="exact"/>
              <w:rPr>
                <w:sz w:val="1"/>
                <w:szCs w:val="1"/>
                <w:color w:val="auto"/>
              </w:rPr>
            </w:pPr>
          </w:p>
        </w:tc>
        <w:tc>
          <w:tcPr>
            <w:tcW w:w="980" w:type="dxa"/>
            <w:vAlign w:val="bottom"/>
            <w:tcBorders>
              <w:bottom w:val="single" w:sz="8" w:color="342C82"/>
            </w:tcBorders>
            <w:gridSpan w:val="3"/>
          </w:tcPr>
          <w:p>
            <w:pPr>
              <w:spacing w:after="0" w:line="20" w:lineRule="exact"/>
              <w:rPr>
                <w:sz w:val="1"/>
                <w:szCs w:val="1"/>
                <w:color w:val="auto"/>
              </w:rPr>
            </w:pPr>
          </w:p>
        </w:tc>
        <w:tc>
          <w:tcPr>
            <w:tcW w:w="1140" w:type="dxa"/>
            <w:vAlign w:val="bottom"/>
            <w:tcBorders>
              <w:bottom w:val="single" w:sz="8" w:color="342C82"/>
            </w:tcBorders>
            <w:gridSpan w:val="2"/>
          </w:tcPr>
          <w:p>
            <w:pPr>
              <w:spacing w:after="0" w:line="20" w:lineRule="exact"/>
              <w:rPr>
                <w:sz w:val="1"/>
                <w:szCs w:val="1"/>
                <w:color w:val="auto"/>
              </w:rPr>
            </w:pPr>
          </w:p>
        </w:tc>
        <w:tc>
          <w:tcPr>
            <w:tcW w:w="80" w:type="dxa"/>
            <w:vAlign w:val="bottom"/>
            <w:tcBorders>
              <w:bottom w:val="single" w:sz="8" w:color="342C8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5"/>
        </w:trPr>
        <w:tc>
          <w:tcPr>
            <w:tcW w:w="1680" w:type="dxa"/>
            <w:vAlign w:val="bottom"/>
          </w:tcPr>
          <w:p>
            <w:pPr>
              <w:ind w:left="80"/>
              <w:spacing w:after="0"/>
              <w:rPr>
                <w:sz w:val="20"/>
                <w:szCs w:val="20"/>
                <w:color w:val="auto"/>
              </w:rPr>
            </w:pPr>
            <w:r>
              <w:rPr>
                <w:rFonts w:ascii="Arial" w:cs="Arial" w:eastAsia="Arial" w:hAnsi="Arial"/>
                <w:sz w:val="13"/>
                <w:szCs w:val="13"/>
                <w:color w:val="auto"/>
              </w:rPr>
              <w:t>Summary Compensation</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257"/>
              <w:spacing w:after="0"/>
              <w:rPr>
                <w:sz w:val="20"/>
                <w:szCs w:val="20"/>
                <w:color w:val="auto"/>
              </w:rPr>
            </w:pPr>
            <w:r>
              <w:rPr>
                <w:rFonts w:ascii="Arial" w:cs="Arial" w:eastAsia="Arial" w:hAnsi="Arial"/>
                <w:sz w:val="13"/>
                <w:szCs w:val="13"/>
                <w:color w:val="auto"/>
                <w:w w:val="92"/>
              </w:rPr>
              <w:t>11,253,966</w:t>
            </w:r>
          </w:p>
        </w:tc>
        <w:tc>
          <w:tcPr>
            <w:tcW w:w="1140" w:type="dxa"/>
            <w:vAlign w:val="bottom"/>
            <w:gridSpan w:val="2"/>
          </w:tcPr>
          <w:p>
            <w:pPr>
              <w:jc w:val="right"/>
              <w:ind w:right="77"/>
              <w:spacing w:after="0"/>
              <w:rPr>
                <w:sz w:val="20"/>
                <w:szCs w:val="20"/>
                <w:color w:val="auto"/>
              </w:rPr>
            </w:pPr>
            <w:r>
              <w:rPr>
                <w:rFonts w:ascii="Arial" w:cs="Arial" w:eastAsia="Arial" w:hAnsi="Arial"/>
                <w:sz w:val="13"/>
                <w:szCs w:val="13"/>
                <w:color w:val="auto"/>
              </w:rPr>
              <w:t>$ 2,559,457</w:t>
            </w:r>
          </w:p>
        </w:tc>
        <w:tc>
          <w:tcPr>
            <w:tcW w:w="6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257"/>
              <w:spacing w:after="0"/>
              <w:rPr>
                <w:sz w:val="20"/>
                <w:szCs w:val="20"/>
                <w:color w:val="auto"/>
              </w:rPr>
            </w:pPr>
            <w:r>
              <w:rPr>
                <w:rFonts w:ascii="Arial" w:cs="Arial" w:eastAsia="Arial" w:hAnsi="Arial"/>
                <w:sz w:val="13"/>
                <w:szCs w:val="13"/>
                <w:color w:val="auto"/>
              </w:rPr>
              <w:t>7,464,497</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w w:val="93"/>
              </w:rPr>
              <w:t>1,815,985</w:t>
            </w:r>
          </w:p>
        </w:tc>
        <w:tc>
          <w:tcPr>
            <w:tcW w:w="60" w:type="dxa"/>
            <w:vAlign w:val="bottom"/>
          </w:tcPr>
          <w:p>
            <w:pPr>
              <w:spacing w:after="0"/>
              <w:rPr>
                <w:sz w:val="14"/>
                <w:szCs w:val="14"/>
                <w:color w:val="auto"/>
              </w:rPr>
            </w:pPr>
          </w:p>
        </w:tc>
        <w:tc>
          <w:tcPr>
            <w:tcW w:w="980" w:type="dxa"/>
            <w:vAlign w:val="bottom"/>
            <w:gridSpan w:val="3"/>
          </w:tcPr>
          <w:p>
            <w:pPr>
              <w:ind w:left="40"/>
              <w:spacing w:after="0"/>
              <w:rPr>
                <w:sz w:val="20"/>
                <w:szCs w:val="20"/>
                <w:color w:val="auto"/>
              </w:rPr>
            </w:pPr>
            <w:r>
              <w:rPr>
                <w:rFonts w:ascii="Arial" w:cs="Arial" w:eastAsia="Arial" w:hAnsi="Arial"/>
                <w:sz w:val="13"/>
                <w:szCs w:val="13"/>
                <w:color w:val="auto"/>
              </w:rPr>
              <w:t>$ 8,587,473</w:t>
            </w:r>
          </w:p>
        </w:tc>
        <w:tc>
          <w:tcPr>
            <w:tcW w:w="1140" w:type="dxa"/>
            <w:vAlign w:val="bottom"/>
            <w:gridSpan w:val="2"/>
          </w:tcPr>
          <w:p>
            <w:pPr>
              <w:jc w:val="right"/>
              <w:ind w:right="77"/>
              <w:spacing w:after="0"/>
              <w:rPr>
                <w:sz w:val="20"/>
                <w:szCs w:val="20"/>
                <w:color w:val="auto"/>
              </w:rPr>
            </w:pPr>
            <w:r>
              <w:rPr>
                <w:rFonts w:ascii="Arial" w:cs="Arial" w:eastAsia="Arial" w:hAnsi="Arial"/>
                <w:sz w:val="13"/>
                <w:szCs w:val="13"/>
                <w:color w:val="auto"/>
              </w:rPr>
              <w:t>$ 2,183,751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680" w:type="dxa"/>
            <w:vAlign w:val="bottom"/>
          </w:tcPr>
          <w:p>
            <w:pPr>
              <w:ind w:left="80"/>
              <w:spacing w:after="0"/>
              <w:rPr>
                <w:sz w:val="20"/>
                <w:szCs w:val="20"/>
                <w:color w:val="auto"/>
              </w:rPr>
            </w:pPr>
            <w:r>
              <w:rPr>
                <w:rFonts w:ascii="Arial" w:cs="Arial" w:eastAsia="Arial" w:hAnsi="Arial"/>
                <w:sz w:val="13"/>
                <w:szCs w:val="13"/>
                <w:color w:val="auto"/>
              </w:rPr>
              <w:t>Total</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680" w:type="dxa"/>
            <w:vAlign w:val="bottom"/>
            <w:tcBorders>
              <w:bottom w:val="single" w:sz="8" w:color="808080"/>
            </w:tcBorders>
          </w:tcPr>
          <w:p>
            <w:pPr>
              <w:spacing w:after="0"/>
              <w:rPr>
                <w:sz w:val="3"/>
                <w:szCs w:val="3"/>
                <w:color w:val="auto"/>
              </w:rPr>
            </w:pPr>
          </w:p>
        </w:tc>
        <w:tc>
          <w:tcPr>
            <w:tcW w:w="160" w:type="dxa"/>
            <w:vAlign w:val="bottom"/>
            <w:tcBorders>
              <w:bottom w:val="single" w:sz="8" w:color="808080"/>
            </w:tcBorders>
            <w:gridSpan w:val="2"/>
          </w:tcPr>
          <w:p>
            <w:pPr>
              <w:spacing w:after="0"/>
              <w:rPr>
                <w:sz w:val="3"/>
                <w:szCs w:val="3"/>
                <w:color w:val="auto"/>
              </w:rPr>
            </w:pPr>
          </w:p>
        </w:tc>
        <w:tc>
          <w:tcPr>
            <w:tcW w:w="94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gridSpan w:val="2"/>
          </w:tcPr>
          <w:p>
            <w:pPr>
              <w:spacing w:after="0"/>
              <w:rPr>
                <w:sz w:val="3"/>
                <w:szCs w:val="3"/>
                <w:color w:val="auto"/>
              </w:rPr>
            </w:pPr>
          </w:p>
        </w:tc>
        <w:tc>
          <w:tcPr>
            <w:tcW w:w="920" w:type="dxa"/>
            <w:vAlign w:val="bottom"/>
            <w:tcBorders>
              <w:bottom w:val="single" w:sz="8" w:color="808080"/>
            </w:tcBorders>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60" w:type="dxa"/>
            <w:vAlign w:val="bottom"/>
            <w:tcBorders>
              <w:bottom w:val="single" w:sz="8" w:color="808080"/>
            </w:tcBorders>
            <w:gridSpan w:val="2"/>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50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1680" w:type="dxa"/>
            <w:vAlign w:val="bottom"/>
          </w:tcPr>
          <w:p>
            <w:pPr>
              <w:ind w:left="80"/>
              <w:spacing w:after="0"/>
              <w:rPr>
                <w:sz w:val="20"/>
                <w:szCs w:val="20"/>
                <w:color w:val="auto"/>
              </w:rPr>
            </w:pPr>
            <w:r>
              <w:rPr>
                <w:rFonts w:ascii="Arial" w:cs="Arial" w:eastAsia="Arial" w:hAnsi="Arial"/>
                <w:sz w:val="13"/>
                <w:szCs w:val="13"/>
                <w:color w:val="auto"/>
              </w:rPr>
              <w:t>Change in Pension Value</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257"/>
              <w:spacing w:after="0"/>
              <w:rPr>
                <w:sz w:val="20"/>
                <w:szCs w:val="20"/>
                <w:color w:val="auto"/>
              </w:rPr>
            </w:pPr>
            <w:r>
              <w:rPr>
                <w:rFonts w:ascii="Arial" w:cs="Arial" w:eastAsia="Arial" w:hAnsi="Arial"/>
                <w:sz w:val="13"/>
                <w:szCs w:val="13"/>
                <w:color w:val="auto"/>
              </w:rPr>
              <w:t>0</w:t>
            </w:r>
          </w:p>
        </w:tc>
        <w:tc>
          <w:tcPr>
            <w:tcW w:w="5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(3,306)</w:t>
            </w:r>
          </w:p>
        </w:tc>
        <w:tc>
          <w:tcPr>
            <w:tcW w:w="60" w:type="dxa"/>
            <w:vAlign w:val="bottom"/>
          </w:tcPr>
          <w:p>
            <w:pPr>
              <w:spacing w:after="0"/>
              <w:rPr>
                <w:sz w:val="13"/>
                <w:szCs w:val="13"/>
                <w:color w:val="auto"/>
              </w:rPr>
            </w:pP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257"/>
              <w:spacing w:after="0"/>
              <w:rPr>
                <w:sz w:val="20"/>
                <w:szCs w:val="20"/>
                <w:color w:val="auto"/>
              </w:rPr>
            </w:pPr>
            <w:r>
              <w:rPr>
                <w:rFonts w:ascii="Arial" w:cs="Arial" w:eastAsia="Arial" w:hAnsi="Arial"/>
                <w:sz w:val="13"/>
                <w:szCs w:val="13"/>
                <w:color w:val="auto"/>
              </w:rPr>
              <w:t>0</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0</w:t>
            </w:r>
          </w:p>
        </w:tc>
        <w:tc>
          <w:tcPr>
            <w:tcW w:w="60" w:type="dxa"/>
            <w:vAlign w:val="bottom"/>
          </w:tcPr>
          <w:p>
            <w:pPr>
              <w:spacing w:after="0"/>
              <w:rPr>
                <w:sz w:val="13"/>
                <w:szCs w:val="13"/>
                <w:color w:val="auto"/>
              </w:rPr>
            </w:pPr>
          </w:p>
        </w:tc>
        <w:tc>
          <w:tcPr>
            <w:tcW w:w="16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97"/>
              <w:spacing w:after="0"/>
              <w:rPr>
                <w:sz w:val="20"/>
                <w:szCs w:val="20"/>
                <w:color w:val="auto"/>
              </w:rPr>
            </w:pPr>
            <w:r>
              <w:rPr>
                <w:rFonts w:ascii="Arial" w:cs="Arial" w:eastAsia="Arial" w:hAnsi="Arial"/>
                <w:sz w:val="13"/>
                <w:szCs w:val="13"/>
                <w:color w:val="auto"/>
              </w:rPr>
              <w:t>0</w:t>
            </w:r>
          </w:p>
        </w:tc>
        <w:tc>
          <w:tcPr>
            <w:tcW w:w="5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77"/>
              <w:spacing w:after="0"/>
              <w:rPr>
                <w:sz w:val="20"/>
                <w:szCs w:val="20"/>
                <w:color w:val="auto"/>
              </w:rPr>
            </w:pPr>
            <w:r>
              <w:rPr>
                <w:rFonts w:ascii="Arial" w:cs="Arial" w:eastAsia="Arial" w:hAnsi="Arial"/>
                <w:sz w:val="13"/>
                <w:szCs w:val="13"/>
                <w:color w:val="auto"/>
              </w:rPr>
              <w:t>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680" w:type="dxa"/>
            <w:vAlign w:val="bottom"/>
          </w:tcPr>
          <w:p>
            <w:pPr>
              <w:ind w:left="80"/>
              <w:spacing w:after="0"/>
              <w:rPr>
                <w:sz w:val="20"/>
                <w:szCs w:val="20"/>
                <w:color w:val="auto"/>
              </w:rPr>
            </w:pPr>
            <w:r>
              <w:rPr>
                <w:rFonts w:ascii="Arial" w:cs="Arial" w:eastAsia="Arial" w:hAnsi="Arial"/>
                <w:sz w:val="13"/>
                <w:szCs w:val="13"/>
                <w:color w:val="auto"/>
              </w:rPr>
              <w:t>During Fiscal Year</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1680" w:type="dxa"/>
            <w:vAlign w:val="bottom"/>
            <w:tcBorders>
              <w:bottom w:val="single" w:sz="8" w:color="808080"/>
            </w:tcBorders>
          </w:tcPr>
          <w:p>
            <w:pPr>
              <w:spacing w:after="0"/>
              <w:rPr>
                <w:sz w:val="2"/>
                <w:szCs w:val="2"/>
                <w:color w:val="auto"/>
              </w:rPr>
            </w:pPr>
          </w:p>
        </w:tc>
        <w:tc>
          <w:tcPr>
            <w:tcW w:w="160" w:type="dxa"/>
            <w:vAlign w:val="bottom"/>
            <w:tcBorders>
              <w:bottom w:val="single" w:sz="8" w:color="808080"/>
            </w:tcBorders>
            <w:gridSpan w:val="2"/>
          </w:tcPr>
          <w:p>
            <w:pPr>
              <w:spacing w:after="0"/>
              <w:rPr>
                <w:sz w:val="2"/>
                <w:szCs w:val="2"/>
                <w:color w:val="auto"/>
              </w:rPr>
            </w:pPr>
          </w:p>
        </w:tc>
        <w:tc>
          <w:tcPr>
            <w:tcW w:w="940" w:type="dxa"/>
            <w:vAlign w:val="bottom"/>
            <w:tcBorders>
              <w:bottom w:val="single" w:sz="8" w:color="808080"/>
            </w:tcBorders>
          </w:tcPr>
          <w:p>
            <w:pPr>
              <w:spacing w:after="0"/>
              <w:rPr>
                <w:sz w:val="2"/>
                <w:szCs w:val="2"/>
                <w:color w:val="auto"/>
              </w:rPr>
            </w:pPr>
          </w:p>
        </w:tc>
        <w:tc>
          <w:tcPr>
            <w:tcW w:w="580" w:type="dxa"/>
            <w:vAlign w:val="bottom"/>
            <w:tcBorders>
              <w:bottom w:val="single" w:sz="8" w:color="808080"/>
            </w:tcBorders>
          </w:tcPr>
          <w:p>
            <w:pPr>
              <w:spacing w:after="0"/>
              <w:rPr>
                <w:sz w:val="2"/>
                <w:szCs w:val="2"/>
                <w:color w:val="auto"/>
              </w:rPr>
            </w:pPr>
          </w:p>
        </w:tc>
        <w:tc>
          <w:tcPr>
            <w:tcW w:w="560" w:type="dxa"/>
            <w:vAlign w:val="bottom"/>
            <w:tcBorders>
              <w:bottom w:val="single" w:sz="8" w:color="808080"/>
            </w:tcBorders>
          </w:tcPr>
          <w:p>
            <w:pPr>
              <w:spacing w:after="0"/>
              <w:rPr>
                <w:sz w:val="2"/>
                <w:szCs w:val="2"/>
                <w:color w:val="auto"/>
              </w:rPr>
            </w:pPr>
          </w:p>
        </w:tc>
        <w:tc>
          <w:tcPr>
            <w:tcW w:w="60" w:type="dxa"/>
            <w:vAlign w:val="bottom"/>
            <w:tcBorders>
              <w:bottom w:val="single" w:sz="8" w:color="808080"/>
            </w:tcBorders>
          </w:tcPr>
          <w:p>
            <w:pPr>
              <w:spacing w:after="0"/>
              <w:rPr>
                <w:sz w:val="2"/>
                <w:szCs w:val="2"/>
                <w:color w:val="auto"/>
              </w:rPr>
            </w:pPr>
          </w:p>
        </w:tc>
        <w:tc>
          <w:tcPr>
            <w:tcW w:w="120" w:type="dxa"/>
            <w:vAlign w:val="bottom"/>
            <w:tcBorders>
              <w:bottom w:val="single" w:sz="8" w:color="808080"/>
            </w:tcBorders>
            <w:gridSpan w:val="2"/>
          </w:tcPr>
          <w:p>
            <w:pPr>
              <w:spacing w:after="0"/>
              <w:rPr>
                <w:sz w:val="2"/>
                <w:szCs w:val="2"/>
                <w:color w:val="auto"/>
              </w:rPr>
            </w:pPr>
          </w:p>
        </w:tc>
        <w:tc>
          <w:tcPr>
            <w:tcW w:w="92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60" w:type="dxa"/>
            <w:vAlign w:val="bottom"/>
            <w:tcBorders>
              <w:bottom w:val="single" w:sz="8" w:color="808080"/>
            </w:tcBorders>
          </w:tcPr>
          <w:p>
            <w:pPr>
              <w:spacing w:after="0"/>
              <w:rPr>
                <w:sz w:val="2"/>
                <w:szCs w:val="2"/>
                <w:color w:val="auto"/>
              </w:rPr>
            </w:pPr>
          </w:p>
        </w:tc>
        <w:tc>
          <w:tcPr>
            <w:tcW w:w="160" w:type="dxa"/>
            <w:vAlign w:val="bottom"/>
            <w:tcBorders>
              <w:bottom w:val="single" w:sz="8" w:color="808080"/>
            </w:tcBorders>
            <w:gridSpan w:val="2"/>
          </w:tcPr>
          <w:p>
            <w:pPr>
              <w:spacing w:after="0"/>
              <w:rPr>
                <w:sz w:val="2"/>
                <w:szCs w:val="2"/>
                <w:color w:val="auto"/>
              </w:rPr>
            </w:pPr>
          </w:p>
        </w:tc>
        <w:tc>
          <w:tcPr>
            <w:tcW w:w="820" w:type="dxa"/>
            <w:vAlign w:val="bottom"/>
            <w:tcBorders>
              <w:bottom w:val="single" w:sz="8" w:color="808080"/>
            </w:tcBorders>
          </w:tcPr>
          <w:p>
            <w:pPr>
              <w:spacing w:after="0"/>
              <w:rPr>
                <w:sz w:val="2"/>
                <w:szCs w:val="2"/>
                <w:color w:val="auto"/>
              </w:rPr>
            </w:pPr>
          </w:p>
        </w:tc>
        <w:tc>
          <w:tcPr>
            <w:tcW w:w="500" w:type="dxa"/>
            <w:vAlign w:val="bottom"/>
            <w:tcBorders>
              <w:bottom w:val="single" w:sz="8" w:color="808080"/>
            </w:tcBorders>
          </w:tcPr>
          <w:p>
            <w:pPr>
              <w:spacing w:after="0"/>
              <w:rPr>
                <w:sz w:val="2"/>
                <w:szCs w:val="2"/>
                <w:color w:val="auto"/>
              </w:rPr>
            </w:pPr>
          </w:p>
        </w:tc>
        <w:tc>
          <w:tcPr>
            <w:tcW w:w="640" w:type="dxa"/>
            <w:vAlign w:val="bottom"/>
            <w:tcBorders>
              <w:bottom w:val="single" w:sz="8" w:color="808080"/>
            </w:tcBorders>
          </w:tcPr>
          <w:p>
            <w:pPr>
              <w:spacing w:after="0"/>
              <w:rPr>
                <w:sz w:val="2"/>
                <w:szCs w:val="2"/>
                <w:color w:val="auto"/>
              </w:rPr>
            </w:pPr>
          </w:p>
        </w:tc>
        <w:tc>
          <w:tcPr>
            <w:tcW w:w="8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1680" w:type="dxa"/>
            <w:vAlign w:val="bottom"/>
          </w:tcPr>
          <w:p>
            <w:pPr>
              <w:ind w:left="80"/>
              <w:spacing w:after="0"/>
              <w:rPr>
                <w:sz w:val="20"/>
                <w:szCs w:val="20"/>
                <w:color w:val="auto"/>
              </w:rPr>
            </w:pPr>
            <w:r>
              <w:rPr>
                <w:rFonts w:ascii="Arial" w:cs="Arial" w:eastAsia="Arial" w:hAnsi="Arial"/>
                <w:sz w:val="13"/>
                <w:szCs w:val="13"/>
                <w:color w:val="auto"/>
              </w:rPr>
              <w:t>Pension Service Cost</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257"/>
              <w:spacing w:after="0"/>
              <w:rPr>
                <w:sz w:val="20"/>
                <w:szCs w:val="20"/>
                <w:color w:val="auto"/>
              </w:rPr>
            </w:pPr>
            <w:r>
              <w:rPr>
                <w:rFonts w:ascii="Arial" w:cs="Arial" w:eastAsia="Arial" w:hAnsi="Arial"/>
                <w:sz w:val="13"/>
                <w:szCs w:val="13"/>
                <w:color w:val="auto"/>
              </w:rPr>
              <w:t>0</w:t>
            </w:r>
          </w:p>
        </w:tc>
        <w:tc>
          <w:tcPr>
            <w:tcW w:w="5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3,825</w:t>
            </w:r>
          </w:p>
        </w:tc>
        <w:tc>
          <w:tcPr>
            <w:tcW w:w="60" w:type="dxa"/>
            <w:vAlign w:val="bottom"/>
          </w:tcPr>
          <w:p>
            <w:pPr>
              <w:spacing w:after="0"/>
              <w:rPr>
                <w:sz w:val="13"/>
                <w:szCs w:val="13"/>
                <w:color w:val="auto"/>
              </w:rPr>
            </w:pP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257"/>
              <w:spacing w:after="0"/>
              <w:rPr>
                <w:sz w:val="20"/>
                <w:szCs w:val="20"/>
                <w:color w:val="auto"/>
              </w:rPr>
            </w:pPr>
            <w:r>
              <w:rPr>
                <w:rFonts w:ascii="Arial" w:cs="Arial" w:eastAsia="Arial" w:hAnsi="Arial"/>
                <w:sz w:val="13"/>
                <w:szCs w:val="13"/>
                <w:color w:val="auto"/>
              </w:rPr>
              <w:t>0</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0</w:t>
            </w:r>
          </w:p>
        </w:tc>
        <w:tc>
          <w:tcPr>
            <w:tcW w:w="60" w:type="dxa"/>
            <w:vAlign w:val="bottom"/>
          </w:tcPr>
          <w:p>
            <w:pPr>
              <w:spacing w:after="0"/>
              <w:rPr>
                <w:sz w:val="13"/>
                <w:szCs w:val="13"/>
                <w:color w:val="auto"/>
              </w:rPr>
            </w:pPr>
          </w:p>
        </w:tc>
        <w:tc>
          <w:tcPr>
            <w:tcW w:w="16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97"/>
              <w:spacing w:after="0"/>
              <w:rPr>
                <w:sz w:val="20"/>
                <w:szCs w:val="20"/>
                <w:color w:val="auto"/>
              </w:rPr>
            </w:pPr>
            <w:r>
              <w:rPr>
                <w:rFonts w:ascii="Arial" w:cs="Arial" w:eastAsia="Arial" w:hAnsi="Arial"/>
                <w:sz w:val="13"/>
                <w:szCs w:val="13"/>
                <w:color w:val="auto"/>
              </w:rPr>
              <w:t>0</w:t>
            </w:r>
          </w:p>
        </w:tc>
        <w:tc>
          <w:tcPr>
            <w:tcW w:w="5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77"/>
              <w:spacing w:after="0"/>
              <w:rPr>
                <w:sz w:val="20"/>
                <w:szCs w:val="20"/>
                <w:color w:val="auto"/>
              </w:rPr>
            </w:pPr>
            <w:r>
              <w:rPr>
                <w:rFonts w:ascii="Arial" w:cs="Arial" w:eastAsia="Arial" w:hAnsi="Arial"/>
                <w:sz w:val="13"/>
                <w:szCs w:val="13"/>
                <w:color w:val="auto"/>
              </w:rPr>
              <w:t>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680" w:type="dxa"/>
            <w:vAlign w:val="bottom"/>
          </w:tcPr>
          <w:p>
            <w:pPr>
              <w:ind w:left="80"/>
              <w:spacing w:after="0"/>
              <w:rPr>
                <w:sz w:val="20"/>
                <w:szCs w:val="20"/>
                <w:color w:val="auto"/>
              </w:rPr>
            </w:pPr>
            <w:r>
              <w:rPr>
                <w:rFonts w:ascii="Arial" w:cs="Arial" w:eastAsia="Arial" w:hAnsi="Arial"/>
                <w:sz w:val="13"/>
                <w:szCs w:val="13"/>
                <w:color w:val="auto"/>
              </w:rPr>
              <w:t>During Fiscal Year</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1680" w:type="dxa"/>
            <w:vAlign w:val="bottom"/>
            <w:tcBorders>
              <w:bottom w:val="single" w:sz="8" w:color="808080"/>
            </w:tcBorders>
          </w:tcPr>
          <w:p>
            <w:pPr>
              <w:spacing w:after="0"/>
              <w:rPr>
                <w:sz w:val="2"/>
                <w:szCs w:val="2"/>
                <w:color w:val="auto"/>
              </w:rPr>
            </w:pPr>
          </w:p>
        </w:tc>
        <w:tc>
          <w:tcPr>
            <w:tcW w:w="160" w:type="dxa"/>
            <w:vAlign w:val="bottom"/>
            <w:tcBorders>
              <w:bottom w:val="single" w:sz="8" w:color="808080"/>
            </w:tcBorders>
            <w:gridSpan w:val="2"/>
          </w:tcPr>
          <w:p>
            <w:pPr>
              <w:spacing w:after="0"/>
              <w:rPr>
                <w:sz w:val="2"/>
                <w:szCs w:val="2"/>
                <w:color w:val="auto"/>
              </w:rPr>
            </w:pPr>
          </w:p>
        </w:tc>
        <w:tc>
          <w:tcPr>
            <w:tcW w:w="940" w:type="dxa"/>
            <w:vAlign w:val="bottom"/>
            <w:tcBorders>
              <w:bottom w:val="single" w:sz="8" w:color="808080"/>
            </w:tcBorders>
          </w:tcPr>
          <w:p>
            <w:pPr>
              <w:spacing w:after="0"/>
              <w:rPr>
                <w:sz w:val="2"/>
                <w:szCs w:val="2"/>
                <w:color w:val="auto"/>
              </w:rPr>
            </w:pPr>
          </w:p>
        </w:tc>
        <w:tc>
          <w:tcPr>
            <w:tcW w:w="1140" w:type="dxa"/>
            <w:vAlign w:val="bottom"/>
            <w:tcBorders>
              <w:bottom w:val="single" w:sz="8" w:color="808080"/>
            </w:tcBorders>
            <w:gridSpan w:val="2"/>
          </w:tcPr>
          <w:p>
            <w:pPr>
              <w:spacing w:after="0"/>
              <w:rPr>
                <w:sz w:val="2"/>
                <w:szCs w:val="2"/>
                <w:color w:val="auto"/>
              </w:rPr>
            </w:pPr>
          </w:p>
        </w:tc>
        <w:tc>
          <w:tcPr>
            <w:tcW w:w="60" w:type="dxa"/>
            <w:vAlign w:val="bottom"/>
            <w:tcBorders>
              <w:bottom w:val="single" w:sz="8" w:color="808080"/>
            </w:tcBorders>
          </w:tcPr>
          <w:p>
            <w:pPr>
              <w:spacing w:after="0"/>
              <w:rPr>
                <w:sz w:val="2"/>
                <w:szCs w:val="2"/>
                <w:color w:val="auto"/>
              </w:rPr>
            </w:pPr>
          </w:p>
        </w:tc>
        <w:tc>
          <w:tcPr>
            <w:tcW w:w="120" w:type="dxa"/>
            <w:vAlign w:val="bottom"/>
            <w:tcBorders>
              <w:bottom w:val="single" w:sz="8" w:color="808080"/>
            </w:tcBorders>
            <w:gridSpan w:val="2"/>
          </w:tcPr>
          <w:p>
            <w:pPr>
              <w:spacing w:after="0"/>
              <w:rPr>
                <w:sz w:val="2"/>
                <w:szCs w:val="2"/>
                <w:color w:val="auto"/>
              </w:rPr>
            </w:pPr>
          </w:p>
        </w:tc>
        <w:tc>
          <w:tcPr>
            <w:tcW w:w="92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60" w:type="dxa"/>
            <w:vAlign w:val="bottom"/>
            <w:tcBorders>
              <w:bottom w:val="single" w:sz="8" w:color="808080"/>
            </w:tcBorders>
          </w:tcPr>
          <w:p>
            <w:pPr>
              <w:spacing w:after="0"/>
              <w:rPr>
                <w:sz w:val="2"/>
                <w:szCs w:val="2"/>
                <w:color w:val="auto"/>
              </w:rPr>
            </w:pPr>
          </w:p>
        </w:tc>
        <w:tc>
          <w:tcPr>
            <w:tcW w:w="980" w:type="dxa"/>
            <w:vAlign w:val="bottom"/>
            <w:tcBorders>
              <w:bottom w:val="single" w:sz="8" w:color="808080"/>
            </w:tcBorders>
            <w:gridSpan w:val="3"/>
          </w:tcPr>
          <w:p>
            <w:pPr>
              <w:spacing w:after="0"/>
              <w:rPr>
                <w:sz w:val="2"/>
                <w:szCs w:val="2"/>
                <w:color w:val="auto"/>
              </w:rPr>
            </w:pPr>
          </w:p>
        </w:tc>
        <w:tc>
          <w:tcPr>
            <w:tcW w:w="1140" w:type="dxa"/>
            <w:vAlign w:val="bottom"/>
            <w:tcBorders>
              <w:bottom w:val="single" w:sz="8" w:color="808080"/>
            </w:tcBorders>
            <w:gridSpan w:val="2"/>
          </w:tcPr>
          <w:p>
            <w:pPr>
              <w:spacing w:after="0"/>
              <w:rPr>
                <w:sz w:val="2"/>
                <w:szCs w:val="2"/>
                <w:color w:val="auto"/>
              </w:rPr>
            </w:pPr>
          </w:p>
        </w:tc>
        <w:tc>
          <w:tcPr>
            <w:tcW w:w="8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1680" w:type="dxa"/>
            <w:vAlign w:val="bottom"/>
          </w:tcPr>
          <w:p>
            <w:pPr>
              <w:ind w:left="80"/>
              <w:spacing w:after="0"/>
              <w:rPr>
                <w:sz w:val="20"/>
                <w:szCs w:val="20"/>
                <w:color w:val="auto"/>
              </w:rPr>
            </w:pPr>
            <w:r>
              <w:rPr>
                <w:rFonts w:ascii="Arial" w:cs="Arial" w:eastAsia="Arial" w:hAnsi="Arial"/>
                <w:sz w:val="13"/>
                <w:szCs w:val="13"/>
                <w:color w:val="auto"/>
              </w:rPr>
              <w:t>Grant Date Fair Value of</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237"/>
              <w:spacing w:after="0"/>
              <w:rPr>
                <w:sz w:val="20"/>
                <w:szCs w:val="20"/>
                <w:color w:val="auto"/>
              </w:rPr>
            </w:pPr>
            <w:r>
              <w:rPr>
                <w:rFonts w:ascii="Arial" w:cs="Arial" w:eastAsia="Arial" w:hAnsi="Arial"/>
                <w:sz w:val="13"/>
                <w:szCs w:val="13"/>
                <w:color w:val="auto"/>
                <w:w w:val="93"/>
              </w:rPr>
              <w:t>(9,341,554)</w:t>
            </w:r>
          </w:p>
        </w:tc>
        <w:tc>
          <w:tcPr>
            <w:tcW w:w="1140" w:type="dxa"/>
            <w:vAlign w:val="bottom"/>
            <w:gridSpan w:val="2"/>
          </w:tcPr>
          <w:p>
            <w:pPr>
              <w:jc w:val="right"/>
              <w:ind w:right="37"/>
              <w:spacing w:after="0"/>
              <w:rPr>
                <w:sz w:val="20"/>
                <w:szCs w:val="20"/>
                <w:color w:val="auto"/>
              </w:rPr>
            </w:pPr>
            <w:r>
              <w:rPr>
                <w:rFonts w:ascii="Arial" w:cs="Arial" w:eastAsia="Arial" w:hAnsi="Arial"/>
                <w:sz w:val="13"/>
                <w:szCs w:val="13"/>
                <w:color w:val="auto"/>
              </w:rPr>
              <w:t>$(1,737,070)</w:t>
            </w:r>
          </w:p>
        </w:tc>
        <w:tc>
          <w:tcPr>
            <w:tcW w:w="60" w:type="dxa"/>
            <w:vAlign w:val="bottom"/>
          </w:tcPr>
          <w:p>
            <w:pPr>
              <w:spacing w:after="0"/>
              <w:rPr>
                <w:sz w:val="13"/>
                <w:szCs w:val="13"/>
                <w:color w:val="auto"/>
              </w:rPr>
            </w:pP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217"/>
              <w:spacing w:after="0"/>
              <w:rPr>
                <w:sz w:val="20"/>
                <w:szCs w:val="20"/>
                <w:color w:val="auto"/>
              </w:rPr>
            </w:pPr>
            <w:r>
              <w:rPr>
                <w:rFonts w:ascii="Arial" w:cs="Arial" w:eastAsia="Arial" w:hAnsi="Arial"/>
                <w:sz w:val="13"/>
                <w:szCs w:val="13"/>
                <w:color w:val="auto"/>
                <w:w w:val="93"/>
              </w:rPr>
              <w:t>(5,268,441)</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(821,972)</w:t>
            </w:r>
          </w:p>
        </w:tc>
        <w:tc>
          <w:tcPr>
            <w:tcW w:w="60" w:type="dxa"/>
            <w:vAlign w:val="bottom"/>
          </w:tcPr>
          <w:p>
            <w:pPr>
              <w:spacing w:after="0"/>
              <w:rPr>
                <w:sz w:val="13"/>
                <w:szCs w:val="13"/>
                <w:color w:val="auto"/>
              </w:rPr>
            </w:pPr>
          </w:p>
        </w:tc>
        <w:tc>
          <w:tcPr>
            <w:tcW w:w="980" w:type="dxa"/>
            <w:vAlign w:val="bottom"/>
            <w:gridSpan w:val="3"/>
          </w:tcPr>
          <w:p>
            <w:pPr>
              <w:ind w:left="40"/>
              <w:spacing w:after="0"/>
              <w:rPr>
                <w:sz w:val="20"/>
                <w:szCs w:val="20"/>
                <w:color w:val="auto"/>
              </w:rPr>
            </w:pPr>
            <w:r>
              <w:rPr>
                <w:rFonts w:ascii="Arial" w:cs="Arial" w:eastAsia="Arial" w:hAnsi="Arial"/>
                <w:sz w:val="13"/>
                <w:szCs w:val="13"/>
                <w:color w:val="auto"/>
              </w:rPr>
              <w:t>$(6,250,017)</w:t>
            </w:r>
          </w:p>
        </w:tc>
        <w:tc>
          <w:tcPr>
            <w:tcW w:w="1140" w:type="dxa"/>
            <w:vAlign w:val="bottom"/>
            <w:gridSpan w:val="2"/>
          </w:tcPr>
          <w:p>
            <w:pPr>
              <w:jc w:val="right"/>
              <w:ind w:right="37"/>
              <w:spacing w:after="0"/>
              <w:rPr>
                <w:sz w:val="20"/>
                <w:szCs w:val="20"/>
                <w:color w:val="auto"/>
              </w:rPr>
            </w:pPr>
            <w:r>
              <w:rPr>
                <w:rFonts w:ascii="Arial" w:cs="Arial" w:eastAsia="Arial" w:hAnsi="Arial"/>
                <w:sz w:val="13"/>
                <w:szCs w:val="13"/>
                <w:color w:val="auto"/>
              </w:rPr>
              <w:t>$(1,195,022)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80" w:type="dxa"/>
            <w:vAlign w:val="bottom"/>
          </w:tcPr>
          <w:p>
            <w:pPr>
              <w:ind w:left="80"/>
              <w:spacing w:after="0" w:line="135" w:lineRule="exact"/>
              <w:rPr>
                <w:sz w:val="20"/>
                <w:szCs w:val="20"/>
                <w:color w:val="auto"/>
              </w:rPr>
            </w:pPr>
            <w:r>
              <w:rPr>
                <w:rFonts w:ascii="Arial" w:cs="Arial" w:eastAsia="Arial" w:hAnsi="Arial"/>
                <w:sz w:val="13"/>
                <w:szCs w:val="13"/>
                <w:color w:val="auto"/>
              </w:rPr>
              <w:t>Awards Granted in Fiscal</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680" w:type="dxa"/>
            <w:vAlign w:val="bottom"/>
          </w:tcPr>
          <w:p>
            <w:pPr>
              <w:ind w:left="80"/>
              <w:spacing w:after="0"/>
              <w:rPr>
                <w:sz w:val="20"/>
                <w:szCs w:val="20"/>
                <w:color w:val="auto"/>
              </w:rPr>
            </w:pPr>
            <w:r>
              <w:rPr>
                <w:rFonts w:ascii="Arial" w:cs="Arial" w:eastAsia="Arial" w:hAnsi="Arial"/>
                <w:sz w:val="13"/>
                <w:szCs w:val="13"/>
                <w:color w:val="auto"/>
              </w:rPr>
              <w:t>Year</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1680" w:type="dxa"/>
            <w:vAlign w:val="bottom"/>
            <w:tcBorders>
              <w:bottom w:val="single" w:sz="8" w:color="808080"/>
            </w:tcBorders>
          </w:tcPr>
          <w:p>
            <w:pPr>
              <w:spacing w:after="0"/>
              <w:rPr>
                <w:sz w:val="2"/>
                <w:szCs w:val="2"/>
                <w:color w:val="auto"/>
              </w:rPr>
            </w:pPr>
          </w:p>
        </w:tc>
        <w:tc>
          <w:tcPr>
            <w:tcW w:w="160" w:type="dxa"/>
            <w:vAlign w:val="bottom"/>
            <w:tcBorders>
              <w:bottom w:val="single" w:sz="8" w:color="808080"/>
            </w:tcBorders>
            <w:gridSpan w:val="2"/>
          </w:tcPr>
          <w:p>
            <w:pPr>
              <w:spacing w:after="0"/>
              <w:rPr>
                <w:sz w:val="2"/>
                <w:szCs w:val="2"/>
                <w:color w:val="auto"/>
              </w:rPr>
            </w:pPr>
          </w:p>
        </w:tc>
        <w:tc>
          <w:tcPr>
            <w:tcW w:w="940" w:type="dxa"/>
            <w:vAlign w:val="bottom"/>
            <w:tcBorders>
              <w:bottom w:val="single" w:sz="8" w:color="808080"/>
            </w:tcBorders>
          </w:tcPr>
          <w:p>
            <w:pPr>
              <w:spacing w:after="0"/>
              <w:rPr>
                <w:sz w:val="2"/>
                <w:szCs w:val="2"/>
                <w:color w:val="auto"/>
              </w:rPr>
            </w:pPr>
          </w:p>
        </w:tc>
        <w:tc>
          <w:tcPr>
            <w:tcW w:w="1140" w:type="dxa"/>
            <w:vAlign w:val="bottom"/>
            <w:tcBorders>
              <w:bottom w:val="single" w:sz="8" w:color="808080"/>
            </w:tcBorders>
            <w:gridSpan w:val="2"/>
          </w:tcPr>
          <w:p>
            <w:pPr>
              <w:spacing w:after="0"/>
              <w:rPr>
                <w:sz w:val="2"/>
                <w:szCs w:val="2"/>
                <w:color w:val="auto"/>
              </w:rPr>
            </w:pPr>
          </w:p>
        </w:tc>
        <w:tc>
          <w:tcPr>
            <w:tcW w:w="60" w:type="dxa"/>
            <w:vAlign w:val="bottom"/>
            <w:tcBorders>
              <w:bottom w:val="single" w:sz="8" w:color="808080"/>
            </w:tcBorders>
          </w:tcPr>
          <w:p>
            <w:pPr>
              <w:spacing w:after="0"/>
              <w:rPr>
                <w:sz w:val="2"/>
                <w:szCs w:val="2"/>
                <w:color w:val="auto"/>
              </w:rPr>
            </w:pPr>
          </w:p>
        </w:tc>
        <w:tc>
          <w:tcPr>
            <w:tcW w:w="120" w:type="dxa"/>
            <w:vAlign w:val="bottom"/>
            <w:tcBorders>
              <w:bottom w:val="single" w:sz="8" w:color="808080"/>
            </w:tcBorders>
            <w:gridSpan w:val="2"/>
          </w:tcPr>
          <w:p>
            <w:pPr>
              <w:spacing w:after="0"/>
              <w:rPr>
                <w:sz w:val="2"/>
                <w:szCs w:val="2"/>
                <w:color w:val="auto"/>
              </w:rPr>
            </w:pPr>
          </w:p>
        </w:tc>
        <w:tc>
          <w:tcPr>
            <w:tcW w:w="92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60" w:type="dxa"/>
            <w:vAlign w:val="bottom"/>
            <w:tcBorders>
              <w:bottom w:val="single" w:sz="8" w:color="808080"/>
            </w:tcBorders>
          </w:tcPr>
          <w:p>
            <w:pPr>
              <w:spacing w:after="0"/>
              <w:rPr>
                <w:sz w:val="2"/>
                <w:szCs w:val="2"/>
                <w:color w:val="auto"/>
              </w:rPr>
            </w:pPr>
          </w:p>
        </w:tc>
        <w:tc>
          <w:tcPr>
            <w:tcW w:w="980" w:type="dxa"/>
            <w:vAlign w:val="bottom"/>
            <w:tcBorders>
              <w:bottom w:val="single" w:sz="8" w:color="808080"/>
            </w:tcBorders>
            <w:gridSpan w:val="3"/>
          </w:tcPr>
          <w:p>
            <w:pPr>
              <w:spacing w:after="0"/>
              <w:rPr>
                <w:sz w:val="2"/>
                <w:szCs w:val="2"/>
                <w:color w:val="auto"/>
              </w:rPr>
            </w:pPr>
          </w:p>
        </w:tc>
        <w:tc>
          <w:tcPr>
            <w:tcW w:w="1140" w:type="dxa"/>
            <w:vAlign w:val="bottom"/>
            <w:tcBorders>
              <w:bottom w:val="single" w:sz="8" w:color="808080"/>
            </w:tcBorders>
            <w:gridSpan w:val="2"/>
          </w:tcPr>
          <w:p>
            <w:pPr>
              <w:spacing w:after="0"/>
              <w:rPr>
                <w:sz w:val="2"/>
                <w:szCs w:val="2"/>
                <w:color w:val="auto"/>
              </w:rPr>
            </w:pPr>
          </w:p>
        </w:tc>
        <w:tc>
          <w:tcPr>
            <w:tcW w:w="8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1680" w:type="dxa"/>
            <w:vAlign w:val="bottom"/>
          </w:tcPr>
          <w:p>
            <w:pPr>
              <w:ind w:left="80"/>
              <w:spacing w:after="0"/>
              <w:rPr>
                <w:sz w:val="20"/>
                <w:szCs w:val="20"/>
                <w:color w:val="auto"/>
              </w:rPr>
            </w:pPr>
            <w:r>
              <w:rPr>
                <w:rFonts w:ascii="Arial" w:cs="Arial" w:eastAsia="Arial" w:hAnsi="Arial"/>
                <w:sz w:val="13"/>
                <w:szCs w:val="13"/>
                <w:color w:val="auto"/>
              </w:rPr>
              <w:t>Fair Value of Outstanding</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277"/>
              <w:spacing w:after="0"/>
              <w:rPr>
                <w:sz w:val="20"/>
                <w:szCs w:val="20"/>
                <w:color w:val="auto"/>
              </w:rPr>
            </w:pPr>
            <w:r>
              <w:rPr>
                <w:rFonts w:ascii="Arial" w:cs="Arial" w:eastAsia="Arial" w:hAnsi="Arial"/>
                <w:sz w:val="13"/>
                <w:szCs w:val="13"/>
                <w:color w:val="auto"/>
              </w:rPr>
              <w:t>8,919,496</w:t>
            </w:r>
          </w:p>
        </w:tc>
        <w:tc>
          <w:tcPr>
            <w:tcW w:w="1140" w:type="dxa"/>
            <w:vAlign w:val="bottom"/>
            <w:gridSpan w:val="2"/>
          </w:tcPr>
          <w:p>
            <w:pPr>
              <w:jc w:val="right"/>
              <w:ind w:right="77"/>
              <w:spacing w:after="0"/>
              <w:rPr>
                <w:sz w:val="20"/>
                <w:szCs w:val="20"/>
                <w:color w:val="auto"/>
              </w:rPr>
            </w:pPr>
            <w:r>
              <w:rPr>
                <w:rFonts w:ascii="Arial" w:cs="Arial" w:eastAsia="Arial" w:hAnsi="Arial"/>
                <w:sz w:val="13"/>
                <w:szCs w:val="13"/>
                <w:color w:val="auto"/>
              </w:rPr>
              <w:t>$ 1,600,130</w:t>
            </w:r>
          </w:p>
        </w:tc>
        <w:tc>
          <w:tcPr>
            <w:tcW w:w="60" w:type="dxa"/>
            <w:vAlign w:val="bottom"/>
          </w:tcPr>
          <w:p>
            <w:pPr>
              <w:spacing w:after="0"/>
              <w:rPr>
                <w:sz w:val="13"/>
                <w:szCs w:val="13"/>
                <w:color w:val="auto"/>
              </w:rPr>
            </w:pP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257"/>
              <w:spacing w:after="0"/>
              <w:rPr>
                <w:sz w:val="20"/>
                <w:szCs w:val="20"/>
                <w:color w:val="auto"/>
              </w:rPr>
            </w:pPr>
            <w:r>
              <w:rPr>
                <w:rFonts w:ascii="Arial" w:cs="Arial" w:eastAsia="Arial" w:hAnsi="Arial"/>
                <w:sz w:val="13"/>
                <w:szCs w:val="13"/>
                <w:color w:val="auto"/>
              </w:rPr>
              <w:t>2,348,835</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322,535</w:t>
            </w:r>
          </w:p>
        </w:tc>
        <w:tc>
          <w:tcPr>
            <w:tcW w:w="60" w:type="dxa"/>
            <w:vAlign w:val="bottom"/>
          </w:tcPr>
          <w:p>
            <w:pPr>
              <w:spacing w:after="0"/>
              <w:rPr>
                <w:sz w:val="13"/>
                <w:szCs w:val="13"/>
                <w:color w:val="auto"/>
              </w:rPr>
            </w:pPr>
          </w:p>
        </w:tc>
        <w:tc>
          <w:tcPr>
            <w:tcW w:w="980" w:type="dxa"/>
            <w:vAlign w:val="bottom"/>
            <w:gridSpan w:val="3"/>
          </w:tcPr>
          <w:p>
            <w:pPr>
              <w:ind w:left="40"/>
              <w:spacing w:after="0"/>
              <w:rPr>
                <w:sz w:val="20"/>
                <w:szCs w:val="20"/>
                <w:color w:val="auto"/>
              </w:rPr>
            </w:pPr>
            <w:r>
              <w:rPr>
                <w:rFonts w:ascii="Arial" w:cs="Arial" w:eastAsia="Arial" w:hAnsi="Arial"/>
                <w:sz w:val="13"/>
                <w:szCs w:val="13"/>
                <w:color w:val="auto"/>
              </w:rPr>
              <w:t>$ 5,248,753</w:t>
            </w:r>
          </w:p>
        </w:tc>
        <w:tc>
          <w:tcPr>
            <w:tcW w:w="1140" w:type="dxa"/>
            <w:vAlign w:val="bottom"/>
            <w:gridSpan w:val="2"/>
          </w:tcPr>
          <w:p>
            <w:pPr>
              <w:jc w:val="right"/>
              <w:ind w:right="77"/>
              <w:spacing w:after="0"/>
              <w:rPr>
                <w:sz w:val="20"/>
                <w:szCs w:val="20"/>
                <w:color w:val="auto"/>
              </w:rPr>
            </w:pPr>
            <w:r>
              <w:rPr>
                <w:rFonts w:ascii="Arial" w:cs="Arial" w:eastAsia="Arial" w:hAnsi="Arial"/>
                <w:sz w:val="13"/>
                <w:szCs w:val="13"/>
                <w:color w:val="auto"/>
              </w:rPr>
              <w:t>$ 1,003,631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80" w:type="dxa"/>
            <w:vAlign w:val="bottom"/>
          </w:tcPr>
          <w:p>
            <w:pPr>
              <w:ind w:left="80"/>
              <w:spacing w:after="0" w:line="135" w:lineRule="exact"/>
              <w:rPr>
                <w:sz w:val="20"/>
                <w:szCs w:val="20"/>
                <w:color w:val="auto"/>
              </w:rPr>
            </w:pPr>
            <w:r>
              <w:rPr>
                <w:rFonts w:ascii="Arial" w:cs="Arial" w:eastAsia="Arial" w:hAnsi="Arial"/>
                <w:sz w:val="13"/>
                <w:szCs w:val="13"/>
                <w:color w:val="auto"/>
              </w:rPr>
              <w:t>Unvested Awards Granted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680" w:type="dxa"/>
            <w:vAlign w:val="bottom"/>
          </w:tcPr>
          <w:p>
            <w:pPr>
              <w:ind w:left="80"/>
              <w:spacing w:after="0"/>
              <w:rPr>
                <w:sz w:val="20"/>
                <w:szCs w:val="20"/>
                <w:color w:val="auto"/>
              </w:rPr>
            </w:pPr>
            <w:r>
              <w:rPr>
                <w:rFonts w:ascii="Arial" w:cs="Arial" w:eastAsia="Arial" w:hAnsi="Arial"/>
                <w:sz w:val="13"/>
                <w:szCs w:val="13"/>
                <w:color w:val="auto"/>
              </w:rPr>
              <w:t>in Fiscal Year at Year-End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1680" w:type="dxa"/>
            <w:vAlign w:val="bottom"/>
            <w:tcBorders>
              <w:bottom w:val="single" w:sz="8" w:color="808080"/>
            </w:tcBorders>
          </w:tcPr>
          <w:p>
            <w:pPr>
              <w:spacing w:after="0"/>
              <w:rPr>
                <w:sz w:val="2"/>
                <w:szCs w:val="2"/>
                <w:color w:val="auto"/>
              </w:rPr>
            </w:pPr>
          </w:p>
        </w:tc>
        <w:tc>
          <w:tcPr>
            <w:tcW w:w="160" w:type="dxa"/>
            <w:vAlign w:val="bottom"/>
            <w:tcBorders>
              <w:bottom w:val="single" w:sz="8" w:color="808080"/>
            </w:tcBorders>
            <w:gridSpan w:val="2"/>
          </w:tcPr>
          <w:p>
            <w:pPr>
              <w:spacing w:after="0"/>
              <w:rPr>
                <w:sz w:val="2"/>
                <w:szCs w:val="2"/>
                <w:color w:val="auto"/>
              </w:rPr>
            </w:pPr>
          </w:p>
        </w:tc>
        <w:tc>
          <w:tcPr>
            <w:tcW w:w="940" w:type="dxa"/>
            <w:vAlign w:val="bottom"/>
            <w:tcBorders>
              <w:bottom w:val="single" w:sz="8" w:color="808080"/>
            </w:tcBorders>
          </w:tcPr>
          <w:p>
            <w:pPr>
              <w:spacing w:after="0"/>
              <w:rPr>
                <w:sz w:val="2"/>
                <w:szCs w:val="2"/>
                <w:color w:val="auto"/>
              </w:rPr>
            </w:pPr>
          </w:p>
        </w:tc>
        <w:tc>
          <w:tcPr>
            <w:tcW w:w="580" w:type="dxa"/>
            <w:vAlign w:val="bottom"/>
            <w:tcBorders>
              <w:bottom w:val="single" w:sz="8" w:color="808080"/>
            </w:tcBorders>
          </w:tcPr>
          <w:p>
            <w:pPr>
              <w:spacing w:after="0"/>
              <w:rPr>
                <w:sz w:val="2"/>
                <w:szCs w:val="2"/>
                <w:color w:val="auto"/>
              </w:rPr>
            </w:pPr>
          </w:p>
        </w:tc>
        <w:tc>
          <w:tcPr>
            <w:tcW w:w="560" w:type="dxa"/>
            <w:vAlign w:val="bottom"/>
            <w:tcBorders>
              <w:bottom w:val="single" w:sz="8" w:color="808080"/>
            </w:tcBorders>
          </w:tcPr>
          <w:p>
            <w:pPr>
              <w:spacing w:after="0"/>
              <w:rPr>
                <w:sz w:val="2"/>
                <w:szCs w:val="2"/>
                <w:color w:val="auto"/>
              </w:rPr>
            </w:pPr>
          </w:p>
        </w:tc>
        <w:tc>
          <w:tcPr>
            <w:tcW w:w="60" w:type="dxa"/>
            <w:vAlign w:val="bottom"/>
            <w:tcBorders>
              <w:bottom w:val="single" w:sz="8" w:color="808080"/>
            </w:tcBorders>
          </w:tcPr>
          <w:p>
            <w:pPr>
              <w:spacing w:after="0"/>
              <w:rPr>
                <w:sz w:val="2"/>
                <w:szCs w:val="2"/>
                <w:color w:val="auto"/>
              </w:rPr>
            </w:pPr>
          </w:p>
        </w:tc>
        <w:tc>
          <w:tcPr>
            <w:tcW w:w="120" w:type="dxa"/>
            <w:vAlign w:val="bottom"/>
            <w:tcBorders>
              <w:bottom w:val="single" w:sz="8" w:color="808080"/>
            </w:tcBorders>
            <w:gridSpan w:val="2"/>
          </w:tcPr>
          <w:p>
            <w:pPr>
              <w:spacing w:after="0"/>
              <w:rPr>
                <w:sz w:val="2"/>
                <w:szCs w:val="2"/>
                <w:color w:val="auto"/>
              </w:rPr>
            </w:pPr>
          </w:p>
        </w:tc>
        <w:tc>
          <w:tcPr>
            <w:tcW w:w="92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60" w:type="dxa"/>
            <w:vAlign w:val="bottom"/>
            <w:tcBorders>
              <w:bottom w:val="single" w:sz="8" w:color="808080"/>
            </w:tcBorders>
          </w:tcPr>
          <w:p>
            <w:pPr>
              <w:spacing w:after="0"/>
              <w:rPr>
                <w:sz w:val="2"/>
                <w:szCs w:val="2"/>
                <w:color w:val="auto"/>
              </w:rPr>
            </w:pPr>
          </w:p>
        </w:tc>
        <w:tc>
          <w:tcPr>
            <w:tcW w:w="160" w:type="dxa"/>
            <w:vAlign w:val="bottom"/>
            <w:tcBorders>
              <w:bottom w:val="single" w:sz="8" w:color="808080"/>
            </w:tcBorders>
            <w:gridSpan w:val="2"/>
          </w:tcPr>
          <w:p>
            <w:pPr>
              <w:spacing w:after="0"/>
              <w:rPr>
                <w:sz w:val="2"/>
                <w:szCs w:val="2"/>
                <w:color w:val="auto"/>
              </w:rPr>
            </w:pPr>
          </w:p>
        </w:tc>
        <w:tc>
          <w:tcPr>
            <w:tcW w:w="820" w:type="dxa"/>
            <w:vAlign w:val="bottom"/>
            <w:tcBorders>
              <w:bottom w:val="single" w:sz="8" w:color="808080"/>
            </w:tcBorders>
          </w:tcPr>
          <w:p>
            <w:pPr>
              <w:spacing w:after="0"/>
              <w:rPr>
                <w:sz w:val="2"/>
                <w:szCs w:val="2"/>
                <w:color w:val="auto"/>
              </w:rPr>
            </w:pPr>
          </w:p>
        </w:tc>
        <w:tc>
          <w:tcPr>
            <w:tcW w:w="500" w:type="dxa"/>
            <w:vAlign w:val="bottom"/>
            <w:tcBorders>
              <w:bottom w:val="single" w:sz="8" w:color="808080"/>
            </w:tcBorders>
          </w:tcPr>
          <w:p>
            <w:pPr>
              <w:spacing w:after="0"/>
              <w:rPr>
                <w:sz w:val="2"/>
                <w:szCs w:val="2"/>
                <w:color w:val="auto"/>
              </w:rPr>
            </w:pPr>
          </w:p>
        </w:tc>
        <w:tc>
          <w:tcPr>
            <w:tcW w:w="640" w:type="dxa"/>
            <w:vAlign w:val="bottom"/>
            <w:tcBorders>
              <w:bottom w:val="single" w:sz="8" w:color="808080"/>
            </w:tcBorders>
          </w:tcPr>
          <w:p>
            <w:pPr>
              <w:spacing w:after="0"/>
              <w:rPr>
                <w:sz w:val="2"/>
                <w:szCs w:val="2"/>
                <w:color w:val="auto"/>
              </w:rPr>
            </w:pPr>
          </w:p>
        </w:tc>
        <w:tc>
          <w:tcPr>
            <w:tcW w:w="8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1680" w:type="dxa"/>
            <w:vAlign w:val="bottom"/>
          </w:tcPr>
          <w:p>
            <w:pPr>
              <w:ind w:left="80"/>
              <w:spacing w:after="0"/>
              <w:rPr>
                <w:sz w:val="20"/>
                <w:szCs w:val="20"/>
                <w:color w:val="auto"/>
              </w:rPr>
            </w:pPr>
            <w:r>
              <w:rPr>
                <w:rFonts w:ascii="Arial" w:cs="Arial" w:eastAsia="Arial" w:hAnsi="Arial"/>
                <w:sz w:val="13"/>
                <w:szCs w:val="13"/>
                <w:color w:val="auto"/>
              </w:rPr>
              <w:t>Fair Value of Awards</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257"/>
              <w:spacing w:after="0"/>
              <w:rPr>
                <w:sz w:val="20"/>
                <w:szCs w:val="20"/>
                <w:color w:val="auto"/>
              </w:rPr>
            </w:pPr>
            <w:r>
              <w:rPr>
                <w:rFonts w:ascii="Arial" w:cs="Arial" w:eastAsia="Arial" w:hAnsi="Arial"/>
                <w:sz w:val="13"/>
                <w:szCs w:val="13"/>
                <w:color w:val="auto"/>
              </w:rPr>
              <w:t>0</w:t>
            </w:r>
          </w:p>
        </w:tc>
        <w:tc>
          <w:tcPr>
            <w:tcW w:w="5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0</w:t>
            </w:r>
          </w:p>
        </w:tc>
        <w:tc>
          <w:tcPr>
            <w:tcW w:w="60" w:type="dxa"/>
            <w:vAlign w:val="bottom"/>
          </w:tcPr>
          <w:p>
            <w:pPr>
              <w:spacing w:after="0"/>
              <w:rPr>
                <w:sz w:val="13"/>
                <w:szCs w:val="13"/>
                <w:color w:val="auto"/>
              </w:rPr>
            </w:pP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257"/>
              <w:spacing w:after="0"/>
              <w:rPr>
                <w:sz w:val="20"/>
                <w:szCs w:val="20"/>
                <w:color w:val="auto"/>
              </w:rPr>
            </w:pPr>
            <w:r>
              <w:rPr>
                <w:rFonts w:ascii="Arial" w:cs="Arial" w:eastAsia="Arial" w:hAnsi="Arial"/>
                <w:sz w:val="13"/>
                <w:szCs w:val="13"/>
                <w:color w:val="auto"/>
              </w:rPr>
              <w:t>0</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11,088</w:t>
            </w:r>
          </w:p>
        </w:tc>
        <w:tc>
          <w:tcPr>
            <w:tcW w:w="60" w:type="dxa"/>
            <w:vAlign w:val="bottom"/>
          </w:tcPr>
          <w:p>
            <w:pPr>
              <w:spacing w:after="0"/>
              <w:rPr>
                <w:sz w:val="13"/>
                <w:szCs w:val="13"/>
                <w:color w:val="auto"/>
              </w:rPr>
            </w:pPr>
          </w:p>
        </w:tc>
        <w:tc>
          <w:tcPr>
            <w:tcW w:w="16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97"/>
              <w:spacing w:after="0"/>
              <w:rPr>
                <w:sz w:val="20"/>
                <w:szCs w:val="20"/>
                <w:color w:val="auto"/>
              </w:rPr>
            </w:pPr>
            <w:r>
              <w:rPr>
                <w:rFonts w:ascii="Arial" w:cs="Arial" w:eastAsia="Arial" w:hAnsi="Arial"/>
                <w:sz w:val="13"/>
                <w:szCs w:val="13"/>
                <w:color w:val="auto"/>
              </w:rPr>
              <w:t>0</w:t>
            </w:r>
          </w:p>
        </w:tc>
        <w:tc>
          <w:tcPr>
            <w:tcW w:w="5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77"/>
              <w:spacing w:after="0"/>
              <w:rPr>
                <w:sz w:val="20"/>
                <w:szCs w:val="20"/>
                <w:color w:val="auto"/>
              </w:rPr>
            </w:pPr>
            <w:r>
              <w:rPr>
                <w:rFonts w:ascii="Arial" w:cs="Arial" w:eastAsia="Arial" w:hAnsi="Arial"/>
                <w:sz w:val="13"/>
                <w:szCs w:val="13"/>
                <w:color w:val="auto"/>
              </w:rPr>
              <w:t>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80" w:type="dxa"/>
            <w:vAlign w:val="bottom"/>
          </w:tcPr>
          <w:p>
            <w:pPr>
              <w:ind w:left="80"/>
              <w:spacing w:after="0" w:line="135" w:lineRule="exact"/>
              <w:rPr>
                <w:sz w:val="20"/>
                <w:szCs w:val="20"/>
                <w:color w:val="auto"/>
              </w:rPr>
            </w:pPr>
            <w:r>
              <w:rPr>
                <w:rFonts w:ascii="Arial" w:cs="Arial" w:eastAsia="Arial" w:hAnsi="Arial"/>
                <w:sz w:val="13"/>
                <w:szCs w:val="13"/>
                <w:color w:val="auto"/>
                <w:w w:val="99"/>
              </w:rPr>
              <w:t>Granted in Fiscal Year That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680" w:type="dxa"/>
            <w:vAlign w:val="bottom"/>
          </w:tcPr>
          <w:p>
            <w:pPr>
              <w:ind w:left="80"/>
              <w:spacing w:after="0"/>
              <w:rPr>
                <w:sz w:val="20"/>
                <w:szCs w:val="20"/>
                <w:color w:val="auto"/>
              </w:rPr>
            </w:pPr>
            <w:r>
              <w:rPr>
                <w:rFonts w:ascii="Arial" w:cs="Arial" w:eastAsia="Arial" w:hAnsi="Arial"/>
                <w:sz w:val="13"/>
                <w:szCs w:val="13"/>
                <w:color w:val="auto"/>
              </w:rPr>
              <w:t>Vested During Fiscal Year</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1680" w:type="dxa"/>
            <w:vAlign w:val="bottom"/>
            <w:tcBorders>
              <w:bottom w:val="single" w:sz="8" w:color="808080"/>
            </w:tcBorders>
          </w:tcPr>
          <w:p>
            <w:pPr>
              <w:spacing w:after="0"/>
              <w:rPr>
                <w:sz w:val="2"/>
                <w:szCs w:val="2"/>
                <w:color w:val="auto"/>
              </w:rPr>
            </w:pPr>
          </w:p>
        </w:tc>
        <w:tc>
          <w:tcPr>
            <w:tcW w:w="160" w:type="dxa"/>
            <w:vAlign w:val="bottom"/>
            <w:tcBorders>
              <w:bottom w:val="single" w:sz="8" w:color="808080"/>
            </w:tcBorders>
            <w:gridSpan w:val="2"/>
          </w:tcPr>
          <w:p>
            <w:pPr>
              <w:spacing w:after="0"/>
              <w:rPr>
                <w:sz w:val="2"/>
                <w:szCs w:val="2"/>
                <w:color w:val="auto"/>
              </w:rPr>
            </w:pPr>
          </w:p>
        </w:tc>
        <w:tc>
          <w:tcPr>
            <w:tcW w:w="940" w:type="dxa"/>
            <w:vAlign w:val="bottom"/>
            <w:tcBorders>
              <w:bottom w:val="single" w:sz="8" w:color="808080"/>
            </w:tcBorders>
          </w:tcPr>
          <w:p>
            <w:pPr>
              <w:spacing w:after="0"/>
              <w:rPr>
                <w:sz w:val="2"/>
                <w:szCs w:val="2"/>
                <w:color w:val="auto"/>
              </w:rPr>
            </w:pPr>
          </w:p>
        </w:tc>
        <w:tc>
          <w:tcPr>
            <w:tcW w:w="580" w:type="dxa"/>
            <w:vAlign w:val="bottom"/>
            <w:tcBorders>
              <w:bottom w:val="single" w:sz="8" w:color="808080"/>
            </w:tcBorders>
          </w:tcPr>
          <w:p>
            <w:pPr>
              <w:spacing w:after="0"/>
              <w:rPr>
                <w:sz w:val="2"/>
                <w:szCs w:val="2"/>
                <w:color w:val="auto"/>
              </w:rPr>
            </w:pPr>
          </w:p>
        </w:tc>
        <w:tc>
          <w:tcPr>
            <w:tcW w:w="560" w:type="dxa"/>
            <w:vAlign w:val="bottom"/>
            <w:tcBorders>
              <w:bottom w:val="single" w:sz="8" w:color="808080"/>
            </w:tcBorders>
          </w:tcPr>
          <w:p>
            <w:pPr>
              <w:spacing w:after="0"/>
              <w:rPr>
                <w:sz w:val="2"/>
                <w:szCs w:val="2"/>
                <w:color w:val="auto"/>
              </w:rPr>
            </w:pPr>
          </w:p>
        </w:tc>
        <w:tc>
          <w:tcPr>
            <w:tcW w:w="60" w:type="dxa"/>
            <w:vAlign w:val="bottom"/>
            <w:tcBorders>
              <w:bottom w:val="single" w:sz="8" w:color="808080"/>
            </w:tcBorders>
          </w:tcPr>
          <w:p>
            <w:pPr>
              <w:spacing w:after="0"/>
              <w:rPr>
                <w:sz w:val="2"/>
                <w:szCs w:val="2"/>
                <w:color w:val="auto"/>
              </w:rPr>
            </w:pPr>
          </w:p>
        </w:tc>
        <w:tc>
          <w:tcPr>
            <w:tcW w:w="120" w:type="dxa"/>
            <w:vAlign w:val="bottom"/>
            <w:tcBorders>
              <w:bottom w:val="single" w:sz="8" w:color="808080"/>
            </w:tcBorders>
            <w:gridSpan w:val="2"/>
          </w:tcPr>
          <w:p>
            <w:pPr>
              <w:spacing w:after="0"/>
              <w:rPr>
                <w:sz w:val="2"/>
                <w:szCs w:val="2"/>
                <w:color w:val="auto"/>
              </w:rPr>
            </w:pPr>
          </w:p>
        </w:tc>
        <w:tc>
          <w:tcPr>
            <w:tcW w:w="92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60" w:type="dxa"/>
            <w:vAlign w:val="bottom"/>
            <w:tcBorders>
              <w:bottom w:val="single" w:sz="8" w:color="808080"/>
            </w:tcBorders>
          </w:tcPr>
          <w:p>
            <w:pPr>
              <w:spacing w:after="0"/>
              <w:rPr>
                <w:sz w:val="2"/>
                <w:szCs w:val="2"/>
                <w:color w:val="auto"/>
              </w:rPr>
            </w:pPr>
          </w:p>
        </w:tc>
        <w:tc>
          <w:tcPr>
            <w:tcW w:w="160" w:type="dxa"/>
            <w:vAlign w:val="bottom"/>
            <w:tcBorders>
              <w:bottom w:val="single" w:sz="8" w:color="808080"/>
            </w:tcBorders>
            <w:gridSpan w:val="2"/>
          </w:tcPr>
          <w:p>
            <w:pPr>
              <w:spacing w:after="0"/>
              <w:rPr>
                <w:sz w:val="2"/>
                <w:szCs w:val="2"/>
                <w:color w:val="auto"/>
              </w:rPr>
            </w:pPr>
          </w:p>
        </w:tc>
        <w:tc>
          <w:tcPr>
            <w:tcW w:w="820" w:type="dxa"/>
            <w:vAlign w:val="bottom"/>
            <w:tcBorders>
              <w:bottom w:val="single" w:sz="8" w:color="808080"/>
            </w:tcBorders>
          </w:tcPr>
          <w:p>
            <w:pPr>
              <w:spacing w:after="0"/>
              <w:rPr>
                <w:sz w:val="2"/>
                <w:szCs w:val="2"/>
                <w:color w:val="auto"/>
              </w:rPr>
            </w:pPr>
          </w:p>
        </w:tc>
        <w:tc>
          <w:tcPr>
            <w:tcW w:w="500" w:type="dxa"/>
            <w:vAlign w:val="bottom"/>
            <w:tcBorders>
              <w:bottom w:val="single" w:sz="8" w:color="808080"/>
            </w:tcBorders>
          </w:tcPr>
          <w:p>
            <w:pPr>
              <w:spacing w:after="0"/>
              <w:rPr>
                <w:sz w:val="2"/>
                <w:szCs w:val="2"/>
                <w:color w:val="auto"/>
              </w:rPr>
            </w:pPr>
          </w:p>
        </w:tc>
        <w:tc>
          <w:tcPr>
            <w:tcW w:w="640" w:type="dxa"/>
            <w:vAlign w:val="bottom"/>
            <w:tcBorders>
              <w:bottom w:val="single" w:sz="8" w:color="808080"/>
            </w:tcBorders>
          </w:tcPr>
          <w:p>
            <w:pPr>
              <w:spacing w:after="0"/>
              <w:rPr>
                <w:sz w:val="2"/>
                <w:szCs w:val="2"/>
                <w:color w:val="auto"/>
              </w:rPr>
            </w:pPr>
          </w:p>
        </w:tc>
        <w:tc>
          <w:tcPr>
            <w:tcW w:w="8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1680" w:type="dxa"/>
            <w:vAlign w:val="bottom"/>
          </w:tcPr>
          <w:p>
            <w:pPr>
              <w:ind w:left="80"/>
              <w:spacing w:after="0"/>
              <w:rPr>
                <w:sz w:val="20"/>
                <w:szCs w:val="20"/>
                <w:color w:val="auto"/>
              </w:rPr>
            </w:pPr>
            <w:r>
              <w:rPr>
                <w:rFonts w:ascii="Arial" w:cs="Arial" w:eastAsia="Arial" w:hAnsi="Arial"/>
                <w:sz w:val="13"/>
                <w:szCs w:val="13"/>
                <w:color w:val="auto"/>
              </w:rPr>
              <w:t>Change in Fair Value of</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277"/>
              <w:spacing w:after="0"/>
              <w:rPr>
                <w:sz w:val="20"/>
                <w:szCs w:val="20"/>
                <w:color w:val="auto"/>
              </w:rPr>
            </w:pPr>
            <w:r>
              <w:rPr>
                <w:rFonts w:ascii="Arial" w:cs="Arial" w:eastAsia="Arial" w:hAnsi="Arial"/>
                <w:sz w:val="13"/>
                <w:szCs w:val="13"/>
                <w:color w:val="auto"/>
              </w:rPr>
              <w:t>267,216</w:t>
            </w:r>
          </w:p>
        </w:tc>
        <w:tc>
          <w:tcPr>
            <w:tcW w:w="5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42,192</w:t>
            </w:r>
          </w:p>
        </w:tc>
        <w:tc>
          <w:tcPr>
            <w:tcW w:w="60" w:type="dxa"/>
            <w:vAlign w:val="bottom"/>
          </w:tcPr>
          <w:p>
            <w:pPr>
              <w:spacing w:after="0"/>
              <w:rPr>
                <w:sz w:val="13"/>
                <w:szCs w:val="13"/>
                <w:color w:val="auto"/>
              </w:rPr>
            </w:pP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217"/>
              <w:spacing w:after="0"/>
              <w:rPr>
                <w:sz w:val="20"/>
                <w:szCs w:val="20"/>
                <w:color w:val="auto"/>
              </w:rPr>
            </w:pPr>
            <w:r>
              <w:rPr>
                <w:rFonts w:ascii="Arial" w:cs="Arial" w:eastAsia="Arial" w:hAnsi="Arial"/>
                <w:sz w:val="13"/>
                <w:szCs w:val="13"/>
                <w:color w:val="auto"/>
                <w:w w:val="93"/>
              </w:rPr>
              <w:t>(5,934,491)</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(686,816)</w:t>
            </w:r>
          </w:p>
        </w:tc>
        <w:tc>
          <w:tcPr>
            <w:tcW w:w="60" w:type="dxa"/>
            <w:vAlign w:val="bottom"/>
          </w:tcPr>
          <w:p>
            <w:pPr>
              <w:spacing w:after="0"/>
              <w:rPr>
                <w:sz w:val="13"/>
                <w:szCs w:val="13"/>
                <w:color w:val="auto"/>
              </w:rPr>
            </w:pPr>
          </w:p>
        </w:tc>
        <w:tc>
          <w:tcPr>
            <w:tcW w:w="16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57"/>
              <w:spacing w:after="0"/>
              <w:rPr>
                <w:sz w:val="20"/>
                <w:szCs w:val="20"/>
                <w:color w:val="auto"/>
              </w:rPr>
            </w:pPr>
            <w:r>
              <w:rPr>
                <w:rFonts w:ascii="Arial" w:cs="Arial" w:eastAsia="Arial" w:hAnsi="Arial"/>
                <w:sz w:val="13"/>
                <w:szCs w:val="13"/>
                <w:color w:val="auto"/>
              </w:rPr>
              <w:t>(344,240)</w:t>
            </w:r>
          </w:p>
        </w:tc>
        <w:tc>
          <w:tcPr>
            <w:tcW w:w="5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(52,376)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80" w:type="dxa"/>
            <w:vAlign w:val="bottom"/>
          </w:tcPr>
          <w:p>
            <w:pPr>
              <w:ind w:left="80"/>
              <w:spacing w:after="0" w:line="135" w:lineRule="exact"/>
              <w:rPr>
                <w:sz w:val="20"/>
                <w:szCs w:val="20"/>
                <w:color w:val="auto"/>
              </w:rPr>
            </w:pPr>
            <w:r>
              <w:rPr>
                <w:rFonts w:ascii="Arial" w:cs="Arial" w:eastAsia="Arial" w:hAnsi="Arial"/>
                <w:sz w:val="13"/>
                <w:szCs w:val="13"/>
                <w:color w:val="auto"/>
              </w:rPr>
              <w:t>Outstanding Unvested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80" w:type="dxa"/>
            <w:vAlign w:val="bottom"/>
          </w:tcPr>
          <w:p>
            <w:pPr>
              <w:ind w:left="80"/>
              <w:spacing w:after="0" w:line="135" w:lineRule="exact"/>
              <w:rPr>
                <w:sz w:val="20"/>
                <w:szCs w:val="20"/>
                <w:color w:val="auto"/>
              </w:rPr>
            </w:pPr>
            <w:r>
              <w:rPr>
                <w:rFonts w:ascii="Arial" w:cs="Arial" w:eastAsia="Arial" w:hAnsi="Arial"/>
                <w:sz w:val="13"/>
                <w:szCs w:val="13"/>
                <w:color w:val="auto"/>
              </w:rPr>
              <w:t>Awards Granted in Prior</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680" w:type="dxa"/>
            <w:vAlign w:val="bottom"/>
          </w:tcPr>
          <w:p>
            <w:pPr>
              <w:ind w:left="80"/>
              <w:spacing w:after="0"/>
              <w:rPr>
                <w:sz w:val="20"/>
                <w:szCs w:val="20"/>
                <w:color w:val="auto"/>
              </w:rPr>
            </w:pPr>
            <w:r>
              <w:rPr>
                <w:rFonts w:ascii="Arial" w:cs="Arial" w:eastAsia="Arial" w:hAnsi="Arial"/>
                <w:sz w:val="13"/>
                <w:szCs w:val="13"/>
                <w:color w:val="auto"/>
              </w:rPr>
              <w:t>Fiscal Years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1680" w:type="dxa"/>
            <w:vAlign w:val="bottom"/>
            <w:tcBorders>
              <w:bottom w:val="single" w:sz="8" w:color="808080"/>
            </w:tcBorders>
          </w:tcPr>
          <w:p>
            <w:pPr>
              <w:spacing w:after="0"/>
              <w:rPr>
                <w:sz w:val="2"/>
                <w:szCs w:val="2"/>
                <w:color w:val="auto"/>
              </w:rPr>
            </w:pPr>
          </w:p>
        </w:tc>
        <w:tc>
          <w:tcPr>
            <w:tcW w:w="160" w:type="dxa"/>
            <w:vAlign w:val="bottom"/>
            <w:tcBorders>
              <w:bottom w:val="single" w:sz="8" w:color="808080"/>
            </w:tcBorders>
            <w:gridSpan w:val="2"/>
          </w:tcPr>
          <w:p>
            <w:pPr>
              <w:spacing w:after="0"/>
              <w:rPr>
                <w:sz w:val="2"/>
                <w:szCs w:val="2"/>
                <w:color w:val="auto"/>
              </w:rPr>
            </w:pPr>
          </w:p>
        </w:tc>
        <w:tc>
          <w:tcPr>
            <w:tcW w:w="940" w:type="dxa"/>
            <w:vAlign w:val="bottom"/>
            <w:tcBorders>
              <w:bottom w:val="single" w:sz="8" w:color="808080"/>
            </w:tcBorders>
          </w:tcPr>
          <w:p>
            <w:pPr>
              <w:spacing w:after="0"/>
              <w:rPr>
                <w:sz w:val="2"/>
                <w:szCs w:val="2"/>
                <w:color w:val="auto"/>
              </w:rPr>
            </w:pPr>
          </w:p>
        </w:tc>
        <w:tc>
          <w:tcPr>
            <w:tcW w:w="580" w:type="dxa"/>
            <w:vAlign w:val="bottom"/>
            <w:tcBorders>
              <w:bottom w:val="single" w:sz="8" w:color="808080"/>
            </w:tcBorders>
          </w:tcPr>
          <w:p>
            <w:pPr>
              <w:spacing w:after="0"/>
              <w:rPr>
                <w:sz w:val="2"/>
                <w:szCs w:val="2"/>
                <w:color w:val="auto"/>
              </w:rPr>
            </w:pPr>
          </w:p>
        </w:tc>
        <w:tc>
          <w:tcPr>
            <w:tcW w:w="560" w:type="dxa"/>
            <w:vAlign w:val="bottom"/>
            <w:tcBorders>
              <w:bottom w:val="single" w:sz="8" w:color="808080"/>
            </w:tcBorders>
          </w:tcPr>
          <w:p>
            <w:pPr>
              <w:spacing w:after="0"/>
              <w:rPr>
                <w:sz w:val="2"/>
                <w:szCs w:val="2"/>
                <w:color w:val="auto"/>
              </w:rPr>
            </w:pPr>
          </w:p>
        </w:tc>
        <w:tc>
          <w:tcPr>
            <w:tcW w:w="60" w:type="dxa"/>
            <w:vAlign w:val="bottom"/>
            <w:tcBorders>
              <w:bottom w:val="single" w:sz="8" w:color="808080"/>
            </w:tcBorders>
          </w:tcPr>
          <w:p>
            <w:pPr>
              <w:spacing w:after="0"/>
              <w:rPr>
                <w:sz w:val="2"/>
                <w:szCs w:val="2"/>
                <w:color w:val="auto"/>
              </w:rPr>
            </w:pPr>
          </w:p>
        </w:tc>
        <w:tc>
          <w:tcPr>
            <w:tcW w:w="120" w:type="dxa"/>
            <w:vAlign w:val="bottom"/>
            <w:tcBorders>
              <w:bottom w:val="single" w:sz="8" w:color="808080"/>
            </w:tcBorders>
            <w:gridSpan w:val="2"/>
          </w:tcPr>
          <w:p>
            <w:pPr>
              <w:spacing w:after="0"/>
              <w:rPr>
                <w:sz w:val="2"/>
                <w:szCs w:val="2"/>
                <w:color w:val="auto"/>
              </w:rPr>
            </w:pPr>
          </w:p>
        </w:tc>
        <w:tc>
          <w:tcPr>
            <w:tcW w:w="92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60" w:type="dxa"/>
            <w:vAlign w:val="bottom"/>
            <w:tcBorders>
              <w:bottom w:val="single" w:sz="8" w:color="808080"/>
            </w:tcBorders>
          </w:tcPr>
          <w:p>
            <w:pPr>
              <w:spacing w:after="0"/>
              <w:rPr>
                <w:sz w:val="2"/>
                <w:szCs w:val="2"/>
                <w:color w:val="auto"/>
              </w:rPr>
            </w:pPr>
          </w:p>
        </w:tc>
        <w:tc>
          <w:tcPr>
            <w:tcW w:w="160" w:type="dxa"/>
            <w:vAlign w:val="bottom"/>
            <w:tcBorders>
              <w:bottom w:val="single" w:sz="8" w:color="808080"/>
            </w:tcBorders>
            <w:gridSpan w:val="2"/>
          </w:tcPr>
          <w:p>
            <w:pPr>
              <w:spacing w:after="0"/>
              <w:rPr>
                <w:sz w:val="2"/>
                <w:szCs w:val="2"/>
                <w:color w:val="auto"/>
              </w:rPr>
            </w:pPr>
          </w:p>
        </w:tc>
        <w:tc>
          <w:tcPr>
            <w:tcW w:w="820" w:type="dxa"/>
            <w:vAlign w:val="bottom"/>
            <w:tcBorders>
              <w:bottom w:val="single" w:sz="8" w:color="808080"/>
            </w:tcBorders>
          </w:tcPr>
          <w:p>
            <w:pPr>
              <w:spacing w:after="0"/>
              <w:rPr>
                <w:sz w:val="2"/>
                <w:szCs w:val="2"/>
                <w:color w:val="auto"/>
              </w:rPr>
            </w:pPr>
          </w:p>
        </w:tc>
        <w:tc>
          <w:tcPr>
            <w:tcW w:w="500" w:type="dxa"/>
            <w:vAlign w:val="bottom"/>
            <w:tcBorders>
              <w:bottom w:val="single" w:sz="8" w:color="808080"/>
            </w:tcBorders>
          </w:tcPr>
          <w:p>
            <w:pPr>
              <w:spacing w:after="0"/>
              <w:rPr>
                <w:sz w:val="2"/>
                <w:szCs w:val="2"/>
                <w:color w:val="auto"/>
              </w:rPr>
            </w:pPr>
          </w:p>
        </w:tc>
        <w:tc>
          <w:tcPr>
            <w:tcW w:w="640" w:type="dxa"/>
            <w:vAlign w:val="bottom"/>
            <w:tcBorders>
              <w:bottom w:val="single" w:sz="8" w:color="808080"/>
            </w:tcBorders>
          </w:tcPr>
          <w:p>
            <w:pPr>
              <w:spacing w:after="0"/>
              <w:rPr>
                <w:sz w:val="2"/>
                <w:szCs w:val="2"/>
                <w:color w:val="auto"/>
              </w:rPr>
            </w:pPr>
          </w:p>
        </w:tc>
        <w:tc>
          <w:tcPr>
            <w:tcW w:w="8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1680" w:type="dxa"/>
            <w:vAlign w:val="bottom"/>
          </w:tcPr>
          <w:p>
            <w:pPr>
              <w:ind w:left="80"/>
              <w:spacing w:after="0"/>
              <w:rPr>
                <w:sz w:val="20"/>
                <w:szCs w:val="20"/>
                <w:color w:val="auto"/>
              </w:rPr>
            </w:pPr>
            <w:r>
              <w:rPr>
                <w:rFonts w:ascii="Arial" w:cs="Arial" w:eastAsia="Arial" w:hAnsi="Arial"/>
                <w:sz w:val="13"/>
                <w:szCs w:val="13"/>
                <w:color w:val="auto"/>
              </w:rPr>
              <w:t>Change in Fair Value of</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277"/>
              <w:spacing w:after="0"/>
              <w:rPr>
                <w:sz w:val="20"/>
                <w:szCs w:val="20"/>
                <w:color w:val="auto"/>
              </w:rPr>
            </w:pPr>
            <w:r>
              <w:rPr>
                <w:rFonts w:ascii="Arial" w:cs="Arial" w:eastAsia="Arial" w:hAnsi="Arial"/>
                <w:sz w:val="13"/>
                <w:szCs w:val="13"/>
                <w:color w:val="auto"/>
              </w:rPr>
              <w:t>44,121</w:t>
            </w:r>
          </w:p>
        </w:tc>
        <w:tc>
          <w:tcPr>
            <w:tcW w:w="5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(5,655)</w:t>
            </w:r>
          </w:p>
        </w:tc>
        <w:tc>
          <w:tcPr>
            <w:tcW w:w="60" w:type="dxa"/>
            <w:vAlign w:val="bottom"/>
          </w:tcPr>
          <w:p>
            <w:pPr>
              <w:spacing w:after="0"/>
              <w:rPr>
                <w:sz w:val="13"/>
                <w:szCs w:val="13"/>
                <w:color w:val="auto"/>
              </w:rPr>
            </w:pP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257"/>
              <w:spacing w:after="0"/>
              <w:rPr>
                <w:sz w:val="20"/>
                <w:szCs w:val="20"/>
                <w:color w:val="auto"/>
              </w:rPr>
            </w:pPr>
            <w:r>
              <w:rPr>
                <w:rFonts w:ascii="Arial" w:cs="Arial" w:eastAsia="Arial" w:hAnsi="Arial"/>
                <w:sz w:val="13"/>
                <w:szCs w:val="13"/>
                <w:color w:val="auto"/>
              </w:rPr>
              <w:t>112,701</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42,280</w:t>
            </w:r>
          </w:p>
        </w:tc>
        <w:tc>
          <w:tcPr>
            <w:tcW w:w="60" w:type="dxa"/>
            <w:vAlign w:val="bottom"/>
          </w:tcPr>
          <w:p>
            <w:pPr>
              <w:spacing w:after="0"/>
              <w:rPr>
                <w:sz w:val="13"/>
                <w:szCs w:val="13"/>
                <w:color w:val="auto"/>
              </w:rPr>
            </w:pPr>
          </w:p>
        </w:tc>
        <w:tc>
          <w:tcPr>
            <w:tcW w:w="16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217"/>
              <w:spacing w:after="0"/>
              <w:rPr>
                <w:sz w:val="20"/>
                <w:szCs w:val="20"/>
                <w:color w:val="auto"/>
              </w:rPr>
            </w:pPr>
            <w:r>
              <w:rPr>
                <w:rFonts w:ascii="Arial" w:cs="Arial" w:eastAsia="Arial" w:hAnsi="Arial"/>
                <w:sz w:val="13"/>
                <w:szCs w:val="13"/>
                <w:color w:val="auto"/>
              </w:rPr>
              <w:t>177,917</w:t>
            </w:r>
          </w:p>
        </w:tc>
        <w:tc>
          <w:tcPr>
            <w:tcW w:w="5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77"/>
              <w:spacing w:after="0"/>
              <w:rPr>
                <w:sz w:val="20"/>
                <w:szCs w:val="20"/>
                <w:color w:val="auto"/>
              </w:rPr>
            </w:pPr>
            <w:r>
              <w:rPr>
                <w:rFonts w:ascii="Arial" w:cs="Arial" w:eastAsia="Arial" w:hAnsi="Arial"/>
                <w:sz w:val="13"/>
                <w:szCs w:val="13"/>
                <w:color w:val="auto"/>
              </w:rPr>
              <w:t>40,133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80" w:type="dxa"/>
            <w:vAlign w:val="bottom"/>
          </w:tcPr>
          <w:p>
            <w:pPr>
              <w:ind w:left="80"/>
              <w:spacing w:after="0" w:line="135" w:lineRule="exact"/>
              <w:rPr>
                <w:sz w:val="20"/>
                <w:szCs w:val="20"/>
                <w:color w:val="auto"/>
              </w:rPr>
            </w:pPr>
            <w:r>
              <w:rPr>
                <w:rFonts w:ascii="Arial" w:cs="Arial" w:eastAsia="Arial" w:hAnsi="Arial"/>
                <w:sz w:val="13"/>
                <w:szCs w:val="13"/>
                <w:color w:val="auto"/>
              </w:rPr>
              <w:t>Stock Awards Vested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680" w:type="dxa"/>
            <w:vAlign w:val="bottom"/>
          </w:tcPr>
          <w:p>
            <w:pPr>
              <w:ind w:left="80"/>
              <w:spacing w:after="0"/>
              <w:rPr>
                <w:sz w:val="20"/>
                <w:szCs w:val="20"/>
                <w:color w:val="auto"/>
              </w:rPr>
            </w:pPr>
            <w:r>
              <w:rPr>
                <w:rFonts w:ascii="Arial" w:cs="Arial" w:eastAsia="Arial" w:hAnsi="Arial"/>
                <w:sz w:val="13"/>
                <w:szCs w:val="13"/>
                <w:color w:val="auto"/>
              </w:rPr>
              <w:t>During the Fiscal Year</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1680" w:type="dxa"/>
            <w:vAlign w:val="bottom"/>
            <w:tcBorders>
              <w:bottom w:val="single" w:sz="8" w:color="808080"/>
            </w:tcBorders>
          </w:tcPr>
          <w:p>
            <w:pPr>
              <w:spacing w:after="0"/>
              <w:rPr>
                <w:sz w:val="2"/>
                <w:szCs w:val="2"/>
                <w:color w:val="auto"/>
              </w:rPr>
            </w:pPr>
          </w:p>
        </w:tc>
        <w:tc>
          <w:tcPr>
            <w:tcW w:w="160" w:type="dxa"/>
            <w:vAlign w:val="bottom"/>
            <w:tcBorders>
              <w:bottom w:val="single" w:sz="8" w:color="808080"/>
            </w:tcBorders>
            <w:gridSpan w:val="2"/>
          </w:tcPr>
          <w:p>
            <w:pPr>
              <w:spacing w:after="0"/>
              <w:rPr>
                <w:sz w:val="2"/>
                <w:szCs w:val="2"/>
                <w:color w:val="auto"/>
              </w:rPr>
            </w:pPr>
          </w:p>
        </w:tc>
        <w:tc>
          <w:tcPr>
            <w:tcW w:w="940" w:type="dxa"/>
            <w:vAlign w:val="bottom"/>
            <w:tcBorders>
              <w:bottom w:val="single" w:sz="8" w:color="808080"/>
            </w:tcBorders>
          </w:tcPr>
          <w:p>
            <w:pPr>
              <w:spacing w:after="0"/>
              <w:rPr>
                <w:sz w:val="2"/>
                <w:szCs w:val="2"/>
                <w:color w:val="auto"/>
              </w:rPr>
            </w:pPr>
          </w:p>
        </w:tc>
        <w:tc>
          <w:tcPr>
            <w:tcW w:w="580" w:type="dxa"/>
            <w:vAlign w:val="bottom"/>
            <w:tcBorders>
              <w:bottom w:val="single" w:sz="8" w:color="808080"/>
            </w:tcBorders>
          </w:tcPr>
          <w:p>
            <w:pPr>
              <w:spacing w:after="0"/>
              <w:rPr>
                <w:sz w:val="2"/>
                <w:szCs w:val="2"/>
                <w:color w:val="auto"/>
              </w:rPr>
            </w:pPr>
          </w:p>
        </w:tc>
        <w:tc>
          <w:tcPr>
            <w:tcW w:w="560" w:type="dxa"/>
            <w:vAlign w:val="bottom"/>
            <w:tcBorders>
              <w:bottom w:val="single" w:sz="8" w:color="808080"/>
            </w:tcBorders>
          </w:tcPr>
          <w:p>
            <w:pPr>
              <w:spacing w:after="0"/>
              <w:rPr>
                <w:sz w:val="2"/>
                <w:szCs w:val="2"/>
                <w:color w:val="auto"/>
              </w:rPr>
            </w:pPr>
          </w:p>
        </w:tc>
        <w:tc>
          <w:tcPr>
            <w:tcW w:w="60" w:type="dxa"/>
            <w:vAlign w:val="bottom"/>
            <w:tcBorders>
              <w:bottom w:val="single" w:sz="8" w:color="808080"/>
            </w:tcBorders>
          </w:tcPr>
          <w:p>
            <w:pPr>
              <w:spacing w:after="0"/>
              <w:rPr>
                <w:sz w:val="2"/>
                <w:szCs w:val="2"/>
                <w:color w:val="auto"/>
              </w:rPr>
            </w:pPr>
          </w:p>
        </w:tc>
        <w:tc>
          <w:tcPr>
            <w:tcW w:w="120" w:type="dxa"/>
            <w:vAlign w:val="bottom"/>
            <w:tcBorders>
              <w:bottom w:val="single" w:sz="8" w:color="808080"/>
            </w:tcBorders>
            <w:gridSpan w:val="2"/>
          </w:tcPr>
          <w:p>
            <w:pPr>
              <w:spacing w:after="0"/>
              <w:rPr>
                <w:sz w:val="2"/>
                <w:szCs w:val="2"/>
                <w:color w:val="auto"/>
              </w:rPr>
            </w:pPr>
          </w:p>
        </w:tc>
        <w:tc>
          <w:tcPr>
            <w:tcW w:w="92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60" w:type="dxa"/>
            <w:vAlign w:val="bottom"/>
            <w:tcBorders>
              <w:bottom w:val="single" w:sz="8" w:color="808080"/>
            </w:tcBorders>
          </w:tcPr>
          <w:p>
            <w:pPr>
              <w:spacing w:after="0"/>
              <w:rPr>
                <w:sz w:val="2"/>
                <w:szCs w:val="2"/>
                <w:color w:val="auto"/>
              </w:rPr>
            </w:pPr>
          </w:p>
        </w:tc>
        <w:tc>
          <w:tcPr>
            <w:tcW w:w="160" w:type="dxa"/>
            <w:vAlign w:val="bottom"/>
            <w:tcBorders>
              <w:bottom w:val="single" w:sz="8" w:color="808080"/>
            </w:tcBorders>
            <w:gridSpan w:val="2"/>
          </w:tcPr>
          <w:p>
            <w:pPr>
              <w:spacing w:after="0"/>
              <w:rPr>
                <w:sz w:val="2"/>
                <w:szCs w:val="2"/>
                <w:color w:val="auto"/>
              </w:rPr>
            </w:pPr>
          </w:p>
        </w:tc>
        <w:tc>
          <w:tcPr>
            <w:tcW w:w="820" w:type="dxa"/>
            <w:vAlign w:val="bottom"/>
            <w:tcBorders>
              <w:bottom w:val="single" w:sz="8" w:color="808080"/>
            </w:tcBorders>
          </w:tcPr>
          <w:p>
            <w:pPr>
              <w:spacing w:after="0"/>
              <w:rPr>
                <w:sz w:val="2"/>
                <w:szCs w:val="2"/>
                <w:color w:val="auto"/>
              </w:rPr>
            </w:pPr>
          </w:p>
        </w:tc>
        <w:tc>
          <w:tcPr>
            <w:tcW w:w="500" w:type="dxa"/>
            <w:vAlign w:val="bottom"/>
            <w:tcBorders>
              <w:bottom w:val="single" w:sz="8" w:color="808080"/>
            </w:tcBorders>
          </w:tcPr>
          <w:p>
            <w:pPr>
              <w:spacing w:after="0"/>
              <w:rPr>
                <w:sz w:val="2"/>
                <w:szCs w:val="2"/>
                <w:color w:val="auto"/>
              </w:rPr>
            </w:pPr>
          </w:p>
        </w:tc>
        <w:tc>
          <w:tcPr>
            <w:tcW w:w="640" w:type="dxa"/>
            <w:vAlign w:val="bottom"/>
            <w:tcBorders>
              <w:bottom w:val="single" w:sz="8" w:color="808080"/>
            </w:tcBorders>
          </w:tcPr>
          <w:p>
            <w:pPr>
              <w:spacing w:after="0"/>
              <w:rPr>
                <w:sz w:val="2"/>
                <w:szCs w:val="2"/>
                <w:color w:val="auto"/>
              </w:rPr>
            </w:pPr>
          </w:p>
        </w:tc>
        <w:tc>
          <w:tcPr>
            <w:tcW w:w="8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1680" w:type="dxa"/>
            <w:vAlign w:val="bottom"/>
          </w:tcPr>
          <w:p>
            <w:pPr>
              <w:ind w:left="80"/>
              <w:spacing w:after="0"/>
              <w:rPr>
                <w:sz w:val="20"/>
                <w:szCs w:val="20"/>
                <w:color w:val="auto"/>
              </w:rPr>
            </w:pPr>
            <w:r>
              <w:rPr>
                <w:rFonts w:ascii="Arial" w:cs="Arial" w:eastAsia="Arial" w:hAnsi="Arial"/>
                <w:sz w:val="13"/>
                <w:szCs w:val="13"/>
                <w:color w:val="auto"/>
                <w:w w:val="98"/>
              </w:rPr>
              <w:t>Fair Value as of Prior Fiscal</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257"/>
              <w:spacing w:after="0"/>
              <w:rPr>
                <w:sz w:val="20"/>
                <w:szCs w:val="20"/>
                <w:color w:val="auto"/>
              </w:rPr>
            </w:pPr>
            <w:r>
              <w:rPr>
                <w:rFonts w:ascii="Arial" w:cs="Arial" w:eastAsia="Arial" w:hAnsi="Arial"/>
                <w:sz w:val="13"/>
                <w:szCs w:val="13"/>
                <w:color w:val="auto"/>
              </w:rPr>
              <w:t>0</w:t>
            </w:r>
          </w:p>
        </w:tc>
        <w:tc>
          <w:tcPr>
            <w:tcW w:w="5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0</w:t>
            </w:r>
          </w:p>
        </w:tc>
        <w:tc>
          <w:tcPr>
            <w:tcW w:w="60" w:type="dxa"/>
            <w:vAlign w:val="bottom"/>
          </w:tcPr>
          <w:p>
            <w:pPr>
              <w:spacing w:after="0"/>
              <w:rPr>
                <w:sz w:val="13"/>
                <w:szCs w:val="13"/>
                <w:color w:val="auto"/>
              </w:rPr>
            </w:pP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257"/>
              <w:spacing w:after="0"/>
              <w:rPr>
                <w:sz w:val="20"/>
                <w:szCs w:val="20"/>
                <w:color w:val="auto"/>
              </w:rPr>
            </w:pPr>
            <w:r>
              <w:rPr>
                <w:rFonts w:ascii="Arial" w:cs="Arial" w:eastAsia="Arial" w:hAnsi="Arial"/>
                <w:sz w:val="13"/>
                <w:szCs w:val="13"/>
                <w:color w:val="auto"/>
              </w:rPr>
              <w:t>0</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(147,114)</w:t>
            </w:r>
          </w:p>
        </w:tc>
        <w:tc>
          <w:tcPr>
            <w:tcW w:w="60" w:type="dxa"/>
            <w:vAlign w:val="bottom"/>
          </w:tcPr>
          <w:p>
            <w:pPr>
              <w:spacing w:after="0"/>
              <w:rPr>
                <w:sz w:val="13"/>
                <w:szCs w:val="13"/>
                <w:color w:val="auto"/>
              </w:rPr>
            </w:pPr>
          </w:p>
        </w:tc>
        <w:tc>
          <w:tcPr>
            <w:tcW w:w="16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97"/>
              <w:spacing w:after="0"/>
              <w:rPr>
                <w:sz w:val="20"/>
                <w:szCs w:val="20"/>
                <w:color w:val="auto"/>
              </w:rPr>
            </w:pPr>
            <w:r>
              <w:rPr>
                <w:rFonts w:ascii="Arial" w:cs="Arial" w:eastAsia="Arial" w:hAnsi="Arial"/>
                <w:sz w:val="13"/>
                <w:szCs w:val="13"/>
                <w:color w:val="auto"/>
              </w:rPr>
              <w:t>0</w:t>
            </w:r>
          </w:p>
        </w:tc>
        <w:tc>
          <w:tcPr>
            <w:tcW w:w="5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77"/>
              <w:spacing w:after="0"/>
              <w:rPr>
                <w:sz w:val="20"/>
                <w:szCs w:val="20"/>
                <w:color w:val="auto"/>
              </w:rPr>
            </w:pPr>
            <w:r>
              <w:rPr>
                <w:rFonts w:ascii="Arial" w:cs="Arial" w:eastAsia="Arial" w:hAnsi="Arial"/>
                <w:sz w:val="13"/>
                <w:szCs w:val="13"/>
                <w:color w:val="auto"/>
              </w:rPr>
              <w:t>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80" w:type="dxa"/>
            <w:vAlign w:val="bottom"/>
          </w:tcPr>
          <w:p>
            <w:pPr>
              <w:ind w:left="80"/>
              <w:spacing w:after="0" w:line="135" w:lineRule="exact"/>
              <w:rPr>
                <w:sz w:val="20"/>
                <w:szCs w:val="20"/>
                <w:color w:val="auto"/>
              </w:rPr>
            </w:pPr>
            <w:r>
              <w:rPr>
                <w:rFonts w:ascii="Arial" w:cs="Arial" w:eastAsia="Arial" w:hAnsi="Arial"/>
                <w:sz w:val="13"/>
                <w:szCs w:val="13"/>
                <w:color w:val="auto"/>
              </w:rPr>
              <w:t>Year-End of Unvested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80" w:type="dxa"/>
            <w:vAlign w:val="bottom"/>
          </w:tcPr>
          <w:p>
            <w:pPr>
              <w:ind w:left="80"/>
              <w:spacing w:after="0" w:line="135" w:lineRule="exact"/>
              <w:rPr>
                <w:sz w:val="20"/>
                <w:szCs w:val="20"/>
                <w:color w:val="auto"/>
              </w:rPr>
            </w:pPr>
            <w:r>
              <w:rPr>
                <w:rFonts w:ascii="Arial" w:cs="Arial" w:eastAsia="Arial" w:hAnsi="Arial"/>
                <w:sz w:val="13"/>
                <w:szCs w:val="13"/>
                <w:color w:val="auto"/>
              </w:rPr>
              <w:t>Awards Granted in Prior</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680" w:type="dxa"/>
            <w:vAlign w:val="bottom"/>
          </w:tcPr>
          <w:p>
            <w:pPr>
              <w:ind w:left="80"/>
              <w:spacing w:after="0"/>
              <w:rPr>
                <w:sz w:val="20"/>
                <w:szCs w:val="20"/>
                <w:color w:val="auto"/>
              </w:rPr>
            </w:pPr>
            <w:r>
              <w:rPr>
                <w:rFonts w:ascii="Arial" w:cs="Arial" w:eastAsia="Arial" w:hAnsi="Arial"/>
                <w:sz w:val="13"/>
                <w:szCs w:val="13"/>
                <w:color w:val="auto"/>
              </w:rPr>
              <w:t>Fiscal Years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1680" w:type="dxa"/>
            <w:vAlign w:val="bottom"/>
            <w:tcBorders>
              <w:bottom w:val="single" w:sz="8" w:color="808080"/>
            </w:tcBorders>
          </w:tcPr>
          <w:p>
            <w:pPr>
              <w:spacing w:after="0"/>
              <w:rPr>
                <w:sz w:val="2"/>
                <w:szCs w:val="2"/>
                <w:color w:val="auto"/>
              </w:rPr>
            </w:pPr>
          </w:p>
        </w:tc>
        <w:tc>
          <w:tcPr>
            <w:tcW w:w="160" w:type="dxa"/>
            <w:vAlign w:val="bottom"/>
            <w:tcBorders>
              <w:bottom w:val="single" w:sz="8" w:color="808080"/>
            </w:tcBorders>
            <w:gridSpan w:val="2"/>
          </w:tcPr>
          <w:p>
            <w:pPr>
              <w:spacing w:after="0"/>
              <w:rPr>
                <w:sz w:val="2"/>
                <w:szCs w:val="2"/>
                <w:color w:val="auto"/>
              </w:rPr>
            </w:pPr>
          </w:p>
        </w:tc>
        <w:tc>
          <w:tcPr>
            <w:tcW w:w="940" w:type="dxa"/>
            <w:vAlign w:val="bottom"/>
            <w:tcBorders>
              <w:bottom w:val="single" w:sz="8" w:color="808080"/>
            </w:tcBorders>
          </w:tcPr>
          <w:p>
            <w:pPr>
              <w:spacing w:after="0"/>
              <w:rPr>
                <w:sz w:val="2"/>
                <w:szCs w:val="2"/>
                <w:color w:val="auto"/>
              </w:rPr>
            </w:pPr>
          </w:p>
        </w:tc>
        <w:tc>
          <w:tcPr>
            <w:tcW w:w="1140" w:type="dxa"/>
            <w:vAlign w:val="bottom"/>
            <w:tcBorders>
              <w:bottom w:val="single" w:sz="8" w:color="808080"/>
            </w:tcBorders>
            <w:gridSpan w:val="2"/>
          </w:tcPr>
          <w:p>
            <w:pPr>
              <w:spacing w:after="0"/>
              <w:rPr>
                <w:sz w:val="2"/>
                <w:szCs w:val="2"/>
                <w:color w:val="auto"/>
              </w:rPr>
            </w:pPr>
          </w:p>
        </w:tc>
        <w:tc>
          <w:tcPr>
            <w:tcW w:w="60" w:type="dxa"/>
            <w:vAlign w:val="bottom"/>
            <w:tcBorders>
              <w:bottom w:val="single" w:sz="8" w:color="808080"/>
            </w:tcBorders>
          </w:tcPr>
          <w:p>
            <w:pPr>
              <w:spacing w:after="0"/>
              <w:rPr>
                <w:sz w:val="2"/>
                <w:szCs w:val="2"/>
                <w:color w:val="auto"/>
              </w:rPr>
            </w:pPr>
          </w:p>
        </w:tc>
        <w:tc>
          <w:tcPr>
            <w:tcW w:w="120" w:type="dxa"/>
            <w:vAlign w:val="bottom"/>
            <w:tcBorders>
              <w:bottom w:val="single" w:sz="8" w:color="808080"/>
            </w:tcBorders>
            <w:gridSpan w:val="2"/>
          </w:tcPr>
          <w:p>
            <w:pPr>
              <w:spacing w:after="0"/>
              <w:rPr>
                <w:sz w:val="2"/>
                <w:szCs w:val="2"/>
                <w:color w:val="auto"/>
              </w:rPr>
            </w:pPr>
          </w:p>
        </w:tc>
        <w:tc>
          <w:tcPr>
            <w:tcW w:w="92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60" w:type="dxa"/>
            <w:vAlign w:val="bottom"/>
            <w:tcBorders>
              <w:bottom w:val="single" w:sz="8" w:color="808080"/>
            </w:tcBorders>
          </w:tcPr>
          <w:p>
            <w:pPr>
              <w:spacing w:after="0"/>
              <w:rPr>
                <w:sz w:val="2"/>
                <w:szCs w:val="2"/>
                <w:color w:val="auto"/>
              </w:rPr>
            </w:pPr>
          </w:p>
        </w:tc>
        <w:tc>
          <w:tcPr>
            <w:tcW w:w="980" w:type="dxa"/>
            <w:vAlign w:val="bottom"/>
            <w:tcBorders>
              <w:bottom w:val="single" w:sz="8" w:color="808080"/>
            </w:tcBorders>
            <w:gridSpan w:val="3"/>
          </w:tcPr>
          <w:p>
            <w:pPr>
              <w:spacing w:after="0"/>
              <w:rPr>
                <w:sz w:val="2"/>
                <w:szCs w:val="2"/>
                <w:color w:val="auto"/>
              </w:rPr>
            </w:pPr>
          </w:p>
        </w:tc>
        <w:tc>
          <w:tcPr>
            <w:tcW w:w="1140" w:type="dxa"/>
            <w:vAlign w:val="bottom"/>
            <w:tcBorders>
              <w:bottom w:val="single" w:sz="8" w:color="808080"/>
            </w:tcBorders>
            <w:gridSpan w:val="2"/>
          </w:tcPr>
          <w:p>
            <w:pPr>
              <w:spacing w:after="0"/>
              <w:rPr>
                <w:sz w:val="2"/>
                <w:szCs w:val="2"/>
                <w:color w:val="auto"/>
              </w:rPr>
            </w:pPr>
          </w:p>
        </w:tc>
        <w:tc>
          <w:tcPr>
            <w:tcW w:w="8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1680" w:type="dxa"/>
            <w:vAlign w:val="bottom"/>
          </w:tcPr>
          <w:p>
            <w:pPr>
              <w:ind w:left="80"/>
              <w:spacing w:after="0"/>
              <w:rPr>
                <w:sz w:val="20"/>
                <w:szCs w:val="20"/>
                <w:color w:val="auto"/>
              </w:rPr>
            </w:pPr>
            <w:r>
              <w:rPr>
                <w:rFonts w:ascii="Arial" w:cs="Arial" w:eastAsia="Arial" w:hAnsi="Arial"/>
                <w:sz w:val="13"/>
                <w:szCs w:val="13"/>
                <w:b w:val="1"/>
                <w:bCs w:val="1"/>
                <w:color w:val="auto"/>
              </w:rPr>
              <w:t>Compensation Actually</w:t>
            </w:r>
          </w:p>
        </w:tc>
        <w:tc>
          <w:tcPr>
            <w:tcW w:w="16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940" w:type="dxa"/>
            <w:vAlign w:val="bottom"/>
          </w:tcPr>
          <w:p>
            <w:pPr>
              <w:jc w:val="right"/>
              <w:ind w:right="257"/>
              <w:spacing w:after="0"/>
              <w:rPr>
                <w:sz w:val="20"/>
                <w:szCs w:val="20"/>
                <w:color w:val="auto"/>
              </w:rPr>
            </w:pPr>
            <w:r>
              <w:rPr>
                <w:rFonts w:ascii="Arial" w:cs="Arial" w:eastAsia="Arial" w:hAnsi="Arial"/>
                <w:sz w:val="13"/>
                <w:szCs w:val="13"/>
                <w:b w:val="1"/>
                <w:bCs w:val="1"/>
                <w:color w:val="auto"/>
                <w:w w:val="92"/>
              </w:rPr>
              <w:t>11,143,245</w:t>
            </w:r>
          </w:p>
        </w:tc>
        <w:tc>
          <w:tcPr>
            <w:tcW w:w="1140" w:type="dxa"/>
            <w:vAlign w:val="bottom"/>
            <w:gridSpan w:val="2"/>
          </w:tcPr>
          <w:p>
            <w:pPr>
              <w:jc w:val="right"/>
              <w:ind w:right="77"/>
              <w:spacing w:after="0"/>
              <w:rPr>
                <w:sz w:val="20"/>
                <w:szCs w:val="20"/>
                <w:color w:val="auto"/>
              </w:rPr>
            </w:pPr>
            <w:r>
              <w:rPr>
                <w:rFonts w:ascii="Arial" w:cs="Arial" w:eastAsia="Arial" w:hAnsi="Arial"/>
                <w:sz w:val="13"/>
                <w:szCs w:val="13"/>
                <w:b w:val="1"/>
                <w:bCs w:val="1"/>
                <w:color w:val="auto"/>
              </w:rPr>
              <w:t>$2,459,573</w:t>
            </w:r>
          </w:p>
        </w:tc>
        <w:tc>
          <w:tcPr>
            <w:tcW w:w="60" w:type="dxa"/>
            <w:vAlign w:val="bottom"/>
          </w:tcPr>
          <w:p>
            <w:pPr>
              <w:spacing w:after="0"/>
              <w:rPr>
                <w:sz w:val="13"/>
                <w:szCs w:val="13"/>
                <w:color w:val="auto"/>
              </w:rPr>
            </w:pPr>
          </w:p>
        </w:tc>
        <w:tc>
          <w:tcPr>
            <w:tcW w:w="12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920" w:type="dxa"/>
            <w:vAlign w:val="bottom"/>
          </w:tcPr>
          <w:p>
            <w:pPr>
              <w:jc w:val="right"/>
              <w:ind w:right="217"/>
              <w:spacing w:after="0"/>
              <w:rPr>
                <w:sz w:val="20"/>
                <w:szCs w:val="20"/>
                <w:color w:val="auto"/>
              </w:rPr>
            </w:pPr>
            <w:r>
              <w:rPr>
                <w:rFonts w:ascii="Arial" w:cs="Arial" w:eastAsia="Arial" w:hAnsi="Arial"/>
                <w:sz w:val="13"/>
                <w:szCs w:val="13"/>
                <w:b w:val="1"/>
                <w:bCs w:val="1"/>
                <w:color w:val="auto"/>
                <w:w w:val="93"/>
              </w:rPr>
              <w:t>(1,276,899)</w:t>
            </w:r>
          </w:p>
        </w:tc>
        <w:tc>
          <w:tcPr>
            <w:tcW w:w="4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60" w:type="dxa"/>
            <w:vAlign w:val="bottom"/>
          </w:tcPr>
          <w:p>
            <w:pPr>
              <w:jc w:val="right"/>
              <w:ind w:right="57"/>
              <w:spacing w:after="0"/>
              <w:rPr>
                <w:sz w:val="20"/>
                <w:szCs w:val="20"/>
                <w:color w:val="auto"/>
              </w:rPr>
            </w:pPr>
            <w:r>
              <w:rPr>
                <w:rFonts w:ascii="Arial" w:cs="Arial" w:eastAsia="Arial" w:hAnsi="Arial"/>
                <w:sz w:val="13"/>
                <w:szCs w:val="13"/>
                <w:b w:val="1"/>
                <w:bCs w:val="1"/>
                <w:color w:val="auto"/>
              </w:rPr>
              <w:t>535,986</w:t>
            </w:r>
          </w:p>
        </w:tc>
        <w:tc>
          <w:tcPr>
            <w:tcW w:w="60" w:type="dxa"/>
            <w:vAlign w:val="bottom"/>
          </w:tcPr>
          <w:p>
            <w:pPr>
              <w:spacing w:after="0"/>
              <w:rPr>
                <w:sz w:val="13"/>
                <w:szCs w:val="13"/>
                <w:color w:val="auto"/>
              </w:rPr>
            </w:pPr>
          </w:p>
        </w:tc>
        <w:tc>
          <w:tcPr>
            <w:tcW w:w="980" w:type="dxa"/>
            <w:vAlign w:val="bottom"/>
            <w:gridSpan w:val="3"/>
          </w:tcPr>
          <w:p>
            <w:pPr>
              <w:jc w:val="right"/>
              <w:ind w:right="197"/>
              <w:spacing w:after="0"/>
              <w:rPr>
                <w:sz w:val="20"/>
                <w:szCs w:val="20"/>
                <w:color w:val="auto"/>
              </w:rPr>
            </w:pPr>
            <w:r>
              <w:rPr>
                <w:rFonts w:ascii="Arial" w:cs="Arial" w:eastAsia="Arial" w:hAnsi="Arial"/>
                <w:sz w:val="13"/>
                <w:szCs w:val="13"/>
                <w:b w:val="1"/>
                <w:bCs w:val="1"/>
                <w:color w:val="auto"/>
              </w:rPr>
              <w:t>$7,419,886</w:t>
            </w:r>
          </w:p>
        </w:tc>
        <w:tc>
          <w:tcPr>
            <w:tcW w:w="1140" w:type="dxa"/>
            <w:vAlign w:val="bottom"/>
            <w:gridSpan w:val="2"/>
          </w:tcPr>
          <w:p>
            <w:pPr>
              <w:jc w:val="right"/>
              <w:ind w:right="77"/>
              <w:spacing w:after="0"/>
              <w:rPr>
                <w:sz w:val="20"/>
                <w:szCs w:val="20"/>
                <w:color w:val="auto"/>
              </w:rPr>
            </w:pPr>
            <w:r>
              <w:rPr>
                <w:rFonts w:ascii="Arial" w:cs="Arial" w:eastAsia="Arial" w:hAnsi="Arial"/>
                <w:sz w:val="13"/>
                <w:szCs w:val="13"/>
                <w:b w:val="1"/>
                <w:bCs w:val="1"/>
                <w:color w:val="auto"/>
              </w:rPr>
              <w:t>$1,980,117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680" w:type="dxa"/>
            <w:vAlign w:val="bottom"/>
            <w:tcBorders>
              <w:bottom w:val="single" w:sz="8" w:color="342C82"/>
            </w:tcBorders>
          </w:tcPr>
          <w:p>
            <w:pPr>
              <w:ind w:left="80"/>
              <w:spacing w:after="0"/>
              <w:rPr>
                <w:sz w:val="20"/>
                <w:szCs w:val="20"/>
                <w:color w:val="auto"/>
              </w:rPr>
            </w:pPr>
            <w:r>
              <w:rPr>
                <w:rFonts w:ascii="Arial" w:cs="Arial" w:eastAsia="Arial" w:hAnsi="Arial"/>
                <w:sz w:val="13"/>
                <w:szCs w:val="13"/>
                <w:b w:val="1"/>
                <w:bCs w:val="1"/>
                <w:color w:val="auto"/>
              </w:rPr>
              <w:t>Paid</w:t>
            </w:r>
          </w:p>
        </w:tc>
        <w:tc>
          <w:tcPr>
            <w:tcW w:w="80" w:type="dxa"/>
            <w:vAlign w:val="bottom"/>
            <w:tcBorders>
              <w:bottom w:val="single" w:sz="8" w:color="342C82"/>
            </w:tcBorders>
          </w:tcPr>
          <w:p>
            <w:pPr>
              <w:spacing w:after="0"/>
              <w:rPr>
                <w:sz w:val="15"/>
                <w:szCs w:val="15"/>
                <w:color w:val="auto"/>
              </w:rPr>
            </w:pPr>
          </w:p>
        </w:tc>
        <w:tc>
          <w:tcPr>
            <w:tcW w:w="80" w:type="dxa"/>
            <w:vAlign w:val="bottom"/>
            <w:tcBorders>
              <w:bottom w:val="single" w:sz="8" w:color="342C82"/>
            </w:tcBorders>
          </w:tcPr>
          <w:p>
            <w:pPr>
              <w:spacing w:after="0"/>
              <w:rPr>
                <w:sz w:val="15"/>
                <w:szCs w:val="15"/>
                <w:color w:val="auto"/>
              </w:rPr>
            </w:pPr>
          </w:p>
        </w:tc>
        <w:tc>
          <w:tcPr>
            <w:tcW w:w="940" w:type="dxa"/>
            <w:vAlign w:val="bottom"/>
            <w:tcBorders>
              <w:bottom w:val="single" w:sz="8" w:color="342C82"/>
            </w:tcBorders>
          </w:tcPr>
          <w:p>
            <w:pPr>
              <w:spacing w:after="0"/>
              <w:rPr>
                <w:sz w:val="15"/>
                <w:szCs w:val="15"/>
                <w:color w:val="auto"/>
              </w:rPr>
            </w:pPr>
          </w:p>
        </w:tc>
        <w:tc>
          <w:tcPr>
            <w:tcW w:w="580" w:type="dxa"/>
            <w:vAlign w:val="bottom"/>
            <w:tcBorders>
              <w:bottom w:val="single" w:sz="8" w:color="342C82"/>
            </w:tcBorders>
          </w:tcPr>
          <w:p>
            <w:pPr>
              <w:spacing w:after="0"/>
              <w:rPr>
                <w:sz w:val="15"/>
                <w:szCs w:val="15"/>
                <w:color w:val="auto"/>
              </w:rPr>
            </w:pPr>
          </w:p>
        </w:tc>
        <w:tc>
          <w:tcPr>
            <w:tcW w:w="560" w:type="dxa"/>
            <w:vAlign w:val="bottom"/>
            <w:tcBorders>
              <w:bottom w:val="single" w:sz="8" w:color="342C82"/>
            </w:tcBorders>
          </w:tcPr>
          <w:p>
            <w:pPr>
              <w:spacing w:after="0"/>
              <w:rPr>
                <w:sz w:val="15"/>
                <w:szCs w:val="15"/>
                <w:color w:val="auto"/>
              </w:rPr>
            </w:pPr>
          </w:p>
        </w:tc>
        <w:tc>
          <w:tcPr>
            <w:tcW w:w="60" w:type="dxa"/>
            <w:vAlign w:val="bottom"/>
            <w:tcBorders>
              <w:bottom w:val="single" w:sz="8" w:color="342C82"/>
            </w:tcBorders>
          </w:tcPr>
          <w:p>
            <w:pPr>
              <w:spacing w:after="0"/>
              <w:rPr>
                <w:sz w:val="15"/>
                <w:szCs w:val="15"/>
                <w:color w:val="auto"/>
              </w:rPr>
            </w:pPr>
          </w:p>
        </w:tc>
        <w:tc>
          <w:tcPr>
            <w:tcW w:w="40" w:type="dxa"/>
            <w:vAlign w:val="bottom"/>
            <w:tcBorders>
              <w:bottom w:val="single" w:sz="8" w:color="342C82"/>
            </w:tcBorders>
          </w:tcPr>
          <w:p>
            <w:pPr>
              <w:spacing w:after="0"/>
              <w:rPr>
                <w:sz w:val="15"/>
                <w:szCs w:val="15"/>
                <w:color w:val="auto"/>
              </w:rPr>
            </w:pPr>
          </w:p>
        </w:tc>
        <w:tc>
          <w:tcPr>
            <w:tcW w:w="80" w:type="dxa"/>
            <w:vAlign w:val="bottom"/>
            <w:tcBorders>
              <w:bottom w:val="single" w:sz="8" w:color="342C82"/>
            </w:tcBorders>
          </w:tcPr>
          <w:p>
            <w:pPr>
              <w:spacing w:after="0"/>
              <w:rPr>
                <w:sz w:val="15"/>
                <w:szCs w:val="15"/>
                <w:color w:val="auto"/>
              </w:rPr>
            </w:pPr>
          </w:p>
        </w:tc>
        <w:tc>
          <w:tcPr>
            <w:tcW w:w="920" w:type="dxa"/>
            <w:vAlign w:val="bottom"/>
            <w:tcBorders>
              <w:bottom w:val="single" w:sz="8" w:color="342C82"/>
            </w:tcBorders>
          </w:tcPr>
          <w:p>
            <w:pPr>
              <w:spacing w:after="0"/>
              <w:rPr>
                <w:sz w:val="15"/>
                <w:szCs w:val="15"/>
                <w:color w:val="auto"/>
              </w:rPr>
            </w:pPr>
          </w:p>
        </w:tc>
        <w:tc>
          <w:tcPr>
            <w:tcW w:w="480" w:type="dxa"/>
            <w:vAlign w:val="bottom"/>
            <w:tcBorders>
              <w:bottom w:val="single" w:sz="8" w:color="342C82"/>
            </w:tcBorders>
          </w:tcPr>
          <w:p>
            <w:pPr>
              <w:spacing w:after="0"/>
              <w:rPr>
                <w:sz w:val="15"/>
                <w:szCs w:val="15"/>
                <w:color w:val="auto"/>
              </w:rPr>
            </w:pPr>
          </w:p>
        </w:tc>
        <w:tc>
          <w:tcPr>
            <w:tcW w:w="660" w:type="dxa"/>
            <w:vAlign w:val="bottom"/>
            <w:tcBorders>
              <w:bottom w:val="single" w:sz="8" w:color="342C82"/>
            </w:tcBorders>
          </w:tcPr>
          <w:p>
            <w:pPr>
              <w:spacing w:after="0"/>
              <w:rPr>
                <w:sz w:val="15"/>
                <w:szCs w:val="15"/>
                <w:color w:val="auto"/>
              </w:rPr>
            </w:pPr>
          </w:p>
        </w:tc>
        <w:tc>
          <w:tcPr>
            <w:tcW w:w="60" w:type="dxa"/>
            <w:vAlign w:val="bottom"/>
            <w:tcBorders>
              <w:bottom w:val="single" w:sz="8" w:color="342C82"/>
            </w:tcBorders>
          </w:tcPr>
          <w:p>
            <w:pPr>
              <w:spacing w:after="0"/>
              <w:rPr>
                <w:sz w:val="15"/>
                <w:szCs w:val="15"/>
                <w:color w:val="auto"/>
              </w:rPr>
            </w:pPr>
          </w:p>
        </w:tc>
        <w:tc>
          <w:tcPr>
            <w:tcW w:w="40" w:type="dxa"/>
            <w:vAlign w:val="bottom"/>
            <w:tcBorders>
              <w:bottom w:val="single" w:sz="8" w:color="342C82"/>
            </w:tcBorders>
          </w:tcPr>
          <w:p>
            <w:pPr>
              <w:spacing w:after="0"/>
              <w:rPr>
                <w:sz w:val="15"/>
                <w:szCs w:val="15"/>
                <w:color w:val="auto"/>
              </w:rPr>
            </w:pPr>
          </w:p>
        </w:tc>
        <w:tc>
          <w:tcPr>
            <w:tcW w:w="120" w:type="dxa"/>
            <w:vAlign w:val="bottom"/>
            <w:tcBorders>
              <w:bottom w:val="single" w:sz="8" w:color="342C82"/>
            </w:tcBorders>
          </w:tcPr>
          <w:p>
            <w:pPr>
              <w:spacing w:after="0"/>
              <w:rPr>
                <w:sz w:val="15"/>
                <w:szCs w:val="15"/>
                <w:color w:val="auto"/>
              </w:rPr>
            </w:pPr>
          </w:p>
        </w:tc>
        <w:tc>
          <w:tcPr>
            <w:tcW w:w="820" w:type="dxa"/>
            <w:vAlign w:val="bottom"/>
            <w:tcBorders>
              <w:bottom w:val="single" w:sz="8" w:color="342C82"/>
            </w:tcBorders>
          </w:tcPr>
          <w:p>
            <w:pPr>
              <w:spacing w:after="0"/>
              <w:rPr>
                <w:sz w:val="15"/>
                <w:szCs w:val="15"/>
                <w:color w:val="auto"/>
              </w:rPr>
            </w:pPr>
          </w:p>
        </w:tc>
        <w:tc>
          <w:tcPr>
            <w:tcW w:w="500" w:type="dxa"/>
            <w:vAlign w:val="bottom"/>
            <w:tcBorders>
              <w:bottom w:val="single" w:sz="8" w:color="342C82"/>
            </w:tcBorders>
          </w:tcPr>
          <w:p>
            <w:pPr>
              <w:spacing w:after="0"/>
              <w:rPr>
                <w:sz w:val="15"/>
                <w:szCs w:val="15"/>
                <w:color w:val="auto"/>
              </w:rPr>
            </w:pPr>
          </w:p>
        </w:tc>
        <w:tc>
          <w:tcPr>
            <w:tcW w:w="640" w:type="dxa"/>
            <w:vAlign w:val="bottom"/>
            <w:tcBorders>
              <w:bottom w:val="single" w:sz="8" w:color="342C82"/>
            </w:tcBorders>
          </w:tcPr>
          <w:p>
            <w:pPr>
              <w:spacing w:after="0"/>
              <w:rPr>
                <w:sz w:val="15"/>
                <w:szCs w:val="15"/>
                <w:color w:val="auto"/>
              </w:rPr>
            </w:pPr>
          </w:p>
        </w:tc>
        <w:tc>
          <w:tcPr>
            <w:tcW w:w="80" w:type="dxa"/>
            <w:vAlign w:val="bottom"/>
            <w:tcBorders>
              <w:bottom w:val="single" w:sz="8" w:color="342C82"/>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580" w:right="439" w:hanging="288"/>
        <w:spacing w:after="0" w:line="214" w:lineRule="auto"/>
        <w:tabs>
          <w:tab w:leader="none" w:pos="580" w:val="left"/>
        </w:tabs>
        <w:numPr>
          <w:ilvl w:val="0"/>
          <w:numId w:val="47"/>
        </w:numPr>
        <w:rPr>
          <w:rFonts w:ascii="Arial" w:cs="Arial" w:eastAsia="Arial" w:hAnsi="Arial"/>
          <w:sz w:val="22"/>
          <w:szCs w:val="22"/>
          <w:color w:val="auto"/>
          <w:vertAlign w:val="superscript"/>
        </w:rPr>
      </w:pPr>
      <w:r>
        <w:rPr>
          <w:rFonts w:ascii="Arial" w:cs="Arial" w:eastAsia="Arial" w:hAnsi="Arial"/>
          <w:sz w:val="14"/>
          <w:szCs w:val="14"/>
          <w:color w:val="auto"/>
        </w:rPr>
        <w:t>We selected the Standard &amp; Poor (S&amp;P) Smallcap 600 Health Care Index (referred to herein as the “Index”) as our peer group for purposes of this disclosure. This Index is the same performance peer group used in the Company’s stock performance graph reported pursuant to Item 201(e) of Regulation S-K.</w:t>
      </w:r>
    </w:p>
    <w:p>
      <w:pPr>
        <w:spacing w:after="0" w:line="27" w:lineRule="exact"/>
        <w:rPr>
          <w:rFonts w:ascii="Arial" w:cs="Arial" w:eastAsia="Arial" w:hAnsi="Arial"/>
          <w:sz w:val="22"/>
          <w:szCs w:val="22"/>
          <w:color w:val="auto"/>
          <w:vertAlign w:val="superscript"/>
        </w:rPr>
      </w:pPr>
    </w:p>
    <w:p>
      <w:pPr>
        <w:ind w:left="580" w:right="339" w:hanging="288"/>
        <w:spacing w:after="0" w:line="234" w:lineRule="auto"/>
        <w:tabs>
          <w:tab w:leader="none" w:pos="580" w:val="left"/>
        </w:tabs>
        <w:numPr>
          <w:ilvl w:val="0"/>
          <w:numId w:val="47"/>
        </w:numPr>
        <w:rPr>
          <w:rFonts w:ascii="Arial" w:cs="Arial" w:eastAsia="Arial" w:hAnsi="Arial"/>
          <w:sz w:val="22"/>
          <w:szCs w:val="22"/>
          <w:color w:val="auto"/>
          <w:vertAlign w:val="superscript"/>
        </w:rPr>
      </w:pPr>
      <w:r>
        <w:rPr>
          <w:rFonts w:ascii="Arial" w:cs="Arial" w:eastAsia="Arial" w:hAnsi="Arial"/>
          <w:sz w:val="14"/>
          <w:szCs w:val="14"/>
          <w:color w:val="auto"/>
        </w:rPr>
        <w:t>We have selected Adjusted Constant Currency Revenue as the most important financial performance measure (that is not otherwise required to be disclosed in the table), which is defined as revenues excluding (i) the Italian payback measure (with respect to fiscal year 2024), (ii) the impact of fluctuations in foreign currency exchange rates by comparing results between periods as if exchange rates had remained constant period-over-period since October 1, 2022 and (iii) revenues derived from contract manufacturing. We selected this measure because the financial metrics we use to link compensation paid to the Company’s NEOs to the Company’s performance for both our Bonus Plan and PSUs are revenues-adjacent measures (as explained in the “Compensation Discussion and Analysis” section of this proxy statement). We have excluded revenues derived from contract manufacturing from this measure to exclude the transient impact of the manufacturing and sale of non-diabetes products to BD, in order to better reflect Embecta’s core injection business and provide a more accurate year over year measure. We believe that this measure reflects Embecta’s ability to innovate and compete in the global marketplace over a multi-year period. Due to the Separation date of April 1, 2022, our 2022 results include pre-Separation revenues for which there was no contract manufacturing revenue to be excluded. For a reconciliation of this non-GAAP financial measure to the most directly comparable GAAP measures, please see Appendix A to this proxy statement.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132080</wp:posOffset>
            </wp:positionV>
            <wp:extent cx="699516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4" w:name="page75"/>
    <w:bookmarkEnd w:id="7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6"/>
          <w:szCs w:val="16"/>
          <w:color w:val="342C82"/>
        </w:rPr>
        <w:t>Pay versus performance</w:t>
      </w:r>
    </w:p>
    <w:p>
      <w:pPr>
        <w:spacing w:after="0" w:line="159" w:lineRule="exact"/>
        <w:rPr>
          <w:sz w:val="20"/>
          <w:szCs w:val="20"/>
          <w:color w:val="auto"/>
        </w:rPr>
      </w:pPr>
    </w:p>
    <w:p>
      <w:pPr>
        <w:ind w:left="300"/>
        <w:spacing w:after="0"/>
        <w:rPr>
          <w:sz w:val="20"/>
          <w:szCs w:val="20"/>
          <w:color w:val="auto"/>
        </w:rPr>
      </w:pPr>
      <w:r>
        <w:rPr>
          <w:rFonts w:ascii="Arial" w:cs="Arial" w:eastAsia="Arial" w:hAnsi="Arial"/>
          <w:sz w:val="25"/>
          <w:szCs w:val="25"/>
          <w:color w:val="342C82"/>
        </w:rPr>
        <w:t>Analysis of the Information Presented in the Pay Versus Performance Table</w:t>
      </w:r>
    </w:p>
    <w:p>
      <w:pPr>
        <w:spacing w:after="0" w:line="153" w:lineRule="exact"/>
        <w:rPr>
          <w:sz w:val="20"/>
          <w:szCs w:val="20"/>
          <w:color w:val="auto"/>
        </w:rPr>
      </w:pPr>
    </w:p>
    <w:p>
      <w:pPr>
        <w:ind w:left="300" w:right="459"/>
        <w:spacing w:after="0" w:line="286" w:lineRule="auto"/>
        <w:rPr>
          <w:sz w:val="20"/>
          <w:szCs w:val="20"/>
          <w:color w:val="auto"/>
        </w:rPr>
      </w:pPr>
      <w:r>
        <w:rPr>
          <w:rFonts w:ascii="Arial" w:cs="Arial" w:eastAsia="Arial" w:hAnsi="Arial"/>
          <w:sz w:val="16"/>
          <w:szCs w:val="16"/>
          <w:color w:val="auto"/>
        </w:rPr>
        <w:t>The following graphs illustrate the relationships between the “compensation actually paid” to our PEO and non-PEO NEOs and the various metrics provided for this PvP analysis.</w:t>
      </w:r>
    </w:p>
    <w:p>
      <w:pPr>
        <w:spacing w:after="0" w:line="180" w:lineRule="exact"/>
        <w:rPr>
          <w:sz w:val="20"/>
          <w:szCs w:val="20"/>
          <w:color w:val="auto"/>
        </w:rPr>
      </w:pPr>
    </w:p>
    <w:p>
      <w:pPr>
        <w:ind w:left="640" w:hanging="348"/>
        <w:spacing w:after="0"/>
        <w:tabs>
          <w:tab w:leader="none" w:pos="640" w:val="left"/>
        </w:tabs>
        <w:numPr>
          <w:ilvl w:val="0"/>
          <w:numId w:val="4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CAP and Company TSR</w:t>
      </w:r>
    </w:p>
    <w:p>
      <w:pPr>
        <w:spacing w:after="0" w:line="160" w:lineRule="exact"/>
        <w:rPr>
          <w:sz w:val="20"/>
          <w:szCs w:val="20"/>
          <w:color w:val="auto"/>
        </w:rPr>
      </w:pPr>
    </w:p>
    <w:p>
      <w:pPr>
        <w:jc w:val="both"/>
        <w:ind w:left="300" w:right="379"/>
        <w:spacing w:after="0" w:line="266" w:lineRule="auto"/>
        <w:rPr>
          <w:sz w:val="20"/>
          <w:szCs w:val="20"/>
          <w:color w:val="auto"/>
        </w:rPr>
      </w:pPr>
      <w:r>
        <w:rPr>
          <w:rFonts w:ascii="Arial" w:cs="Arial" w:eastAsia="Arial" w:hAnsi="Arial"/>
          <w:sz w:val="16"/>
          <w:szCs w:val="16"/>
          <w:color w:val="auto"/>
        </w:rPr>
        <w:t>The graph below reflects the relationship between the CAP to the PEOs and Non-PEO NEOs and Company TSR for the applicable reporting years. All TSR calculations are measured from the date of Separation, April 1, 2022, through the end of the corresponding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186055</wp:posOffset>
            </wp:positionV>
            <wp:extent cx="3917315" cy="23317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917315" cy="233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 </w:t>
      </w:r>
    </w:p>
    <w:p>
      <w:pPr>
        <w:spacing w:after="0" w:line="245" w:lineRule="exact"/>
        <w:rPr>
          <w:sz w:val="20"/>
          <w:szCs w:val="20"/>
          <w:color w:val="auto"/>
        </w:rPr>
      </w:pPr>
    </w:p>
    <w:p>
      <w:pPr>
        <w:ind w:left="640" w:hanging="348"/>
        <w:spacing w:after="0"/>
        <w:tabs>
          <w:tab w:leader="none" w:pos="640" w:val="left"/>
        </w:tabs>
        <w:numPr>
          <w:ilvl w:val="0"/>
          <w:numId w:val="4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Company TSR and Peer Group TSR</w:t>
      </w:r>
    </w:p>
    <w:p>
      <w:pPr>
        <w:spacing w:after="0" w:line="160" w:lineRule="exact"/>
        <w:rPr>
          <w:sz w:val="20"/>
          <w:szCs w:val="20"/>
          <w:color w:val="auto"/>
        </w:rPr>
      </w:pPr>
    </w:p>
    <w:p>
      <w:pPr>
        <w:ind w:left="300" w:right="379"/>
        <w:spacing w:after="0" w:line="266" w:lineRule="auto"/>
        <w:rPr>
          <w:sz w:val="20"/>
          <w:szCs w:val="20"/>
          <w:color w:val="auto"/>
        </w:rPr>
      </w:pPr>
      <w:r>
        <w:rPr>
          <w:rFonts w:ascii="Arial" w:cs="Arial" w:eastAsia="Arial" w:hAnsi="Arial"/>
          <w:sz w:val="16"/>
          <w:szCs w:val="16"/>
          <w:color w:val="auto"/>
        </w:rPr>
        <w:t>The graph below reflects the relationship between the Company TSR and Peer Group TSR for the applicable reporting years. All TSR calculations are measured from the date of Separation, April 1, 2022, through the end of the corresponding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186055</wp:posOffset>
            </wp:positionV>
            <wp:extent cx="3917315" cy="23571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917315" cy="2357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 </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123825</wp:posOffset>
            </wp:positionV>
            <wp:extent cx="699516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5" w:name="page76"/>
    <w:bookmarkEnd w:id="7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jc w:val="right"/>
        <w:ind w:right="299"/>
        <w:spacing w:after="0"/>
        <w:rPr>
          <w:sz w:val="20"/>
          <w:szCs w:val="20"/>
          <w:color w:val="auto"/>
        </w:rPr>
      </w:pPr>
      <w:r>
        <w:rPr>
          <w:rFonts w:ascii="Arial" w:cs="Arial" w:eastAsia="Arial" w:hAnsi="Arial"/>
          <w:sz w:val="16"/>
          <w:szCs w:val="16"/>
          <w:color w:val="342C82"/>
        </w:rPr>
        <w:t>Pay versus performance</w:t>
      </w:r>
    </w:p>
    <w:p>
      <w:pPr>
        <w:spacing w:after="0" w:line="124" w:lineRule="exact"/>
        <w:rPr>
          <w:sz w:val="20"/>
          <w:szCs w:val="20"/>
          <w:color w:val="auto"/>
        </w:rPr>
      </w:pPr>
    </w:p>
    <w:p>
      <w:pPr>
        <w:ind w:left="640" w:hanging="348"/>
        <w:spacing w:after="0"/>
        <w:tabs>
          <w:tab w:leader="none" w:pos="640" w:val="left"/>
        </w:tabs>
        <w:numPr>
          <w:ilvl w:val="0"/>
          <w:numId w:val="5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CAP and Net Income</w:t>
      </w:r>
    </w:p>
    <w:p>
      <w:pPr>
        <w:spacing w:after="0" w:line="160" w:lineRule="exact"/>
        <w:rPr>
          <w:sz w:val="20"/>
          <w:szCs w:val="20"/>
          <w:color w:val="auto"/>
        </w:rPr>
      </w:pPr>
    </w:p>
    <w:p>
      <w:pPr>
        <w:ind w:left="300" w:right="619"/>
        <w:spacing w:after="0" w:line="286" w:lineRule="auto"/>
        <w:rPr>
          <w:sz w:val="20"/>
          <w:szCs w:val="20"/>
          <w:color w:val="auto"/>
        </w:rPr>
      </w:pPr>
      <w:r>
        <w:rPr>
          <w:rFonts w:ascii="Arial" w:cs="Arial" w:eastAsia="Arial" w:hAnsi="Arial"/>
          <w:sz w:val="16"/>
          <w:szCs w:val="16"/>
          <w:color w:val="auto"/>
        </w:rPr>
        <w:t>The graph below reflects the relationship between the CAP to the PEOs and Non-PEO NEOs and the Company’s GAAP Net Income for the applicable reporting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167640</wp:posOffset>
            </wp:positionV>
            <wp:extent cx="4123055" cy="24777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123055" cy="2477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 xml:space="preserve">  </w:t>
      </w:r>
    </w:p>
    <w:p>
      <w:pPr>
        <w:spacing w:after="0" w:line="259" w:lineRule="exact"/>
        <w:rPr>
          <w:sz w:val="20"/>
          <w:szCs w:val="20"/>
          <w:color w:val="auto"/>
        </w:rPr>
      </w:pPr>
    </w:p>
    <w:p>
      <w:pPr>
        <w:ind w:left="640" w:hanging="348"/>
        <w:spacing w:after="0"/>
        <w:tabs>
          <w:tab w:leader="none" w:pos="640" w:val="left"/>
        </w:tabs>
        <w:numPr>
          <w:ilvl w:val="0"/>
          <w:numId w:val="5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CAP vs. Adjusted Constant Currency Revenue</w:t>
      </w:r>
    </w:p>
    <w:p>
      <w:pPr>
        <w:spacing w:after="0" w:line="160" w:lineRule="exact"/>
        <w:rPr>
          <w:sz w:val="20"/>
          <w:szCs w:val="20"/>
          <w:color w:val="auto"/>
        </w:rPr>
      </w:pPr>
    </w:p>
    <w:p>
      <w:pPr>
        <w:ind w:left="300" w:right="379"/>
        <w:spacing w:after="0" w:line="286" w:lineRule="auto"/>
        <w:rPr>
          <w:sz w:val="20"/>
          <w:szCs w:val="20"/>
          <w:color w:val="auto"/>
        </w:rPr>
      </w:pPr>
      <w:r>
        <w:rPr>
          <w:rFonts w:ascii="Arial" w:cs="Arial" w:eastAsia="Arial" w:hAnsi="Arial"/>
          <w:sz w:val="16"/>
          <w:szCs w:val="16"/>
          <w:color w:val="auto"/>
        </w:rPr>
        <w:t>The graph below reflects the relationship between the CAP to the PEOs and Non-PEO NEOs and Adjusted Constant Currency Revenue* for the applicable reporting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167640</wp:posOffset>
            </wp:positionV>
            <wp:extent cx="4174490" cy="251142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174490" cy="251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 </w:t>
      </w:r>
    </w:p>
    <w:p>
      <w:pPr>
        <w:spacing w:after="0" w:line="64" w:lineRule="exact"/>
        <w:rPr>
          <w:sz w:val="20"/>
          <w:szCs w:val="20"/>
          <w:color w:val="auto"/>
        </w:rPr>
      </w:pPr>
    </w:p>
    <w:p>
      <w:pPr>
        <w:ind w:left="580" w:right="359" w:hanging="288"/>
        <w:spacing w:after="0" w:line="250" w:lineRule="auto"/>
        <w:tabs>
          <w:tab w:leader="none" w:pos="5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As explained above in footnote (5) to the PvP Table, for purposes of the Pay Versus Performance analysis we use Adjusted Constant Currency Revenue excluding the Italian payback measure (with respect to fiscal year 2024), revenues derived from contract manufacturing and the impact of fluctuations in foreign currency exchange rates by comparing results between periods as if exchange rates had remained constant period-over-period since October 1, 2022. Due to the Separation date of April 1, 2022, our 2022 results include pre-Separation revenues for which there was no contract manufacturing in our results to be excluded.</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123825</wp:posOffset>
            </wp:positionV>
            <wp:extent cx="699516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6" w:name="page77"/>
    <w:bookmarkEnd w:id="7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6"/>
          <w:szCs w:val="16"/>
          <w:color w:val="342C82"/>
        </w:rPr>
        <w:t>Pay versus performance</w:t>
      </w:r>
    </w:p>
    <w:p>
      <w:pPr>
        <w:spacing w:after="0" w:line="159" w:lineRule="exact"/>
        <w:rPr>
          <w:sz w:val="20"/>
          <w:szCs w:val="20"/>
          <w:color w:val="auto"/>
        </w:rPr>
      </w:pPr>
    </w:p>
    <w:p>
      <w:pPr>
        <w:ind w:left="300" w:right="879"/>
        <w:spacing w:after="0" w:line="285" w:lineRule="auto"/>
        <w:rPr>
          <w:sz w:val="20"/>
          <w:szCs w:val="20"/>
          <w:color w:val="auto"/>
        </w:rPr>
      </w:pPr>
      <w:r>
        <w:rPr>
          <w:rFonts w:ascii="Arial" w:cs="Arial" w:eastAsia="Arial" w:hAnsi="Arial"/>
          <w:sz w:val="25"/>
          <w:szCs w:val="25"/>
          <w:color w:val="342C82"/>
        </w:rPr>
        <w:t>List of Most Important Financial Performance Measures for Fiscal Year 2024</w:t>
      </w:r>
    </w:p>
    <w:p>
      <w:pPr>
        <w:spacing w:after="0" w:line="55" w:lineRule="exact"/>
        <w:rPr>
          <w:sz w:val="20"/>
          <w:szCs w:val="20"/>
          <w:color w:val="auto"/>
        </w:rPr>
      </w:pPr>
    </w:p>
    <w:p>
      <w:pPr>
        <w:ind w:left="300" w:right="419"/>
        <w:spacing w:after="0" w:line="259" w:lineRule="auto"/>
        <w:rPr>
          <w:sz w:val="20"/>
          <w:szCs w:val="20"/>
          <w:color w:val="auto"/>
        </w:rPr>
      </w:pPr>
      <w:r>
        <w:rPr>
          <w:rFonts w:ascii="Arial" w:cs="Arial" w:eastAsia="Arial" w:hAnsi="Arial"/>
          <w:sz w:val="16"/>
          <w:szCs w:val="16"/>
          <w:color w:val="auto"/>
        </w:rPr>
        <w:t>As described in greater detail in the “Our compensation philosophy, objectives and practices” section of this proxy statement, Embecta’s executive compensation program reflects a commitment to pay-for-performance. Listed below are the financial performance measures which in our assessment represent the most important performance measures we used to link compensation actually paid to our NEOs for fiscal year 2024, to Company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70485</wp:posOffset>
            </wp:positionV>
            <wp:extent cx="534924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Adjusted​ Constant Currency Revenue</w:t>
      </w:r>
      <w:r>
        <w:rPr>
          <w:rFonts w:ascii="Arial" w:cs="Arial" w:eastAsia="Arial" w:hAnsi="Arial"/>
          <w:sz w:val="26"/>
          <w:szCs w:val="26"/>
          <w:color w:val="auto"/>
          <w:vertAlign w:val="superscript"/>
        </w:rPr>
        <w:t>(1)</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-18415</wp:posOffset>
            </wp:positionV>
            <wp:extent cx="534924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ind w:left="2760"/>
        <w:spacing w:after="0"/>
        <w:rPr>
          <w:sz w:val="20"/>
          <w:szCs w:val="20"/>
          <w:color w:val="auto"/>
        </w:rPr>
      </w:pPr>
      <w:r>
        <w:rPr>
          <w:rFonts w:ascii="Arial" w:cs="Arial" w:eastAsia="Arial" w:hAnsi="Arial"/>
          <w:sz w:val="16"/>
          <w:szCs w:val="16"/>
          <w:color w:val="auto"/>
        </w:rPr>
        <w:t>Adjusted​ Constant Currency Revenue Growth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19050</wp:posOffset>
            </wp:positionV>
            <wp:extent cx="534924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Adjusted EBITDA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20955</wp:posOffset>
            </wp:positionV>
            <wp:extent cx="534924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6" w:lineRule="exact"/>
        <w:rPr>
          <w:sz w:val="20"/>
          <w:szCs w:val="20"/>
          <w:color w:val="auto"/>
        </w:rPr>
      </w:pPr>
    </w:p>
    <w:p>
      <w:pPr>
        <w:ind w:left="580" w:right="359" w:hanging="288"/>
        <w:spacing w:after="0" w:line="195" w:lineRule="auto"/>
        <w:tabs>
          <w:tab w:leader="none" w:pos="580" w:val="left"/>
        </w:tabs>
        <w:numPr>
          <w:ilvl w:val="0"/>
          <w:numId w:val="53"/>
        </w:numPr>
        <w:rPr>
          <w:rFonts w:ascii="Arial" w:cs="Arial" w:eastAsia="Arial" w:hAnsi="Arial"/>
          <w:sz w:val="22"/>
          <w:szCs w:val="22"/>
          <w:color w:val="auto"/>
          <w:vertAlign w:val="superscript"/>
        </w:rPr>
      </w:pPr>
      <w:r>
        <w:rPr>
          <w:rFonts w:ascii="Arial" w:cs="Arial" w:eastAsia="Arial" w:hAnsi="Arial"/>
          <w:sz w:val="14"/>
          <w:szCs w:val="14"/>
          <w:color w:val="auto"/>
        </w:rPr>
        <w:t>For purposes of this Pay Versus Performance analysis, Adjusted Constant Currency Revenue and Adjusted Constant Currency Revenue Growth % exclude the Italian payback measure (with respect to fiscal year 2024), revenues derived from contract</w:t>
      </w:r>
    </w:p>
    <w:p>
      <w:pPr>
        <w:ind w:left="580"/>
        <w:spacing w:after="0" w:line="211" w:lineRule="auto"/>
        <w:rPr>
          <w:sz w:val="20"/>
          <w:szCs w:val="20"/>
          <w:color w:val="auto"/>
        </w:rPr>
      </w:pPr>
      <w:r>
        <w:rPr>
          <w:rFonts w:ascii="Arial" w:cs="Arial" w:eastAsia="Arial" w:hAnsi="Arial"/>
          <w:sz w:val="14"/>
          <w:szCs w:val="14"/>
          <w:color w:val="auto"/>
        </w:rPr>
        <w:t>manufacturing and the impact of fluctuations in foreign currency exchange between periods.</w:t>
      </w:r>
    </w:p>
    <w:p>
      <w:pPr>
        <w:ind w:left="300"/>
        <w:spacing w:after="0" w:line="198" w:lineRule="auto"/>
        <w:rPr>
          <w:sz w:val="20"/>
          <w:szCs w:val="20"/>
          <w:color w:val="auto"/>
        </w:rPr>
      </w:pPr>
      <w:r>
        <w:rPr>
          <w:rFonts w:ascii="Arial" w:cs="Arial" w:eastAsia="Arial" w:hAnsi="Arial"/>
          <w:sz w:val="8"/>
          <w:szCs w:val="8"/>
          <w:color w:val="auto"/>
        </w:rPr>
        <w:t>*</w:t>
      </w:r>
    </w:p>
    <w:p>
      <w:pPr>
        <w:ind w:left="580" w:right="459"/>
        <w:spacing w:after="0" w:line="264" w:lineRule="auto"/>
        <w:rPr>
          <w:sz w:val="20"/>
          <w:szCs w:val="20"/>
          <w:color w:val="auto"/>
        </w:rPr>
      </w:pPr>
      <w:r>
        <w:rPr>
          <w:rFonts w:ascii="Arial" w:cs="Arial" w:eastAsia="Arial" w:hAnsi="Arial"/>
          <w:sz w:val="14"/>
          <w:szCs w:val="14"/>
          <w:color w:val="auto"/>
        </w:rPr>
        <w:t>For a reconciliation of these non-GAAP financial measures to the most directly comparable GAAP financial measures and insights into how these non-GAAP measures are considered by management, please see Appendix A to this proxy statement.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123825</wp:posOffset>
            </wp:positionV>
            <wp:extent cx="699516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7" w:name="page78"/>
    <w:bookmarkEnd w:id="7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6" w:lineRule="exact"/>
        <w:rPr>
          <w:sz w:val="20"/>
          <w:szCs w:val="20"/>
          <w:color w:val="auto"/>
        </w:rPr>
      </w:pPr>
    </w:p>
    <w:p>
      <w:pPr>
        <w:ind w:left="300"/>
        <w:spacing w:after="0"/>
        <w:rPr>
          <w:sz w:val="20"/>
          <w:szCs w:val="20"/>
          <w:color w:val="auto"/>
        </w:rPr>
      </w:pPr>
      <w:r>
        <w:rPr>
          <w:rFonts w:ascii="Arial" w:cs="Arial" w:eastAsia="Arial" w:hAnsi="Arial"/>
          <w:sz w:val="43"/>
          <w:szCs w:val="43"/>
          <w:color w:val="342C82"/>
        </w:rPr>
        <w:t>Ownership of Embecta common stock</w:t>
      </w:r>
    </w:p>
    <w:p>
      <w:pPr>
        <w:spacing w:after="0" w:line="298" w:lineRule="exact"/>
        <w:rPr>
          <w:sz w:val="20"/>
          <w:szCs w:val="20"/>
          <w:color w:val="auto"/>
        </w:rPr>
      </w:pPr>
    </w:p>
    <w:p>
      <w:pPr>
        <w:ind w:left="300"/>
        <w:spacing w:after="0"/>
        <w:rPr>
          <w:sz w:val="20"/>
          <w:szCs w:val="20"/>
          <w:color w:val="auto"/>
        </w:rPr>
      </w:pPr>
      <w:r>
        <w:rPr>
          <w:rFonts w:ascii="Arial" w:cs="Arial" w:eastAsia="Arial" w:hAnsi="Arial"/>
          <w:sz w:val="29"/>
          <w:szCs w:val="29"/>
          <w:color w:val="342C82"/>
        </w:rPr>
        <w:t>Securities owned by certain beneficial owners</w:t>
      </w:r>
    </w:p>
    <w:p>
      <w:pPr>
        <w:spacing w:after="0" w:line="130" w:lineRule="exact"/>
        <w:rPr>
          <w:sz w:val="20"/>
          <w:szCs w:val="20"/>
          <w:color w:val="auto"/>
        </w:rPr>
      </w:pPr>
    </w:p>
    <w:p>
      <w:pPr>
        <w:ind w:left="300" w:right="479"/>
        <w:spacing w:after="0" w:line="256" w:lineRule="auto"/>
        <w:rPr>
          <w:sz w:val="20"/>
          <w:szCs w:val="20"/>
          <w:color w:val="auto"/>
        </w:rPr>
      </w:pPr>
      <w:r>
        <w:rPr>
          <w:rFonts w:ascii="Arial" w:cs="Arial" w:eastAsia="Arial" w:hAnsi="Arial"/>
          <w:sz w:val="16"/>
          <w:szCs w:val="16"/>
          <w:color w:val="auto"/>
        </w:rPr>
        <w:t>The following table sets forth information concerning those persons known to Embecta to be the beneficial owner of more than 5% of Embecta’s outstanding common stock, the only class of Embecta capital stock with voting rights. This information is based on filings made by such persons with the SEC. In general, “beneficial ownership” includes those shares that a person has the sole or shared power to vote or dispose of, including shares that the person has the right to acquire within 60 days.</w:t>
      </w:r>
    </w:p>
    <w:p>
      <w:pPr>
        <w:spacing w:after="0" w:line="99" w:lineRule="exact"/>
        <w:rPr>
          <w:sz w:val="20"/>
          <w:szCs w:val="20"/>
          <w:color w:val="auto"/>
        </w:rPr>
      </w:pPr>
    </w:p>
    <w:tbl>
      <w:tblPr>
        <w:tblLayout w:type="fixed"/>
        <w:tblInd w:w="300" w:type="dxa"/>
        <w:tblCellMar>
          <w:top w:w="0" w:type="dxa"/>
          <w:left w:w="0" w:type="dxa"/>
          <w:bottom w:w="0" w:type="dxa"/>
          <w:right w:w="0" w:type="dxa"/>
        </w:tblCellMar>
      </w:tblPr>
      <w:tr>
        <w:trPr>
          <w:trHeight w:val="203"/>
        </w:trPr>
        <w:tc>
          <w:tcPr>
            <w:tcW w:w="4540" w:type="dxa"/>
            <w:vAlign w:val="bottom"/>
          </w:tcPr>
          <w:p>
            <w:pPr>
              <w:spacing w:after="0"/>
              <w:rPr>
                <w:sz w:val="17"/>
                <w:szCs w:val="17"/>
                <w:color w:val="auto"/>
              </w:rPr>
            </w:pPr>
          </w:p>
        </w:tc>
        <w:tc>
          <w:tcPr>
            <w:tcW w:w="2580" w:type="dxa"/>
            <w:vAlign w:val="bottom"/>
          </w:tcPr>
          <w:p>
            <w:pPr>
              <w:jc w:val="right"/>
              <w:ind w:right="320"/>
              <w:spacing w:after="0"/>
              <w:rPr>
                <w:sz w:val="20"/>
                <w:szCs w:val="20"/>
                <w:color w:val="auto"/>
              </w:rPr>
            </w:pPr>
            <w:r>
              <w:rPr>
                <w:rFonts w:ascii="Arial" w:cs="Arial" w:eastAsia="Arial" w:hAnsi="Arial"/>
                <w:sz w:val="16"/>
                <w:szCs w:val="16"/>
                <w:b w:val="1"/>
                <w:bCs w:val="1"/>
                <w:color w:val="auto"/>
              </w:rPr>
              <w:t>Amount and nature of</w:t>
            </w:r>
          </w:p>
        </w:tc>
        <w:tc>
          <w:tcPr>
            <w:tcW w:w="1300" w:type="dxa"/>
            <w:vAlign w:val="bottom"/>
          </w:tcPr>
          <w:p>
            <w:pPr>
              <w:jc w:val="right"/>
              <w:ind w:right="139"/>
              <w:spacing w:after="0"/>
              <w:rPr>
                <w:sz w:val="20"/>
                <w:szCs w:val="20"/>
                <w:color w:val="auto"/>
              </w:rPr>
            </w:pPr>
            <w:r>
              <w:rPr>
                <w:rFonts w:ascii="Arial" w:cs="Arial" w:eastAsia="Arial" w:hAnsi="Arial"/>
                <w:sz w:val="16"/>
                <w:szCs w:val="16"/>
                <w:b w:val="1"/>
                <w:bCs w:val="1"/>
                <w:color w:val="auto"/>
              </w:rPr>
              <w:t>Percent</w:t>
            </w:r>
          </w:p>
        </w:tc>
      </w:tr>
      <w:tr>
        <w:trPr>
          <w:trHeight w:val="270"/>
        </w:trPr>
        <w:tc>
          <w:tcPr>
            <w:tcW w:w="4540" w:type="dxa"/>
            <w:vAlign w:val="bottom"/>
            <w:tcBorders>
              <w:bottom w:val="single" w:sz="8" w:color="342C82"/>
            </w:tcBorders>
          </w:tcPr>
          <w:p>
            <w:pPr>
              <w:ind w:left="60"/>
              <w:spacing w:after="0"/>
              <w:rPr>
                <w:sz w:val="20"/>
                <w:szCs w:val="20"/>
                <w:color w:val="auto"/>
              </w:rPr>
            </w:pPr>
            <w:r>
              <w:rPr>
                <w:rFonts w:ascii="Arial" w:cs="Arial" w:eastAsia="Arial" w:hAnsi="Arial"/>
                <w:sz w:val="16"/>
                <w:szCs w:val="16"/>
                <w:b w:val="1"/>
                <w:bCs w:val="1"/>
                <w:color w:val="auto"/>
              </w:rPr>
              <w:t>Name of beneficial owner</w:t>
            </w:r>
          </w:p>
        </w:tc>
        <w:tc>
          <w:tcPr>
            <w:tcW w:w="2580" w:type="dxa"/>
            <w:vAlign w:val="bottom"/>
            <w:tcBorders>
              <w:bottom w:val="single" w:sz="8" w:color="342C82"/>
            </w:tcBorders>
          </w:tcPr>
          <w:p>
            <w:pPr>
              <w:jc w:val="right"/>
              <w:ind w:right="280"/>
              <w:spacing w:after="0"/>
              <w:rPr>
                <w:sz w:val="20"/>
                <w:szCs w:val="20"/>
                <w:color w:val="auto"/>
              </w:rPr>
            </w:pPr>
            <w:r>
              <w:rPr>
                <w:rFonts w:ascii="Arial" w:cs="Arial" w:eastAsia="Arial" w:hAnsi="Arial"/>
                <w:sz w:val="16"/>
                <w:szCs w:val="16"/>
                <w:b w:val="1"/>
                <w:bCs w:val="1"/>
                <w:color w:val="auto"/>
              </w:rPr>
              <w:t>beneficial ownership</w:t>
            </w:r>
          </w:p>
        </w:tc>
        <w:tc>
          <w:tcPr>
            <w:tcW w:w="1300" w:type="dxa"/>
            <w:vAlign w:val="bottom"/>
            <w:tcBorders>
              <w:bottom w:val="single" w:sz="8" w:color="342C82"/>
            </w:tcBorders>
          </w:tcPr>
          <w:p>
            <w:pPr>
              <w:jc w:val="right"/>
              <w:ind w:right="79"/>
              <w:spacing w:after="0" w:line="270" w:lineRule="exact"/>
              <w:rPr>
                <w:sz w:val="20"/>
                <w:szCs w:val="20"/>
                <w:color w:val="auto"/>
              </w:rPr>
            </w:pPr>
            <w:r>
              <w:rPr>
                <w:rFonts w:ascii="Arial" w:cs="Arial" w:eastAsia="Arial" w:hAnsi="Arial"/>
                <w:sz w:val="16"/>
                <w:szCs w:val="16"/>
                <w:b w:val="1"/>
                <w:bCs w:val="1"/>
                <w:color w:val="auto"/>
              </w:rPr>
              <w:t>of class</w:t>
            </w:r>
            <w:r>
              <w:rPr>
                <w:rFonts w:ascii="Arial" w:cs="Arial" w:eastAsia="Arial" w:hAnsi="Arial"/>
                <w:sz w:val="26"/>
                <w:szCs w:val="26"/>
                <w:b w:val="1"/>
                <w:bCs w:val="1"/>
                <w:color w:val="auto"/>
                <w:vertAlign w:val="superscript"/>
              </w:rPr>
              <w:t>(1)</w:t>
            </w:r>
          </w:p>
        </w:tc>
      </w:tr>
      <w:tr>
        <w:trPr>
          <w:trHeight w:val="290"/>
        </w:trPr>
        <w:tc>
          <w:tcPr>
            <w:tcW w:w="4540" w:type="dxa"/>
            <w:vAlign w:val="bottom"/>
            <w:tcBorders>
              <w:bottom w:val="single" w:sz="8" w:color="808080"/>
            </w:tcBorders>
          </w:tcPr>
          <w:p>
            <w:pPr>
              <w:ind w:left="60"/>
              <w:spacing w:after="0"/>
              <w:rPr>
                <w:sz w:val="20"/>
                <w:szCs w:val="20"/>
                <w:color w:val="auto"/>
              </w:rPr>
            </w:pPr>
            <w:r>
              <w:rPr>
                <w:rFonts w:ascii="Arial" w:cs="Arial" w:eastAsia="Arial" w:hAnsi="Arial"/>
                <w:sz w:val="16"/>
                <w:szCs w:val="16"/>
                <w:b w:val="1"/>
                <w:bCs w:val="1"/>
                <w:color w:val="auto"/>
              </w:rPr>
              <w:t>BlackRock, Inc.</w:t>
            </w:r>
          </w:p>
        </w:tc>
        <w:tc>
          <w:tcPr>
            <w:tcW w:w="2580" w:type="dxa"/>
            <w:vAlign w:val="bottom"/>
            <w:tcBorders>
              <w:bottom w:val="single" w:sz="8" w:color="808080"/>
            </w:tcBorders>
          </w:tcPr>
          <w:p>
            <w:pPr>
              <w:jc w:val="right"/>
              <w:ind w:right="360"/>
              <w:spacing w:after="0" w:line="291" w:lineRule="exact"/>
              <w:rPr>
                <w:sz w:val="20"/>
                <w:szCs w:val="20"/>
                <w:color w:val="auto"/>
              </w:rPr>
            </w:pPr>
            <w:r>
              <w:rPr>
                <w:rFonts w:ascii="Arial" w:cs="Arial" w:eastAsia="Arial" w:hAnsi="Arial"/>
                <w:sz w:val="16"/>
                <w:szCs w:val="16"/>
                <w:color w:val="auto"/>
              </w:rPr>
              <w:t>9,427,335</w:t>
            </w:r>
            <w:r>
              <w:rPr>
                <w:rFonts w:ascii="Arial" w:cs="Arial" w:eastAsia="Arial" w:hAnsi="Arial"/>
                <w:sz w:val="26"/>
                <w:szCs w:val="26"/>
                <w:color w:val="auto"/>
                <w:vertAlign w:val="superscript"/>
              </w:rPr>
              <w:t>(2)</w:t>
            </w:r>
          </w:p>
        </w:tc>
        <w:tc>
          <w:tcPr>
            <w:tcW w:w="1300" w:type="dxa"/>
            <w:vAlign w:val="bottom"/>
            <w:tcBorders>
              <w:bottom w:val="single" w:sz="8" w:color="808080"/>
            </w:tcBorders>
          </w:tcPr>
          <w:p>
            <w:pPr>
              <w:jc w:val="right"/>
              <w:ind w:right="99"/>
              <w:spacing w:after="0"/>
              <w:rPr>
                <w:sz w:val="20"/>
                <w:szCs w:val="20"/>
                <w:color w:val="auto"/>
              </w:rPr>
            </w:pPr>
            <w:r>
              <w:rPr>
                <w:rFonts w:ascii="Arial" w:cs="Arial" w:eastAsia="Arial" w:hAnsi="Arial"/>
                <w:sz w:val="16"/>
                <w:szCs w:val="16"/>
                <w:color w:val="auto"/>
              </w:rPr>
              <w:t>16.2%</w:t>
            </w:r>
          </w:p>
        </w:tc>
      </w:tr>
      <w:tr>
        <w:trPr>
          <w:trHeight w:val="291"/>
        </w:trPr>
        <w:tc>
          <w:tcPr>
            <w:tcW w:w="4540" w:type="dxa"/>
            <w:vAlign w:val="bottom"/>
            <w:tcBorders>
              <w:bottom w:val="single" w:sz="8" w:color="808080"/>
            </w:tcBorders>
          </w:tcPr>
          <w:p>
            <w:pPr>
              <w:ind w:left="60"/>
              <w:spacing w:after="0"/>
              <w:rPr>
                <w:sz w:val="20"/>
                <w:szCs w:val="20"/>
                <w:color w:val="auto"/>
              </w:rPr>
            </w:pPr>
            <w:r>
              <w:rPr>
                <w:rFonts w:ascii="Arial" w:cs="Arial" w:eastAsia="Arial" w:hAnsi="Arial"/>
                <w:sz w:val="16"/>
                <w:szCs w:val="16"/>
                <w:b w:val="1"/>
                <w:bCs w:val="1"/>
                <w:color w:val="auto"/>
              </w:rPr>
              <w:t>The Vanguard Group</w:t>
            </w:r>
          </w:p>
        </w:tc>
        <w:tc>
          <w:tcPr>
            <w:tcW w:w="2580" w:type="dxa"/>
            <w:vAlign w:val="bottom"/>
            <w:tcBorders>
              <w:bottom w:val="single" w:sz="8" w:color="808080"/>
            </w:tcBorders>
          </w:tcPr>
          <w:p>
            <w:pPr>
              <w:jc w:val="right"/>
              <w:ind w:right="360"/>
              <w:spacing w:after="0" w:line="291" w:lineRule="exact"/>
              <w:rPr>
                <w:sz w:val="20"/>
                <w:szCs w:val="20"/>
                <w:color w:val="auto"/>
              </w:rPr>
            </w:pPr>
            <w:r>
              <w:rPr>
                <w:rFonts w:ascii="Arial" w:cs="Arial" w:eastAsia="Arial" w:hAnsi="Arial"/>
                <w:sz w:val="16"/>
                <w:szCs w:val="16"/>
                <w:color w:val="auto"/>
              </w:rPr>
              <w:t>7,026,005</w:t>
            </w:r>
            <w:r>
              <w:rPr>
                <w:rFonts w:ascii="Arial" w:cs="Arial" w:eastAsia="Arial" w:hAnsi="Arial"/>
                <w:sz w:val="26"/>
                <w:szCs w:val="26"/>
                <w:color w:val="auto"/>
                <w:vertAlign w:val="superscript"/>
              </w:rPr>
              <w:t>(3)</w:t>
            </w:r>
          </w:p>
        </w:tc>
        <w:tc>
          <w:tcPr>
            <w:tcW w:w="1300" w:type="dxa"/>
            <w:vAlign w:val="bottom"/>
            <w:tcBorders>
              <w:bottom w:val="single" w:sz="8" w:color="808080"/>
            </w:tcBorders>
          </w:tcPr>
          <w:p>
            <w:pPr>
              <w:jc w:val="right"/>
              <w:ind w:right="99"/>
              <w:spacing w:after="0"/>
              <w:rPr>
                <w:sz w:val="20"/>
                <w:szCs w:val="20"/>
                <w:color w:val="auto"/>
              </w:rPr>
            </w:pPr>
            <w:r>
              <w:rPr>
                <w:rFonts w:ascii="Arial" w:cs="Arial" w:eastAsia="Arial" w:hAnsi="Arial"/>
                <w:sz w:val="16"/>
                <w:szCs w:val="16"/>
                <w:color w:val="auto"/>
              </w:rPr>
              <w:t>12.1%</w:t>
            </w:r>
          </w:p>
        </w:tc>
      </w:tr>
      <w:tr>
        <w:trPr>
          <w:trHeight w:val="209"/>
        </w:trPr>
        <w:tc>
          <w:tcPr>
            <w:tcW w:w="4540" w:type="dxa"/>
            <w:vAlign w:val="bottom"/>
          </w:tcPr>
          <w:p>
            <w:pPr>
              <w:ind w:left="60"/>
              <w:spacing w:after="0"/>
              <w:rPr>
                <w:sz w:val="20"/>
                <w:szCs w:val="20"/>
                <w:color w:val="auto"/>
              </w:rPr>
            </w:pPr>
            <w:r>
              <w:rPr>
                <w:rFonts w:ascii="Arial" w:cs="Arial" w:eastAsia="Arial" w:hAnsi="Arial"/>
                <w:sz w:val="16"/>
                <w:szCs w:val="16"/>
                <w:b w:val="1"/>
                <w:bCs w:val="1"/>
                <w:color w:val="auto"/>
              </w:rPr>
              <w:t>Entities affiliated with American Century Investment</w:t>
            </w:r>
          </w:p>
        </w:tc>
        <w:tc>
          <w:tcPr>
            <w:tcW w:w="2580" w:type="dxa"/>
            <w:vAlign w:val="bottom"/>
          </w:tcPr>
          <w:p>
            <w:pPr>
              <w:jc w:val="right"/>
              <w:ind w:right="360"/>
              <w:spacing w:after="0" w:line="210" w:lineRule="exact"/>
              <w:rPr>
                <w:sz w:val="20"/>
                <w:szCs w:val="20"/>
                <w:color w:val="auto"/>
              </w:rPr>
            </w:pPr>
            <w:r>
              <w:rPr>
                <w:rFonts w:ascii="Arial" w:cs="Arial" w:eastAsia="Arial" w:hAnsi="Arial"/>
                <w:sz w:val="15"/>
                <w:szCs w:val="15"/>
                <w:color w:val="auto"/>
              </w:rPr>
              <w:t>3,354,708</w:t>
            </w:r>
            <w:r>
              <w:rPr>
                <w:rFonts w:ascii="Arial" w:cs="Arial" w:eastAsia="Arial" w:hAnsi="Arial"/>
                <w:sz w:val="24"/>
                <w:szCs w:val="24"/>
                <w:color w:val="auto"/>
                <w:vertAlign w:val="superscript"/>
              </w:rPr>
              <w:t>(4)</w:t>
            </w: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5.8%</w:t>
            </w:r>
          </w:p>
        </w:tc>
      </w:tr>
      <w:tr>
        <w:trPr>
          <w:trHeight w:val="226"/>
        </w:trPr>
        <w:tc>
          <w:tcPr>
            <w:tcW w:w="4540" w:type="dxa"/>
            <w:vAlign w:val="bottom"/>
            <w:tcBorders>
              <w:bottom w:val="single" w:sz="8" w:color="808080"/>
            </w:tcBorders>
          </w:tcPr>
          <w:p>
            <w:pPr>
              <w:ind w:left="60"/>
              <w:spacing w:after="0"/>
              <w:rPr>
                <w:sz w:val="20"/>
                <w:szCs w:val="20"/>
                <w:color w:val="auto"/>
              </w:rPr>
            </w:pPr>
            <w:r>
              <w:rPr>
                <w:rFonts w:ascii="Arial" w:cs="Arial" w:eastAsia="Arial" w:hAnsi="Arial"/>
                <w:sz w:val="16"/>
                <w:szCs w:val="16"/>
                <w:b w:val="1"/>
                <w:bCs w:val="1"/>
                <w:color w:val="auto"/>
              </w:rPr>
              <w:t>Management, Inc.</w:t>
            </w:r>
          </w:p>
        </w:tc>
        <w:tc>
          <w:tcPr>
            <w:tcW w:w="258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r>
      <w:tr>
        <w:trPr>
          <w:trHeight w:val="294"/>
        </w:trPr>
        <w:tc>
          <w:tcPr>
            <w:tcW w:w="4540" w:type="dxa"/>
            <w:vAlign w:val="bottom"/>
            <w:tcBorders>
              <w:bottom w:val="single" w:sz="8" w:color="808080"/>
            </w:tcBorders>
          </w:tcPr>
          <w:p>
            <w:pPr>
              <w:ind w:left="60"/>
              <w:spacing w:after="0"/>
              <w:rPr>
                <w:sz w:val="20"/>
                <w:szCs w:val="20"/>
                <w:color w:val="auto"/>
              </w:rPr>
            </w:pPr>
            <w:r>
              <w:rPr>
                <w:rFonts w:ascii="Arial" w:cs="Arial" w:eastAsia="Arial" w:hAnsi="Arial"/>
                <w:sz w:val="16"/>
                <w:szCs w:val="16"/>
                <w:b w:val="1"/>
                <w:bCs w:val="1"/>
                <w:color w:val="auto"/>
              </w:rPr>
              <w:t>River Road Asset Management, LLC</w:t>
            </w:r>
          </w:p>
        </w:tc>
        <w:tc>
          <w:tcPr>
            <w:tcW w:w="2580" w:type="dxa"/>
            <w:vAlign w:val="bottom"/>
            <w:tcBorders>
              <w:bottom w:val="single" w:sz="8" w:color="808080"/>
            </w:tcBorders>
          </w:tcPr>
          <w:p>
            <w:pPr>
              <w:jc w:val="right"/>
              <w:ind w:right="360"/>
              <w:spacing w:after="0" w:line="293" w:lineRule="exact"/>
              <w:rPr>
                <w:sz w:val="20"/>
                <w:szCs w:val="20"/>
                <w:color w:val="auto"/>
              </w:rPr>
            </w:pPr>
            <w:r>
              <w:rPr>
                <w:rFonts w:ascii="Arial" w:cs="Arial" w:eastAsia="Arial" w:hAnsi="Arial"/>
                <w:sz w:val="16"/>
                <w:szCs w:val="16"/>
                <w:color w:val="auto"/>
              </w:rPr>
              <w:t>3,310,749</w:t>
            </w:r>
            <w:r>
              <w:rPr>
                <w:rFonts w:ascii="Arial" w:cs="Arial" w:eastAsia="Arial" w:hAnsi="Arial"/>
                <w:sz w:val="26"/>
                <w:szCs w:val="26"/>
                <w:color w:val="auto"/>
                <w:vertAlign w:val="superscript"/>
              </w:rPr>
              <w:t>(5)</w:t>
            </w:r>
          </w:p>
        </w:tc>
        <w:tc>
          <w:tcPr>
            <w:tcW w:w="1300" w:type="dxa"/>
            <w:vAlign w:val="bottom"/>
            <w:tcBorders>
              <w:bottom w:val="single" w:sz="8" w:color="808080"/>
            </w:tcBorders>
          </w:tcPr>
          <w:p>
            <w:pPr>
              <w:jc w:val="right"/>
              <w:ind w:right="99"/>
              <w:spacing w:after="0"/>
              <w:rPr>
                <w:sz w:val="20"/>
                <w:szCs w:val="20"/>
                <w:color w:val="auto"/>
              </w:rPr>
            </w:pPr>
            <w:r>
              <w:rPr>
                <w:rFonts w:ascii="Arial" w:cs="Arial" w:eastAsia="Arial" w:hAnsi="Arial"/>
                <w:sz w:val="16"/>
                <w:szCs w:val="16"/>
                <w:color w:val="auto"/>
              </w:rPr>
              <w:t>5.7%</w:t>
            </w:r>
          </w:p>
        </w:tc>
      </w:tr>
      <w:tr>
        <w:trPr>
          <w:trHeight w:val="263"/>
        </w:trPr>
        <w:tc>
          <w:tcPr>
            <w:tcW w:w="4540" w:type="dxa"/>
            <w:vAlign w:val="bottom"/>
            <w:tcBorders>
              <w:bottom w:val="single" w:sz="8" w:color="342C82"/>
            </w:tcBorders>
          </w:tcPr>
          <w:p>
            <w:pPr>
              <w:ind w:left="60"/>
              <w:spacing w:after="0"/>
              <w:rPr>
                <w:sz w:val="20"/>
                <w:szCs w:val="20"/>
                <w:color w:val="auto"/>
              </w:rPr>
            </w:pPr>
            <w:r>
              <w:rPr>
                <w:rFonts w:ascii="Arial" w:cs="Arial" w:eastAsia="Arial" w:hAnsi="Arial"/>
                <w:sz w:val="16"/>
                <w:szCs w:val="16"/>
                <w:b w:val="1"/>
                <w:bCs w:val="1"/>
                <w:color w:val="auto"/>
              </w:rPr>
              <w:t>Entities affiliated with Deerfield Mgmt, L.P.</w:t>
            </w:r>
          </w:p>
        </w:tc>
        <w:tc>
          <w:tcPr>
            <w:tcW w:w="2580" w:type="dxa"/>
            <w:vAlign w:val="bottom"/>
            <w:tcBorders>
              <w:bottom w:val="single" w:sz="8" w:color="342C82"/>
            </w:tcBorders>
          </w:tcPr>
          <w:p>
            <w:pPr>
              <w:jc w:val="right"/>
              <w:ind w:right="360"/>
              <w:spacing w:after="0" w:line="263" w:lineRule="exact"/>
              <w:rPr>
                <w:sz w:val="20"/>
                <w:szCs w:val="20"/>
                <w:color w:val="auto"/>
              </w:rPr>
            </w:pPr>
            <w:r>
              <w:rPr>
                <w:rFonts w:ascii="Arial" w:cs="Arial" w:eastAsia="Arial" w:hAnsi="Arial"/>
                <w:sz w:val="16"/>
                <w:szCs w:val="16"/>
                <w:color w:val="auto"/>
              </w:rPr>
              <w:t>3,075,335</w:t>
            </w:r>
            <w:r>
              <w:rPr>
                <w:rFonts w:ascii="Arial" w:cs="Arial" w:eastAsia="Arial" w:hAnsi="Arial"/>
                <w:sz w:val="26"/>
                <w:szCs w:val="26"/>
                <w:color w:val="auto"/>
                <w:vertAlign w:val="superscript"/>
              </w:rPr>
              <w:t>(6)</w:t>
            </w:r>
          </w:p>
        </w:tc>
        <w:tc>
          <w:tcPr>
            <w:tcW w:w="1300" w:type="dxa"/>
            <w:vAlign w:val="bottom"/>
            <w:tcBorders>
              <w:bottom w:val="single" w:sz="8" w:color="342C82"/>
            </w:tcBorders>
          </w:tcPr>
          <w:p>
            <w:pPr>
              <w:jc w:val="right"/>
              <w:ind w:right="99"/>
              <w:spacing w:after="0"/>
              <w:rPr>
                <w:sz w:val="20"/>
                <w:szCs w:val="20"/>
                <w:color w:val="auto"/>
              </w:rPr>
            </w:pPr>
            <w:r>
              <w:rPr>
                <w:rFonts w:ascii="Arial" w:cs="Arial" w:eastAsia="Arial" w:hAnsi="Arial"/>
                <w:sz w:val="16"/>
                <w:szCs w:val="16"/>
                <w:color w:val="auto"/>
              </w:rPr>
              <w:t>5.3%</w:t>
            </w:r>
          </w:p>
        </w:tc>
      </w:tr>
    </w:tbl>
    <w:p>
      <w:pPr>
        <w:spacing w:after="0" w:line="180" w:lineRule="exact"/>
        <w:rPr>
          <w:sz w:val="20"/>
          <w:szCs w:val="20"/>
          <w:color w:val="auto"/>
        </w:rPr>
      </w:pPr>
    </w:p>
    <w:p>
      <w:pPr>
        <w:ind w:left="580" w:right="999" w:hanging="288"/>
        <w:spacing w:after="0" w:line="204" w:lineRule="auto"/>
        <w:tabs>
          <w:tab w:leader="none" w:pos="580" w:val="left"/>
        </w:tabs>
        <w:numPr>
          <w:ilvl w:val="0"/>
          <w:numId w:val="54"/>
        </w:numPr>
        <w:rPr>
          <w:rFonts w:ascii="Arial" w:cs="Arial" w:eastAsia="Arial" w:hAnsi="Arial"/>
          <w:sz w:val="22"/>
          <w:szCs w:val="22"/>
          <w:color w:val="auto"/>
          <w:vertAlign w:val="superscript"/>
        </w:rPr>
      </w:pPr>
      <w:r>
        <w:rPr>
          <w:rFonts w:ascii="Arial" w:cs="Arial" w:eastAsia="Arial" w:hAnsi="Arial"/>
          <w:sz w:val="14"/>
          <w:szCs w:val="14"/>
          <w:color w:val="auto"/>
        </w:rPr>
        <w:t>The percentage of shares beneficially owned is calculated based on the number of shares of Embecta common stock outstanding as of December 1, 2024.</w:t>
      </w:r>
    </w:p>
    <w:p>
      <w:pPr>
        <w:spacing w:after="0" w:line="26" w:lineRule="exact"/>
        <w:rPr>
          <w:rFonts w:ascii="Arial" w:cs="Arial" w:eastAsia="Arial" w:hAnsi="Arial"/>
          <w:sz w:val="22"/>
          <w:szCs w:val="22"/>
          <w:color w:val="auto"/>
          <w:vertAlign w:val="superscript"/>
        </w:rPr>
      </w:pPr>
    </w:p>
    <w:p>
      <w:pPr>
        <w:ind w:left="580" w:right="439" w:hanging="288"/>
        <w:spacing w:after="0" w:line="220" w:lineRule="auto"/>
        <w:tabs>
          <w:tab w:leader="none" w:pos="580" w:val="left"/>
        </w:tabs>
        <w:numPr>
          <w:ilvl w:val="0"/>
          <w:numId w:val="54"/>
        </w:numPr>
        <w:rPr>
          <w:rFonts w:ascii="Arial" w:cs="Arial" w:eastAsia="Arial" w:hAnsi="Arial"/>
          <w:sz w:val="22"/>
          <w:szCs w:val="22"/>
          <w:color w:val="auto"/>
          <w:vertAlign w:val="superscript"/>
        </w:rPr>
      </w:pPr>
      <w:r>
        <w:rPr>
          <w:rFonts w:ascii="Arial" w:cs="Arial" w:eastAsia="Arial" w:hAnsi="Arial"/>
          <w:sz w:val="14"/>
          <w:szCs w:val="14"/>
          <w:color w:val="auto"/>
        </w:rPr>
        <w:t>Based on a Schedule 13G/A filed by BlackRock, Inc. (“Blackrock”) with the SEC dated January 22, 2024. Such information indicates that Blackrock has sole voting power over 9,278,028 of these shares, sole dispositive power over 9,427,335 of these shares, and no shared voting or dispositive power with respect to these shares. According to the Blackrock 13G/A filing, the address of Blackrock is 50 Hudson Yards, New York, NY 10001.</w:t>
      </w:r>
    </w:p>
    <w:p>
      <w:pPr>
        <w:spacing w:after="0" w:line="27" w:lineRule="exact"/>
        <w:rPr>
          <w:rFonts w:ascii="Arial" w:cs="Arial" w:eastAsia="Arial" w:hAnsi="Arial"/>
          <w:sz w:val="22"/>
          <w:szCs w:val="22"/>
          <w:color w:val="auto"/>
          <w:vertAlign w:val="superscript"/>
        </w:rPr>
      </w:pPr>
    </w:p>
    <w:p>
      <w:pPr>
        <w:ind w:left="580" w:right="419" w:hanging="288"/>
        <w:spacing w:after="0" w:line="220" w:lineRule="auto"/>
        <w:tabs>
          <w:tab w:leader="none" w:pos="580" w:val="left"/>
        </w:tabs>
        <w:numPr>
          <w:ilvl w:val="0"/>
          <w:numId w:val="54"/>
        </w:numPr>
        <w:rPr>
          <w:rFonts w:ascii="Arial" w:cs="Arial" w:eastAsia="Arial" w:hAnsi="Arial"/>
          <w:sz w:val="22"/>
          <w:szCs w:val="22"/>
          <w:color w:val="auto"/>
          <w:vertAlign w:val="superscript"/>
        </w:rPr>
      </w:pPr>
      <w:r>
        <w:rPr>
          <w:rFonts w:ascii="Arial" w:cs="Arial" w:eastAsia="Arial" w:hAnsi="Arial"/>
          <w:sz w:val="14"/>
          <w:szCs w:val="14"/>
          <w:color w:val="auto"/>
        </w:rPr>
        <w:t>Based on a Schedule 13G/A filed by The Vanguard Group (“Vanguard”) with the SEC dated February 13, 2024. Such information indicates that Vanguard has sole voting power over none of these shares, sole dispositive power over 6,901,851 of these shares, shared voting power over 63,099 of these shares, and shared dispositive power over 124,154 of these shares. According to the Vanguard 13G/A filing, the address of Vanguard is 100 Vanguard Blvd., Malvern, PA 19355.</w:t>
      </w:r>
    </w:p>
    <w:p>
      <w:pPr>
        <w:spacing w:after="0" w:line="27" w:lineRule="exact"/>
        <w:rPr>
          <w:rFonts w:ascii="Arial" w:cs="Arial" w:eastAsia="Arial" w:hAnsi="Arial"/>
          <w:sz w:val="22"/>
          <w:szCs w:val="22"/>
          <w:color w:val="auto"/>
          <w:vertAlign w:val="superscript"/>
        </w:rPr>
      </w:pPr>
    </w:p>
    <w:p>
      <w:pPr>
        <w:ind w:left="580" w:right="439" w:hanging="288"/>
        <w:spacing w:after="0" w:line="228" w:lineRule="auto"/>
        <w:tabs>
          <w:tab w:leader="none" w:pos="580" w:val="left"/>
        </w:tabs>
        <w:numPr>
          <w:ilvl w:val="0"/>
          <w:numId w:val="54"/>
        </w:numPr>
        <w:rPr>
          <w:rFonts w:ascii="Arial" w:cs="Arial" w:eastAsia="Arial" w:hAnsi="Arial"/>
          <w:sz w:val="22"/>
          <w:szCs w:val="22"/>
          <w:color w:val="auto"/>
          <w:vertAlign w:val="superscript"/>
        </w:rPr>
      </w:pPr>
      <w:r>
        <w:rPr>
          <w:rFonts w:ascii="Arial" w:cs="Arial" w:eastAsia="Arial" w:hAnsi="Arial"/>
          <w:sz w:val="14"/>
          <w:szCs w:val="14"/>
          <w:color w:val="auto"/>
        </w:rPr>
        <w:t>Based on a Schedule 13G/A jointly filed by American Century Investment Management, Inc. (“ACIM”), American Century Companies, Inc. (“ACC”) and Stowers Institute for Medical Research (“Stowers,” and together with ACIM and ACC, the “AC Entities”) with the SEC dated November 8, 2024. Such information indicates that the AC Entities have sole voting power over 3,235,919 of these shares, sole dispositive power over 3,354,708 of these shares, and no shared voting or dispositive power with respect to these shares. Such information also indicates that ACC is controlled by Stowers, and that ACIM is a wholly-owned subsidiary of ACC and an investment adviser registered under §203 of the Investment Advisers Act of 1940. According to the AC Entities 13G/A filing, the address of AC Entities is 4500 Main Street, 9th Floor, Kansas City, MO 64111.</w:t>
      </w:r>
    </w:p>
    <w:p>
      <w:pPr>
        <w:spacing w:after="0" w:line="30" w:lineRule="exact"/>
        <w:rPr>
          <w:rFonts w:ascii="Arial" w:cs="Arial" w:eastAsia="Arial" w:hAnsi="Arial"/>
          <w:sz w:val="22"/>
          <w:szCs w:val="22"/>
          <w:color w:val="auto"/>
          <w:vertAlign w:val="superscript"/>
        </w:rPr>
      </w:pPr>
    </w:p>
    <w:p>
      <w:pPr>
        <w:ind w:left="580" w:right="339" w:hanging="288"/>
        <w:spacing w:after="0" w:line="210" w:lineRule="auto"/>
        <w:tabs>
          <w:tab w:leader="none" w:pos="580" w:val="left"/>
        </w:tabs>
        <w:numPr>
          <w:ilvl w:val="0"/>
          <w:numId w:val="54"/>
        </w:numPr>
        <w:rPr>
          <w:rFonts w:ascii="Arial" w:cs="Arial" w:eastAsia="Arial" w:hAnsi="Arial"/>
          <w:sz w:val="22"/>
          <w:szCs w:val="22"/>
          <w:color w:val="auto"/>
          <w:vertAlign w:val="superscript"/>
        </w:rPr>
      </w:pPr>
      <w:r>
        <w:rPr>
          <w:rFonts w:ascii="Arial" w:cs="Arial" w:eastAsia="Arial" w:hAnsi="Arial"/>
          <w:sz w:val="14"/>
          <w:szCs w:val="14"/>
          <w:color w:val="auto"/>
        </w:rPr>
        <w:t>Based on a Schedule 13G filed by River Road Asset Management, LLC (“River Road”) with the SEC dated January 30, 2024. Such information indicates that River Road has sole voting power over 3,171,702 of these shares, sole dispositive power over 3,310,749 of these shares, and no shared voting or dispositive power with respect to these shares. According to the River Road 13G filing, the address of River Road is 462 S. 4</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St., Ste 2000, Louisville, KY 40202.</w:t>
      </w:r>
    </w:p>
    <w:p>
      <w:pPr>
        <w:spacing w:after="0" w:line="1" w:lineRule="exact"/>
        <w:rPr>
          <w:rFonts w:ascii="Arial" w:cs="Arial" w:eastAsia="Arial" w:hAnsi="Arial"/>
          <w:sz w:val="22"/>
          <w:szCs w:val="22"/>
          <w:color w:val="auto"/>
          <w:vertAlign w:val="superscript"/>
        </w:rPr>
      </w:pPr>
    </w:p>
    <w:p>
      <w:pPr>
        <w:ind w:left="580" w:right="319" w:hanging="288"/>
        <w:spacing w:after="0" w:line="224" w:lineRule="auto"/>
        <w:tabs>
          <w:tab w:leader="none" w:pos="580" w:val="left"/>
        </w:tabs>
        <w:numPr>
          <w:ilvl w:val="0"/>
          <w:numId w:val="54"/>
        </w:numPr>
        <w:rPr>
          <w:rFonts w:ascii="Arial" w:cs="Arial" w:eastAsia="Arial" w:hAnsi="Arial"/>
          <w:sz w:val="22"/>
          <w:szCs w:val="22"/>
          <w:color w:val="auto"/>
          <w:vertAlign w:val="superscript"/>
        </w:rPr>
      </w:pPr>
      <w:r>
        <w:rPr>
          <w:rFonts w:ascii="Arial" w:cs="Arial" w:eastAsia="Arial" w:hAnsi="Arial"/>
          <w:sz w:val="14"/>
          <w:szCs w:val="14"/>
          <w:color w:val="auto"/>
        </w:rPr>
        <w:t>Based on a Schedule 13G jointly filed by Deerfield Mgmt, L.P., Deerfield Management Company, L.P, Deerfield Partners, L.P. and James E. Flynn (together, “Deerfield”) with the SEC dated October 25, 2024. Such information indicates that Deerfield has shared voting power and shared dispositive power over 3,075,335 of these shares, and no sole voting or dispositive power with respect to these shares. Such information also indicates that the shares disclosed therein comprised of shares held by Deerfield Partners, L.P, of which Deerfield Mgmt, L.P. is the general partner and Deerfield Management Company, L.P. is the investment advisor, and that Mr. Flynn’s ownership comprised of shares held by Deerfield Partners, L.P. According to the Deerfield 13G filing, the principal business address of Deerfield is 345 Park Avenue South, 12</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Floor, New York, NY 10010.</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123825</wp:posOffset>
            </wp:positionV>
            <wp:extent cx="699516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8" w:name="page79"/>
    <w:bookmarkEnd w:id="7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6"/>
          <w:szCs w:val="16"/>
          <w:color w:val="342C82"/>
        </w:rPr>
        <w:t>Ownership of Embecta common stock</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29"/>
          <w:szCs w:val="29"/>
          <w:color w:val="342C82"/>
        </w:rPr>
        <w:t>Securities owned by directors and management</w:t>
      </w:r>
    </w:p>
    <w:p>
      <w:pPr>
        <w:spacing w:after="0" w:line="130" w:lineRule="exact"/>
        <w:rPr>
          <w:sz w:val="20"/>
          <w:szCs w:val="20"/>
          <w:color w:val="auto"/>
        </w:rPr>
      </w:pPr>
    </w:p>
    <w:p>
      <w:pPr>
        <w:jc w:val="both"/>
        <w:ind w:left="300" w:right="479"/>
        <w:spacing w:after="0" w:line="259" w:lineRule="auto"/>
        <w:rPr>
          <w:sz w:val="20"/>
          <w:szCs w:val="20"/>
          <w:color w:val="auto"/>
        </w:rPr>
      </w:pPr>
      <w:r>
        <w:rPr>
          <w:rFonts w:ascii="Arial" w:cs="Arial" w:eastAsia="Arial" w:hAnsi="Arial"/>
          <w:sz w:val="16"/>
          <w:szCs w:val="16"/>
          <w:color w:val="auto"/>
        </w:rPr>
        <w:t>The following table sets forth as of December 1, 2024 information concerning the beneficial ownership of Embecta common stock by (i) each director and nominee, (ii) the NEOs, and (iii) all Embecta directors and executive officers as a group. Each person has the sole power to vote and dispose of the shares he or she beneficially owns. None of Embecta’s directors or executive officers has pledged or hedged against any of the shares listed.</w:t>
      </w:r>
    </w:p>
    <w:p>
      <w:pPr>
        <w:spacing w:after="0" w:line="178" w:lineRule="exact"/>
        <w:rPr>
          <w:sz w:val="20"/>
          <w:szCs w:val="20"/>
          <w:color w:val="auto"/>
        </w:rPr>
      </w:pPr>
    </w:p>
    <w:tbl>
      <w:tblPr>
        <w:tblLayout w:type="fixed"/>
        <w:tblInd w:w="300" w:type="dxa"/>
        <w:tblCellMar>
          <w:top w:w="0" w:type="dxa"/>
          <w:left w:w="0" w:type="dxa"/>
          <w:bottom w:w="0" w:type="dxa"/>
          <w:right w:w="0" w:type="dxa"/>
        </w:tblCellMar>
      </w:tblPr>
      <w:tr>
        <w:trPr>
          <w:trHeight w:val="223"/>
        </w:trPr>
        <w:tc>
          <w:tcPr>
            <w:tcW w:w="4580" w:type="dxa"/>
            <w:vAlign w:val="bottom"/>
          </w:tcPr>
          <w:p>
            <w:pPr>
              <w:spacing w:after="0"/>
              <w:rPr>
                <w:sz w:val="19"/>
                <w:szCs w:val="19"/>
                <w:color w:val="auto"/>
              </w:rPr>
            </w:pPr>
          </w:p>
        </w:tc>
        <w:tc>
          <w:tcPr>
            <w:tcW w:w="3840" w:type="dxa"/>
            <w:vAlign w:val="bottom"/>
            <w:gridSpan w:val="2"/>
          </w:tcPr>
          <w:p>
            <w:pPr>
              <w:jc w:val="right"/>
              <w:ind w:right="819"/>
              <w:spacing w:after="0"/>
              <w:rPr>
                <w:sz w:val="20"/>
                <w:szCs w:val="20"/>
                <w:color w:val="auto"/>
              </w:rPr>
            </w:pPr>
            <w:r>
              <w:rPr>
                <w:rFonts w:ascii="Arial" w:cs="Arial" w:eastAsia="Arial" w:hAnsi="Arial"/>
                <w:sz w:val="16"/>
                <w:szCs w:val="16"/>
                <w:b w:val="1"/>
                <w:bCs w:val="1"/>
                <w:color w:val="auto"/>
              </w:rPr>
              <w:t>Embecta Common Stock</w:t>
            </w:r>
          </w:p>
        </w:tc>
      </w:tr>
      <w:tr>
        <w:trPr>
          <w:trHeight w:val="21"/>
        </w:trPr>
        <w:tc>
          <w:tcPr>
            <w:tcW w:w="4580" w:type="dxa"/>
            <w:vAlign w:val="bottom"/>
          </w:tcPr>
          <w:p>
            <w:pPr>
              <w:spacing w:after="0" w:line="20" w:lineRule="exact"/>
              <w:rPr>
                <w:sz w:val="1"/>
                <w:szCs w:val="1"/>
                <w:color w:val="auto"/>
              </w:rPr>
            </w:pPr>
          </w:p>
        </w:tc>
        <w:tc>
          <w:tcPr>
            <w:tcW w:w="2240" w:type="dxa"/>
            <w:vAlign w:val="bottom"/>
            <w:tcBorders>
              <w:bottom w:val="single" w:sz="8" w:color="342C82"/>
            </w:tcBorders>
          </w:tcPr>
          <w:p>
            <w:pPr>
              <w:spacing w:after="0" w:line="20" w:lineRule="exact"/>
              <w:rPr>
                <w:sz w:val="1"/>
                <w:szCs w:val="1"/>
                <w:color w:val="auto"/>
              </w:rPr>
            </w:pPr>
          </w:p>
        </w:tc>
        <w:tc>
          <w:tcPr>
            <w:tcW w:w="1600" w:type="dxa"/>
            <w:vAlign w:val="bottom"/>
            <w:tcBorders>
              <w:bottom w:val="single" w:sz="8" w:color="342C82"/>
            </w:tcBorders>
          </w:tcPr>
          <w:p>
            <w:pPr>
              <w:spacing w:after="0" w:line="20" w:lineRule="exact"/>
              <w:rPr>
                <w:sz w:val="1"/>
                <w:szCs w:val="1"/>
                <w:color w:val="auto"/>
              </w:rPr>
            </w:pPr>
          </w:p>
        </w:tc>
      </w:tr>
      <w:tr>
        <w:trPr>
          <w:trHeight w:val="195"/>
        </w:trPr>
        <w:tc>
          <w:tcPr>
            <w:tcW w:w="4580" w:type="dxa"/>
            <w:vAlign w:val="bottom"/>
          </w:tcPr>
          <w:p>
            <w:pPr>
              <w:spacing w:after="0"/>
              <w:rPr>
                <w:sz w:val="16"/>
                <w:szCs w:val="16"/>
                <w:color w:val="auto"/>
              </w:rPr>
            </w:pPr>
          </w:p>
        </w:tc>
        <w:tc>
          <w:tcPr>
            <w:tcW w:w="2240" w:type="dxa"/>
            <w:vAlign w:val="bottom"/>
          </w:tcPr>
          <w:p>
            <w:pPr>
              <w:jc w:val="right"/>
              <w:ind w:right="259"/>
              <w:spacing w:after="0"/>
              <w:rPr>
                <w:sz w:val="20"/>
                <w:szCs w:val="20"/>
                <w:color w:val="auto"/>
              </w:rPr>
            </w:pPr>
            <w:r>
              <w:rPr>
                <w:rFonts w:ascii="Arial" w:cs="Arial" w:eastAsia="Arial" w:hAnsi="Arial"/>
                <w:sz w:val="16"/>
                <w:szCs w:val="16"/>
                <w:b w:val="1"/>
                <w:bCs w:val="1"/>
                <w:color w:val="auto"/>
              </w:rPr>
              <w:t>Amount and nature</w:t>
            </w:r>
          </w:p>
        </w:tc>
        <w:tc>
          <w:tcPr>
            <w:tcW w:w="1600" w:type="dxa"/>
            <w:vAlign w:val="bottom"/>
          </w:tcPr>
          <w:p>
            <w:pPr>
              <w:spacing w:after="0"/>
              <w:rPr>
                <w:sz w:val="16"/>
                <w:szCs w:val="16"/>
                <w:color w:val="auto"/>
              </w:rPr>
            </w:pPr>
          </w:p>
        </w:tc>
      </w:tr>
      <w:tr>
        <w:trPr>
          <w:trHeight w:val="188"/>
        </w:trPr>
        <w:tc>
          <w:tcPr>
            <w:tcW w:w="4580" w:type="dxa"/>
            <w:vAlign w:val="bottom"/>
          </w:tcPr>
          <w:p>
            <w:pPr>
              <w:spacing w:after="0"/>
              <w:rPr>
                <w:sz w:val="16"/>
                <w:szCs w:val="16"/>
                <w:color w:val="auto"/>
              </w:rPr>
            </w:pPr>
          </w:p>
        </w:tc>
        <w:tc>
          <w:tcPr>
            <w:tcW w:w="2240" w:type="dxa"/>
            <w:vAlign w:val="bottom"/>
          </w:tcPr>
          <w:p>
            <w:pPr>
              <w:jc w:val="right"/>
              <w:ind w:right="259"/>
              <w:spacing w:after="0"/>
              <w:rPr>
                <w:sz w:val="20"/>
                <w:szCs w:val="20"/>
                <w:color w:val="auto"/>
              </w:rPr>
            </w:pPr>
            <w:r>
              <w:rPr>
                <w:rFonts w:ascii="Arial" w:cs="Arial" w:eastAsia="Arial" w:hAnsi="Arial"/>
                <w:sz w:val="16"/>
                <w:szCs w:val="16"/>
                <w:b w:val="1"/>
                <w:bCs w:val="1"/>
                <w:color w:val="auto"/>
              </w:rPr>
              <w:t>of beneficial</w:t>
            </w:r>
          </w:p>
        </w:tc>
        <w:tc>
          <w:tcPr>
            <w:tcW w:w="1600" w:type="dxa"/>
            <w:vAlign w:val="bottom"/>
          </w:tcPr>
          <w:p>
            <w:pPr>
              <w:spacing w:after="0"/>
              <w:rPr>
                <w:sz w:val="16"/>
                <w:szCs w:val="16"/>
                <w:color w:val="auto"/>
              </w:rPr>
            </w:pPr>
          </w:p>
        </w:tc>
      </w:tr>
      <w:tr>
        <w:trPr>
          <w:trHeight w:val="285"/>
        </w:trPr>
        <w:tc>
          <w:tcPr>
            <w:tcW w:w="4580" w:type="dxa"/>
            <w:vAlign w:val="bottom"/>
            <w:tcBorders>
              <w:bottom w:val="single" w:sz="8" w:color="342C82"/>
            </w:tcBorders>
          </w:tcPr>
          <w:p>
            <w:pPr>
              <w:ind w:left="80"/>
              <w:spacing w:after="0"/>
              <w:rPr>
                <w:sz w:val="20"/>
                <w:szCs w:val="20"/>
                <w:color w:val="auto"/>
              </w:rPr>
            </w:pPr>
            <w:r>
              <w:rPr>
                <w:rFonts w:ascii="Arial" w:cs="Arial" w:eastAsia="Arial" w:hAnsi="Arial"/>
                <w:sz w:val="16"/>
                <w:szCs w:val="16"/>
                <w:b w:val="1"/>
                <w:bCs w:val="1"/>
                <w:color w:val="auto"/>
              </w:rPr>
              <w:t>Name and address of beneficial owner</w:t>
            </w:r>
          </w:p>
        </w:tc>
        <w:tc>
          <w:tcPr>
            <w:tcW w:w="2240" w:type="dxa"/>
            <w:vAlign w:val="bottom"/>
            <w:tcBorders>
              <w:bottom w:val="single" w:sz="8" w:color="342C82"/>
            </w:tcBorders>
          </w:tcPr>
          <w:p>
            <w:pPr>
              <w:jc w:val="right"/>
              <w:ind w:right="219"/>
              <w:spacing w:after="0" w:line="285" w:lineRule="exact"/>
              <w:rPr>
                <w:sz w:val="20"/>
                <w:szCs w:val="20"/>
                <w:color w:val="auto"/>
              </w:rPr>
            </w:pPr>
            <w:r>
              <w:rPr>
                <w:rFonts w:ascii="Arial" w:cs="Arial" w:eastAsia="Arial" w:hAnsi="Arial"/>
                <w:sz w:val="16"/>
                <w:szCs w:val="16"/>
                <w:b w:val="1"/>
                <w:bCs w:val="1"/>
                <w:color w:val="auto"/>
              </w:rPr>
              <w:t>ownership</w:t>
            </w:r>
            <w:r>
              <w:rPr>
                <w:rFonts w:ascii="Arial" w:cs="Arial" w:eastAsia="Arial" w:hAnsi="Arial"/>
                <w:sz w:val="26"/>
                <w:szCs w:val="26"/>
                <w:b w:val="1"/>
                <w:bCs w:val="1"/>
                <w:color w:val="auto"/>
                <w:vertAlign w:val="superscript"/>
              </w:rPr>
              <w:t>(1)(2)</w:t>
            </w:r>
          </w:p>
        </w:tc>
        <w:tc>
          <w:tcPr>
            <w:tcW w:w="1600" w:type="dxa"/>
            <w:vAlign w:val="bottom"/>
            <w:tcBorders>
              <w:bottom w:val="single" w:sz="8" w:color="342C82"/>
            </w:tcBorders>
          </w:tcPr>
          <w:p>
            <w:pPr>
              <w:jc w:val="right"/>
              <w:spacing w:after="0"/>
              <w:rPr>
                <w:sz w:val="20"/>
                <w:szCs w:val="20"/>
                <w:color w:val="auto"/>
              </w:rPr>
            </w:pPr>
            <w:r>
              <w:rPr>
                <w:rFonts w:ascii="Arial" w:cs="Arial" w:eastAsia="Arial" w:hAnsi="Arial"/>
                <w:sz w:val="16"/>
                <w:szCs w:val="16"/>
                <w:b w:val="1"/>
                <w:bCs w:val="1"/>
                <w:color w:val="auto"/>
              </w:rPr>
              <w:t>Percent of class</w:t>
            </w:r>
          </w:p>
        </w:tc>
      </w:tr>
      <w:tr>
        <w:trPr>
          <w:trHeight w:val="221"/>
        </w:trPr>
        <w:tc>
          <w:tcPr>
            <w:tcW w:w="4580" w:type="dxa"/>
            <w:vAlign w:val="bottom"/>
          </w:tcPr>
          <w:p>
            <w:pPr>
              <w:ind w:left="80"/>
              <w:spacing w:after="0"/>
              <w:rPr>
                <w:sz w:val="20"/>
                <w:szCs w:val="20"/>
                <w:color w:val="auto"/>
              </w:rPr>
            </w:pPr>
            <w:r>
              <w:rPr>
                <w:rFonts w:ascii="Arial" w:cs="Arial" w:eastAsia="Arial" w:hAnsi="Arial"/>
                <w:sz w:val="16"/>
                <w:szCs w:val="16"/>
                <w:color w:val="auto"/>
              </w:rPr>
              <w:t>Devdatt (Dev) Kurdikar</w:t>
            </w:r>
          </w:p>
        </w:tc>
        <w:tc>
          <w:tcPr>
            <w:tcW w:w="2240" w:type="dxa"/>
            <w:vAlign w:val="bottom"/>
          </w:tcPr>
          <w:p>
            <w:pPr>
              <w:jc w:val="right"/>
              <w:ind w:right="299"/>
              <w:spacing w:after="0"/>
              <w:rPr>
                <w:sz w:val="20"/>
                <w:szCs w:val="20"/>
                <w:color w:val="auto"/>
              </w:rPr>
            </w:pPr>
            <w:r>
              <w:rPr>
                <w:rFonts w:ascii="Arial" w:cs="Arial" w:eastAsia="Arial" w:hAnsi="Arial"/>
                <w:sz w:val="16"/>
                <w:szCs w:val="16"/>
                <w:color w:val="auto"/>
              </w:rPr>
              <w:t>61,224</w:t>
            </w: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4580" w:type="dxa"/>
            <w:vAlign w:val="bottom"/>
            <w:tcBorders>
              <w:bottom w:val="single" w:sz="8" w:color="808080"/>
            </w:tcBorders>
          </w:tcPr>
          <w:p>
            <w:pPr>
              <w:spacing w:after="0"/>
              <w:rPr>
                <w:sz w:val="2"/>
                <w:szCs w:val="2"/>
                <w:color w:val="auto"/>
              </w:rPr>
            </w:pPr>
          </w:p>
        </w:tc>
        <w:tc>
          <w:tcPr>
            <w:tcW w:w="2240" w:type="dxa"/>
            <w:vAlign w:val="bottom"/>
            <w:tcBorders>
              <w:bottom w:val="single" w:sz="8" w:color="808080"/>
            </w:tcBorders>
          </w:tcPr>
          <w:p>
            <w:pPr>
              <w:spacing w:after="0"/>
              <w:rPr>
                <w:sz w:val="2"/>
                <w:szCs w:val="2"/>
                <w:color w:val="auto"/>
              </w:rPr>
            </w:pPr>
          </w:p>
        </w:tc>
        <w:tc>
          <w:tcPr>
            <w:tcW w:w="1600" w:type="dxa"/>
            <w:vAlign w:val="bottom"/>
            <w:tcBorders>
              <w:bottom w:val="single" w:sz="8" w:color="808080"/>
            </w:tcBorders>
          </w:tcPr>
          <w:p>
            <w:pPr>
              <w:spacing w:after="0"/>
              <w:rPr>
                <w:sz w:val="2"/>
                <w:szCs w:val="2"/>
                <w:color w:val="auto"/>
              </w:rPr>
            </w:pPr>
          </w:p>
        </w:tc>
      </w:tr>
      <w:tr>
        <w:trPr>
          <w:trHeight w:val="221"/>
        </w:trPr>
        <w:tc>
          <w:tcPr>
            <w:tcW w:w="4580" w:type="dxa"/>
            <w:vAlign w:val="bottom"/>
          </w:tcPr>
          <w:p>
            <w:pPr>
              <w:ind w:left="80"/>
              <w:spacing w:after="0"/>
              <w:rPr>
                <w:sz w:val="20"/>
                <w:szCs w:val="20"/>
                <w:color w:val="auto"/>
              </w:rPr>
            </w:pPr>
            <w:r>
              <w:rPr>
                <w:rFonts w:ascii="Arial" w:cs="Arial" w:eastAsia="Arial" w:hAnsi="Arial"/>
                <w:sz w:val="16"/>
                <w:szCs w:val="16"/>
                <w:color w:val="auto"/>
              </w:rPr>
              <w:t>David F. Melcher</w:t>
            </w:r>
          </w:p>
        </w:tc>
        <w:tc>
          <w:tcPr>
            <w:tcW w:w="2240" w:type="dxa"/>
            <w:vAlign w:val="bottom"/>
          </w:tcPr>
          <w:p>
            <w:pPr>
              <w:jc w:val="right"/>
              <w:ind w:right="299"/>
              <w:spacing w:after="0"/>
              <w:rPr>
                <w:sz w:val="20"/>
                <w:szCs w:val="20"/>
                <w:color w:val="auto"/>
              </w:rPr>
            </w:pPr>
            <w:r>
              <w:rPr>
                <w:rFonts w:ascii="Arial" w:cs="Arial" w:eastAsia="Arial" w:hAnsi="Arial"/>
                <w:sz w:val="16"/>
                <w:szCs w:val="16"/>
                <w:color w:val="auto"/>
              </w:rPr>
              <w:t>30,192</w:t>
            </w: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4580" w:type="dxa"/>
            <w:vAlign w:val="bottom"/>
            <w:tcBorders>
              <w:bottom w:val="single" w:sz="8" w:color="808080"/>
            </w:tcBorders>
          </w:tcPr>
          <w:p>
            <w:pPr>
              <w:spacing w:after="0"/>
              <w:rPr>
                <w:sz w:val="2"/>
                <w:szCs w:val="2"/>
                <w:color w:val="auto"/>
              </w:rPr>
            </w:pPr>
          </w:p>
        </w:tc>
        <w:tc>
          <w:tcPr>
            <w:tcW w:w="2240" w:type="dxa"/>
            <w:vAlign w:val="bottom"/>
            <w:tcBorders>
              <w:bottom w:val="single" w:sz="8" w:color="808080"/>
            </w:tcBorders>
          </w:tcPr>
          <w:p>
            <w:pPr>
              <w:spacing w:after="0"/>
              <w:rPr>
                <w:sz w:val="2"/>
                <w:szCs w:val="2"/>
                <w:color w:val="auto"/>
              </w:rPr>
            </w:pPr>
          </w:p>
        </w:tc>
        <w:tc>
          <w:tcPr>
            <w:tcW w:w="1600" w:type="dxa"/>
            <w:vAlign w:val="bottom"/>
            <w:tcBorders>
              <w:bottom w:val="single" w:sz="8" w:color="808080"/>
            </w:tcBorders>
          </w:tcPr>
          <w:p>
            <w:pPr>
              <w:spacing w:after="0"/>
              <w:rPr>
                <w:sz w:val="2"/>
                <w:szCs w:val="2"/>
                <w:color w:val="auto"/>
              </w:rPr>
            </w:pPr>
          </w:p>
        </w:tc>
      </w:tr>
      <w:tr>
        <w:trPr>
          <w:trHeight w:val="221"/>
        </w:trPr>
        <w:tc>
          <w:tcPr>
            <w:tcW w:w="4580" w:type="dxa"/>
            <w:vAlign w:val="bottom"/>
          </w:tcPr>
          <w:p>
            <w:pPr>
              <w:ind w:left="80"/>
              <w:spacing w:after="0"/>
              <w:rPr>
                <w:sz w:val="20"/>
                <w:szCs w:val="20"/>
                <w:color w:val="auto"/>
              </w:rPr>
            </w:pPr>
            <w:r>
              <w:rPr>
                <w:rFonts w:ascii="Arial" w:cs="Arial" w:eastAsia="Arial" w:hAnsi="Arial"/>
                <w:sz w:val="16"/>
                <w:szCs w:val="16"/>
                <w:color w:val="auto"/>
              </w:rPr>
              <w:t>David J. Albritton</w:t>
            </w:r>
          </w:p>
        </w:tc>
        <w:tc>
          <w:tcPr>
            <w:tcW w:w="2240" w:type="dxa"/>
            <w:vAlign w:val="bottom"/>
          </w:tcPr>
          <w:p>
            <w:pPr>
              <w:jc w:val="right"/>
              <w:ind w:right="299"/>
              <w:spacing w:after="0"/>
              <w:rPr>
                <w:sz w:val="20"/>
                <w:szCs w:val="20"/>
                <w:color w:val="auto"/>
              </w:rPr>
            </w:pPr>
            <w:r>
              <w:rPr>
                <w:rFonts w:ascii="Arial" w:cs="Arial" w:eastAsia="Arial" w:hAnsi="Arial"/>
                <w:sz w:val="16"/>
                <w:szCs w:val="16"/>
                <w:color w:val="auto"/>
              </w:rPr>
              <w:t>13,880</w:t>
            </w: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4580" w:type="dxa"/>
            <w:vAlign w:val="bottom"/>
            <w:tcBorders>
              <w:bottom w:val="single" w:sz="8" w:color="808080"/>
            </w:tcBorders>
          </w:tcPr>
          <w:p>
            <w:pPr>
              <w:spacing w:after="0"/>
              <w:rPr>
                <w:sz w:val="2"/>
                <w:szCs w:val="2"/>
                <w:color w:val="auto"/>
              </w:rPr>
            </w:pPr>
          </w:p>
        </w:tc>
        <w:tc>
          <w:tcPr>
            <w:tcW w:w="2240" w:type="dxa"/>
            <w:vAlign w:val="bottom"/>
            <w:tcBorders>
              <w:bottom w:val="single" w:sz="8" w:color="808080"/>
            </w:tcBorders>
          </w:tcPr>
          <w:p>
            <w:pPr>
              <w:spacing w:after="0"/>
              <w:rPr>
                <w:sz w:val="2"/>
                <w:szCs w:val="2"/>
                <w:color w:val="auto"/>
              </w:rPr>
            </w:pPr>
          </w:p>
        </w:tc>
        <w:tc>
          <w:tcPr>
            <w:tcW w:w="1600" w:type="dxa"/>
            <w:vAlign w:val="bottom"/>
            <w:tcBorders>
              <w:bottom w:val="single" w:sz="8" w:color="808080"/>
            </w:tcBorders>
          </w:tcPr>
          <w:p>
            <w:pPr>
              <w:spacing w:after="0"/>
              <w:rPr>
                <w:sz w:val="2"/>
                <w:szCs w:val="2"/>
                <w:color w:val="auto"/>
              </w:rPr>
            </w:pPr>
          </w:p>
        </w:tc>
      </w:tr>
      <w:tr>
        <w:trPr>
          <w:trHeight w:val="221"/>
        </w:trPr>
        <w:tc>
          <w:tcPr>
            <w:tcW w:w="4580" w:type="dxa"/>
            <w:vAlign w:val="bottom"/>
          </w:tcPr>
          <w:p>
            <w:pPr>
              <w:ind w:left="80"/>
              <w:spacing w:after="0"/>
              <w:rPr>
                <w:sz w:val="20"/>
                <w:szCs w:val="20"/>
                <w:color w:val="auto"/>
              </w:rPr>
            </w:pPr>
            <w:r>
              <w:rPr>
                <w:rFonts w:ascii="Arial" w:cs="Arial" w:eastAsia="Arial" w:hAnsi="Arial"/>
                <w:sz w:val="16"/>
                <w:szCs w:val="16"/>
                <w:color w:val="auto"/>
              </w:rPr>
              <w:t>Carrie L. Anderson</w:t>
            </w:r>
          </w:p>
        </w:tc>
        <w:tc>
          <w:tcPr>
            <w:tcW w:w="2240" w:type="dxa"/>
            <w:vAlign w:val="bottom"/>
          </w:tcPr>
          <w:p>
            <w:pPr>
              <w:jc w:val="right"/>
              <w:ind w:right="299"/>
              <w:spacing w:after="0"/>
              <w:rPr>
                <w:sz w:val="20"/>
                <w:szCs w:val="20"/>
                <w:color w:val="auto"/>
              </w:rPr>
            </w:pPr>
            <w:r>
              <w:rPr>
                <w:rFonts w:ascii="Arial" w:cs="Arial" w:eastAsia="Arial" w:hAnsi="Arial"/>
                <w:sz w:val="16"/>
                <w:szCs w:val="16"/>
                <w:color w:val="auto"/>
              </w:rPr>
              <w:t>13,880</w:t>
            </w: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4580" w:type="dxa"/>
            <w:vAlign w:val="bottom"/>
            <w:tcBorders>
              <w:bottom w:val="single" w:sz="8" w:color="808080"/>
            </w:tcBorders>
          </w:tcPr>
          <w:p>
            <w:pPr>
              <w:spacing w:after="0"/>
              <w:rPr>
                <w:sz w:val="2"/>
                <w:szCs w:val="2"/>
                <w:color w:val="auto"/>
              </w:rPr>
            </w:pPr>
          </w:p>
        </w:tc>
        <w:tc>
          <w:tcPr>
            <w:tcW w:w="2240" w:type="dxa"/>
            <w:vAlign w:val="bottom"/>
            <w:tcBorders>
              <w:bottom w:val="single" w:sz="8" w:color="808080"/>
            </w:tcBorders>
          </w:tcPr>
          <w:p>
            <w:pPr>
              <w:spacing w:after="0"/>
              <w:rPr>
                <w:sz w:val="2"/>
                <w:szCs w:val="2"/>
                <w:color w:val="auto"/>
              </w:rPr>
            </w:pPr>
          </w:p>
        </w:tc>
        <w:tc>
          <w:tcPr>
            <w:tcW w:w="1600" w:type="dxa"/>
            <w:vAlign w:val="bottom"/>
            <w:tcBorders>
              <w:bottom w:val="single" w:sz="8" w:color="808080"/>
            </w:tcBorders>
          </w:tcPr>
          <w:p>
            <w:pPr>
              <w:spacing w:after="0"/>
              <w:rPr>
                <w:sz w:val="2"/>
                <w:szCs w:val="2"/>
                <w:color w:val="auto"/>
              </w:rPr>
            </w:pPr>
          </w:p>
        </w:tc>
      </w:tr>
      <w:tr>
        <w:trPr>
          <w:trHeight w:val="221"/>
        </w:trPr>
        <w:tc>
          <w:tcPr>
            <w:tcW w:w="4580" w:type="dxa"/>
            <w:vAlign w:val="bottom"/>
          </w:tcPr>
          <w:p>
            <w:pPr>
              <w:ind w:left="80"/>
              <w:spacing w:after="0"/>
              <w:rPr>
                <w:sz w:val="20"/>
                <w:szCs w:val="20"/>
                <w:color w:val="auto"/>
              </w:rPr>
            </w:pPr>
            <w:r>
              <w:rPr>
                <w:rFonts w:ascii="Arial" w:cs="Arial" w:eastAsia="Arial" w:hAnsi="Arial"/>
                <w:sz w:val="16"/>
                <w:szCs w:val="16"/>
                <w:color w:val="auto"/>
              </w:rPr>
              <w:t>Robert (Bob) J. Hombach</w:t>
            </w:r>
          </w:p>
        </w:tc>
        <w:tc>
          <w:tcPr>
            <w:tcW w:w="2240" w:type="dxa"/>
            <w:vAlign w:val="bottom"/>
          </w:tcPr>
          <w:p>
            <w:pPr>
              <w:jc w:val="right"/>
              <w:ind w:right="299"/>
              <w:spacing w:after="0"/>
              <w:rPr>
                <w:sz w:val="20"/>
                <w:szCs w:val="20"/>
                <w:color w:val="auto"/>
              </w:rPr>
            </w:pPr>
            <w:r>
              <w:rPr>
                <w:rFonts w:ascii="Arial" w:cs="Arial" w:eastAsia="Arial" w:hAnsi="Arial"/>
                <w:sz w:val="16"/>
                <w:szCs w:val="16"/>
                <w:color w:val="auto"/>
              </w:rPr>
              <w:t>13,886</w:t>
            </w: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4580" w:type="dxa"/>
            <w:vAlign w:val="bottom"/>
            <w:tcBorders>
              <w:bottom w:val="single" w:sz="8" w:color="808080"/>
            </w:tcBorders>
          </w:tcPr>
          <w:p>
            <w:pPr>
              <w:spacing w:after="0"/>
              <w:rPr>
                <w:sz w:val="2"/>
                <w:szCs w:val="2"/>
                <w:color w:val="auto"/>
              </w:rPr>
            </w:pPr>
          </w:p>
        </w:tc>
        <w:tc>
          <w:tcPr>
            <w:tcW w:w="2240" w:type="dxa"/>
            <w:vAlign w:val="bottom"/>
            <w:tcBorders>
              <w:bottom w:val="single" w:sz="8" w:color="808080"/>
            </w:tcBorders>
          </w:tcPr>
          <w:p>
            <w:pPr>
              <w:spacing w:after="0"/>
              <w:rPr>
                <w:sz w:val="2"/>
                <w:szCs w:val="2"/>
                <w:color w:val="auto"/>
              </w:rPr>
            </w:pPr>
          </w:p>
        </w:tc>
        <w:tc>
          <w:tcPr>
            <w:tcW w:w="1600" w:type="dxa"/>
            <w:vAlign w:val="bottom"/>
            <w:tcBorders>
              <w:bottom w:val="single" w:sz="8" w:color="808080"/>
            </w:tcBorders>
          </w:tcPr>
          <w:p>
            <w:pPr>
              <w:spacing w:after="0"/>
              <w:rPr>
                <w:sz w:val="2"/>
                <w:szCs w:val="2"/>
                <w:color w:val="auto"/>
              </w:rPr>
            </w:pPr>
          </w:p>
        </w:tc>
      </w:tr>
      <w:tr>
        <w:trPr>
          <w:trHeight w:val="221"/>
        </w:trPr>
        <w:tc>
          <w:tcPr>
            <w:tcW w:w="4580" w:type="dxa"/>
            <w:vAlign w:val="bottom"/>
          </w:tcPr>
          <w:p>
            <w:pPr>
              <w:ind w:left="80"/>
              <w:spacing w:after="0"/>
              <w:rPr>
                <w:sz w:val="20"/>
                <w:szCs w:val="20"/>
                <w:color w:val="auto"/>
              </w:rPr>
            </w:pPr>
            <w:r>
              <w:rPr>
                <w:rFonts w:ascii="Arial" w:cs="Arial" w:eastAsia="Arial" w:hAnsi="Arial"/>
                <w:sz w:val="16"/>
                <w:szCs w:val="16"/>
                <w:color w:val="auto"/>
              </w:rPr>
              <w:t>Milton M. Morris, Ph.D.</w:t>
            </w:r>
          </w:p>
        </w:tc>
        <w:tc>
          <w:tcPr>
            <w:tcW w:w="2240" w:type="dxa"/>
            <w:vAlign w:val="bottom"/>
          </w:tcPr>
          <w:p>
            <w:pPr>
              <w:jc w:val="right"/>
              <w:ind w:right="299"/>
              <w:spacing w:after="0"/>
              <w:rPr>
                <w:sz w:val="20"/>
                <w:szCs w:val="20"/>
                <w:color w:val="auto"/>
              </w:rPr>
            </w:pPr>
            <w:r>
              <w:rPr>
                <w:rFonts w:ascii="Arial" w:cs="Arial" w:eastAsia="Arial" w:hAnsi="Arial"/>
                <w:sz w:val="16"/>
                <w:szCs w:val="16"/>
                <w:color w:val="auto"/>
              </w:rPr>
              <w:t>13,473</w:t>
            </w: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4580" w:type="dxa"/>
            <w:vAlign w:val="bottom"/>
            <w:tcBorders>
              <w:bottom w:val="single" w:sz="8" w:color="808080"/>
            </w:tcBorders>
          </w:tcPr>
          <w:p>
            <w:pPr>
              <w:spacing w:after="0"/>
              <w:rPr>
                <w:sz w:val="2"/>
                <w:szCs w:val="2"/>
                <w:color w:val="auto"/>
              </w:rPr>
            </w:pPr>
          </w:p>
        </w:tc>
        <w:tc>
          <w:tcPr>
            <w:tcW w:w="2240" w:type="dxa"/>
            <w:vAlign w:val="bottom"/>
            <w:tcBorders>
              <w:bottom w:val="single" w:sz="8" w:color="808080"/>
            </w:tcBorders>
          </w:tcPr>
          <w:p>
            <w:pPr>
              <w:spacing w:after="0"/>
              <w:rPr>
                <w:sz w:val="2"/>
                <w:szCs w:val="2"/>
                <w:color w:val="auto"/>
              </w:rPr>
            </w:pPr>
          </w:p>
        </w:tc>
        <w:tc>
          <w:tcPr>
            <w:tcW w:w="1600" w:type="dxa"/>
            <w:vAlign w:val="bottom"/>
            <w:tcBorders>
              <w:bottom w:val="single" w:sz="8" w:color="808080"/>
            </w:tcBorders>
          </w:tcPr>
          <w:p>
            <w:pPr>
              <w:spacing w:after="0"/>
              <w:rPr>
                <w:sz w:val="2"/>
                <w:szCs w:val="2"/>
                <w:color w:val="auto"/>
              </w:rPr>
            </w:pPr>
          </w:p>
        </w:tc>
      </w:tr>
      <w:tr>
        <w:trPr>
          <w:trHeight w:val="221"/>
        </w:trPr>
        <w:tc>
          <w:tcPr>
            <w:tcW w:w="4580" w:type="dxa"/>
            <w:vAlign w:val="bottom"/>
          </w:tcPr>
          <w:p>
            <w:pPr>
              <w:ind w:left="80"/>
              <w:spacing w:after="0"/>
              <w:rPr>
                <w:sz w:val="20"/>
                <w:szCs w:val="20"/>
                <w:color w:val="auto"/>
              </w:rPr>
            </w:pPr>
            <w:r>
              <w:rPr>
                <w:rFonts w:ascii="Arial" w:cs="Arial" w:eastAsia="Arial" w:hAnsi="Arial"/>
                <w:sz w:val="16"/>
                <w:szCs w:val="16"/>
                <w:color w:val="auto"/>
              </w:rPr>
              <w:t>Claire Pomeroy, M.D.</w:t>
            </w:r>
          </w:p>
        </w:tc>
        <w:tc>
          <w:tcPr>
            <w:tcW w:w="2240" w:type="dxa"/>
            <w:vAlign w:val="bottom"/>
          </w:tcPr>
          <w:p>
            <w:pPr>
              <w:jc w:val="right"/>
              <w:ind w:right="299"/>
              <w:spacing w:after="0"/>
              <w:rPr>
                <w:sz w:val="20"/>
                <w:szCs w:val="20"/>
                <w:color w:val="auto"/>
              </w:rPr>
            </w:pPr>
            <w:r>
              <w:rPr>
                <w:rFonts w:ascii="Arial" w:cs="Arial" w:eastAsia="Arial" w:hAnsi="Arial"/>
                <w:sz w:val="16"/>
                <w:szCs w:val="16"/>
                <w:color w:val="auto"/>
              </w:rPr>
              <w:t>13,880</w:t>
            </w: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4580" w:type="dxa"/>
            <w:vAlign w:val="bottom"/>
            <w:tcBorders>
              <w:bottom w:val="single" w:sz="8" w:color="808080"/>
            </w:tcBorders>
          </w:tcPr>
          <w:p>
            <w:pPr>
              <w:spacing w:after="0"/>
              <w:rPr>
                <w:sz w:val="2"/>
                <w:szCs w:val="2"/>
                <w:color w:val="auto"/>
              </w:rPr>
            </w:pPr>
          </w:p>
        </w:tc>
        <w:tc>
          <w:tcPr>
            <w:tcW w:w="2240" w:type="dxa"/>
            <w:vAlign w:val="bottom"/>
            <w:tcBorders>
              <w:bottom w:val="single" w:sz="8" w:color="808080"/>
            </w:tcBorders>
          </w:tcPr>
          <w:p>
            <w:pPr>
              <w:spacing w:after="0"/>
              <w:rPr>
                <w:sz w:val="2"/>
                <w:szCs w:val="2"/>
                <w:color w:val="auto"/>
              </w:rPr>
            </w:pPr>
          </w:p>
        </w:tc>
        <w:tc>
          <w:tcPr>
            <w:tcW w:w="1600" w:type="dxa"/>
            <w:vAlign w:val="bottom"/>
            <w:tcBorders>
              <w:bottom w:val="single" w:sz="8" w:color="808080"/>
            </w:tcBorders>
          </w:tcPr>
          <w:p>
            <w:pPr>
              <w:spacing w:after="0"/>
              <w:rPr>
                <w:sz w:val="2"/>
                <w:szCs w:val="2"/>
                <w:color w:val="auto"/>
              </w:rPr>
            </w:pPr>
          </w:p>
        </w:tc>
      </w:tr>
      <w:tr>
        <w:trPr>
          <w:trHeight w:val="221"/>
        </w:trPr>
        <w:tc>
          <w:tcPr>
            <w:tcW w:w="4580" w:type="dxa"/>
            <w:vAlign w:val="bottom"/>
          </w:tcPr>
          <w:p>
            <w:pPr>
              <w:ind w:left="80"/>
              <w:spacing w:after="0"/>
              <w:rPr>
                <w:sz w:val="20"/>
                <w:szCs w:val="20"/>
                <w:color w:val="auto"/>
              </w:rPr>
            </w:pPr>
            <w:r>
              <w:rPr>
                <w:rFonts w:ascii="Arial" w:cs="Arial" w:eastAsia="Arial" w:hAnsi="Arial"/>
                <w:sz w:val="16"/>
                <w:szCs w:val="16"/>
                <w:color w:val="auto"/>
              </w:rPr>
              <w:t>Karen N. Prange</w:t>
            </w:r>
          </w:p>
        </w:tc>
        <w:tc>
          <w:tcPr>
            <w:tcW w:w="2240" w:type="dxa"/>
            <w:vAlign w:val="bottom"/>
          </w:tcPr>
          <w:p>
            <w:pPr>
              <w:jc w:val="right"/>
              <w:ind w:right="299"/>
              <w:spacing w:after="0"/>
              <w:rPr>
                <w:sz w:val="20"/>
                <w:szCs w:val="20"/>
                <w:color w:val="auto"/>
              </w:rPr>
            </w:pPr>
            <w:r>
              <w:rPr>
                <w:rFonts w:ascii="Arial" w:cs="Arial" w:eastAsia="Arial" w:hAnsi="Arial"/>
                <w:sz w:val="16"/>
                <w:szCs w:val="16"/>
                <w:color w:val="auto"/>
              </w:rPr>
              <w:t>13,880</w:t>
            </w: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4580" w:type="dxa"/>
            <w:vAlign w:val="bottom"/>
            <w:tcBorders>
              <w:bottom w:val="single" w:sz="8" w:color="808080"/>
            </w:tcBorders>
          </w:tcPr>
          <w:p>
            <w:pPr>
              <w:spacing w:after="0"/>
              <w:rPr>
                <w:sz w:val="2"/>
                <w:szCs w:val="2"/>
                <w:color w:val="auto"/>
              </w:rPr>
            </w:pPr>
          </w:p>
        </w:tc>
        <w:tc>
          <w:tcPr>
            <w:tcW w:w="2240" w:type="dxa"/>
            <w:vAlign w:val="bottom"/>
            <w:tcBorders>
              <w:bottom w:val="single" w:sz="8" w:color="808080"/>
            </w:tcBorders>
          </w:tcPr>
          <w:p>
            <w:pPr>
              <w:spacing w:after="0"/>
              <w:rPr>
                <w:sz w:val="2"/>
                <w:szCs w:val="2"/>
                <w:color w:val="auto"/>
              </w:rPr>
            </w:pPr>
          </w:p>
        </w:tc>
        <w:tc>
          <w:tcPr>
            <w:tcW w:w="1600" w:type="dxa"/>
            <w:vAlign w:val="bottom"/>
            <w:tcBorders>
              <w:bottom w:val="single" w:sz="8" w:color="808080"/>
            </w:tcBorders>
          </w:tcPr>
          <w:p>
            <w:pPr>
              <w:spacing w:after="0"/>
              <w:rPr>
                <w:sz w:val="2"/>
                <w:szCs w:val="2"/>
                <w:color w:val="auto"/>
              </w:rPr>
            </w:pPr>
          </w:p>
        </w:tc>
      </w:tr>
      <w:tr>
        <w:trPr>
          <w:trHeight w:val="221"/>
        </w:trPr>
        <w:tc>
          <w:tcPr>
            <w:tcW w:w="4580" w:type="dxa"/>
            <w:vAlign w:val="bottom"/>
          </w:tcPr>
          <w:p>
            <w:pPr>
              <w:ind w:left="80"/>
              <w:spacing w:after="0"/>
              <w:rPr>
                <w:sz w:val="20"/>
                <w:szCs w:val="20"/>
                <w:color w:val="auto"/>
              </w:rPr>
            </w:pPr>
            <w:r>
              <w:rPr>
                <w:rFonts w:ascii="Arial" w:cs="Arial" w:eastAsia="Arial" w:hAnsi="Arial"/>
                <w:sz w:val="16"/>
                <w:szCs w:val="16"/>
                <w:color w:val="auto"/>
              </w:rPr>
              <w:t>Christopher R. Reidy</w:t>
            </w:r>
          </w:p>
        </w:tc>
        <w:tc>
          <w:tcPr>
            <w:tcW w:w="2240" w:type="dxa"/>
            <w:vAlign w:val="bottom"/>
          </w:tcPr>
          <w:p>
            <w:pPr>
              <w:jc w:val="right"/>
              <w:ind w:right="299"/>
              <w:spacing w:after="0"/>
              <w:rPr>
                <w:sz w:val="20"/>
                <w:szCs w:val="20"/>
                <w:color w:val="auto"/>
              </w:rPr>
            </w:pPr>
            <w:r>
              <w:rPr>
                <w:rFonts w:ascii="Arial" w:cs="Arial" w:eastAsia="Arial" w:hAnsi="Arial"/>
                <w:sz w:val="16"/>
                <w:szCs w:val="16"/>
                <w:color w:val="auto"/>
              </w:rPr>
              <w:t>19,421</w:t>
            </w: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4580" w:type="dxa"/>
            <w:vAlign w:val="bottom"/>
            <w:tcBorders>
              <w:bottom w:val="single" w:sz="8" w:color="808080"/>
            </w:tcBorders>
          </w:tcPr>
          <w:p>
            <w:pPr>
              <w:spacing w:after="0"/>
              <w:rPr>
                <w:sz w:val="2"/>
                <w:szCs w:val="2"/>
                <w:color w:val="auto"/>
              </w:rPr>
            </w:pPr>
          </w:p>
        </w:tc>
        <w:tc>
          <w:tcPr>
            <w:tcW w:w="2240" w:type="dxa"/>
            <w:vAlign w:val="bottom"/>
            <w:tcBorders>
              <w:bottom w:val="single" w:sz="8" w:color="808080"/>
            </w:tcBorders>
          </w:tcPr>
          <w:p>
            <w:pPr>
              <w:spacing w:after="0"/>
              <w:rPr>
                <w:sz w:val="2"/>
                <w:szCs w:val="2"/>
                <w:color w:val="auto"/>
              </w:rPr>
            </w:pPr>
          </w:p>
        </w:tc>
        <w:tc>
          <w:tcPr>
            <w:tcW w:w="1600" w:type="dxa"/>
            <w:vAlign w:val="bottom"/>
            <w:tcBorders>
              <w:bottom w:val="single" w:sz="8" w:color="808080"/>
            </w:tcBorders>
          </w:tcPr>
          <w:p>
            <w:pPr>
              <w:spacing w:after="0"/>
              <w:rPr>
                <w:sz w:val="2"/>
                <w:szCs w:val="2"/>
                <w:color w:val="auto"/>
              </w:rPr>
            </w:pPr>
          </w:p>
        </w:tc>
      </w:tr>
      <w:tr>
        <w:trPr>
          <w:trHeight w:val="221"/>
        </w:trPr>
        <w:tc>
          <w:tcPr>
            <w:tcW w:w="4580" w:type="dxa"/>
            <w:vAlign w:val="bottom"/>
          </w:tcPr>
          <w:p>
            <w:pPr>
              <w:ind w:left="80"/>
              <w:spacing w:after="0"/>
              <w:rPr>
                <w:sz w:val="20"/>
                <w:szCs w:val="20"/>
                <w:color w:val="auto"/>
              </w:rPr>
            </w:pPr>
            <w:r>
              <w:rPr>
                <w:rFonts w:ascii="Arial" w:cs="Arial" w:eastAsia="Arial" w:hAnsi="Arial"/>
                <w:sz w:val="16"/>
                <w:szCs w:val="16"/>
                <w:color w:val="auto"/>
              </w:rPr>
              <w:t>Jacob (Jake) Elguicze</w:t>
            </w:r>
          </w:p>
        </w:tc>
        <w:tc>
          <w:tcPr>
            <w:tcW w:w="2240" w:type="dxa"/>
            <w:vAlign w:val="bottom"/>
          </w:tcPr>
          <w:p>
            <w:pPr>
              <w:jc w:val="right"/>
              <w:ind w:right="299"/>
              <w:spacing w:after="0"/>
              <w:rPr>
                <w:sz w:val="20"/>
                <w:szCs w:val="20"/>
                <w:color w:val="auto"/>
              </w:rPr>
            </w:pPr>
            <w:r>
              <w:rPr>
                <w:rFonts w:ascii="Arial" w:cs="Arial" w:eastAsia="Arial" w:hAnsi="Arial"/>
                <w:sz w:val="16"/>
                <w:szCs w:val="16"/>
                <w:color w:val="auto"/>
              </w:rPr>
              <w:t>20,782</w:t>
            </w: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4580" w:type="dxa"/>
            <w:vAlign w:val="bottom"/>
            <w:tcBorders>
              <w:bottom w:val="single" w:sz="8" w:color="808080"/>
            </w:tcBorders>
          </w:tcPr>
          <w:p>
            <w:pPr>
              <w:spacing w:after="0"/>
              <w:rPr>
                <w:sz w:val="2"/>
                <w:szCs w:val="2"/>
                <w:color w:val="auto"/>
              </w:rPr>
            </w:pPr>
          </w:p>
        </w:tc>
        <w:tc>
          <w:tcPr>
            <w:tcW w:w="2240" w:type="dxa"/>
            <w:vAlign w:val="bottom"/>
            <w:tcBorders>
              <w:bottom w:val="single" w:sz="8" w:color="808080"/>
            </w:tcBorders>
          </w:tcPr>
          <w:p>
            <w:pPr>
              <w:spacing w:after="0"/>
              <w:rPr>
                <w:sz w:val="2"/>
                <w:szCs w:val="2"/>
                <w:color w:val="auto"/>
              </w:rPr>
            </w:pPr>
          </w:p>
        </w:tc>
        <w:tc>
          <w:tcPr>
            <w:tcW w:w="1600" w:type="dxa"/>
            <w:vAlign w:val="bottom"/>
            <w:tcBorders>
              <w:bottom w:val="single" w:sz="8" w:color="808080"/>
            </w:tcBorders>
          </w:tcPr>
          <w:p>
            <w:pPr>
              <w:spacing w:after="0"/>
              <w:rPr>
                <w:sz w:val="2"/>
                <w:szCs w:val="2"/>
                <w:color w:val="auto"/>
              </w:rPr>
            </w:pPr>
          </w:p>
        </w:tc>
      </w:tr>
      <w:tr>
        <w:trPr>
          <w:trHeight w:val="290"/>
        </w:trPr>
        <w:tc>
          <w:tcPr>
            <w:tcW w:w="4580" w:type="dxa"/>
            <w:vAlign w:val="bottom"/>
            <w:tcBorders>
              <w:bottom w:val="single" w:sz="8" w:color="808080"/>
            </w:tcBorders>
          </w:tcPr>
          <w:p>
            <w:pPr>
              <w:ind w:left="80"/>
              <w:spacing w:after="0" w:line="291" w:lineRule="exact"/>
              <w:rPr>
                <w:sz w:val="20"/>
                <w:szCs w:val="20"/>
                <w:color w:val="auto"/>
              </w:rPr>
            </w:pPr>
            <w:r>
              <w:rPr>
                <w:rFonts w:ascii="Arial" w:cs="Arial" w:eastAsia="Arial" w:hAnsi="Arial"/>
                <w:sz w:val="16"/>
                <w:szCs w:val="16"/>
                <w:color w:val="auto"/>
              </w:rPr>
              <w:t>Shaun Curtis</w:t>
            </w:r>
            <w:r>
              <w:rPr>
                <w:rFonts w:ascii="Arial" w:cs="Arial" w:eastAsia="Arial" w:hAnsi="Arial"/>
                <w:sz w:val="26"/>
                <w:szCs w:val="26"/>
                <w:color w:val="auto"/>
                <w:vertAlign w:val="superscript"/>
              </w:rPr>
              <w:t>(3)</w:t>
            </w:r>
          </w:p>
        </w:tc>
        <w:tc>
          <w:tcPr>
            <w:tcW w:w="2240" w:type="dxa"/>
            <w:vAlign w:val="bottom"/>
            <w:tcBorders>
              <w:bottom w:val="single" w:sz="8" w:color="808080"/>
            </w:tcBorders>
          </w:tcPr>
          <w:p>
            <w:pPr>
              <w:jc w:val="right"/>
              <w:ind w:right="299"/>
              <w:spacing w:after="0"/>
              <w:rPr>
                <w:sz w:val="20"/>
                <w:szCs w:val="20"/>
                <w:color w:val="auto"/>
              </w:rPr>
            </w:pPr>
            <w:r>
              <w:rPr>
                <w:rFonts w:ascii="Arial" w:cs="Arial" w:eastAsia="Arial" w:hAnsi="Arial"/>
                <w:sz w:val="16"/>
                <w:szCs w:val="16"/>
                <w:color w:val="auto"/>
              </w:rPr>
              <w:t>9,817</w:t>
            </w:r>
          </w:p>
        </w:tc>
        <w:tc>
          <w:tcPr>
            <w:tcW w:w="160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w:t>
            </w:r>
          </w:p>
        </w:tc>
      </w:tr>
      <w:tr>
        <w:trPr>
          <w:trHeight w:val="221"/>
        </w:trPr>
        <w:tc>
          <w:tcPr>
            <w:tcW w:w="4580" w:type="dxa"/>
            <w:vAlign w:val="bottom"/>
          </w:tcPr>
          <w:p>
            <w:pPr>
              <w:ind w:left="80"/>
              <w:spacing w:after="0"/>
              <w:rPr>
                <w:sz w:val="20"/>
                <w:szCs w:val="20"/>
                <w:color w:val="auto"/>
              </w:rPr>
            </w:pPr>
            <w:r>
              <w:rPr>
                <w:rFonts w:ascii="Arial" w:cs="Arial" w:eastAsia="Arial" w:hAnsi="Arial"/>
                <w:sz w:val="16"/>
                <w:szCs w:val="16"/>
                <w:color w:val="auto"/>
              </w:rPr>
              <w:t>Jeff Mann</w:t>
            </w:r>
          </w:p>
        </w:tc>
        <w:tc>
          <w:tcPr>
            <w:tcW w:w="2240" w:type="dxa"/>
            <w:vAlign w:val="bottom"/>
          </w:tcPr>
          <w:p>
            <w:pPr>
              <w:jc w:val="right"/>
              <w:ind w:right="299"/>
              <w:spacing w:after="0"/>
              <w:rPr>
                <w:sz w:val="20"/>
                <w:szCs w:val="20"/>
                <w:color w:val="auto"/>
              </w:rPr>
            </w:pPr>
            <w:r>
              <w:rPr>
                <w:rFonts w:ascii="Arial" w:cs="Arial" w:eastAsia="Arial" w:hAnsi="Arial"/>
                <w:sz w:val="16"/>
                <w:szCs w:val="16"/>
                <w:color w:val="auto"/>
              </w:rPr>
              <w:t>16,332</w:t>
            </w: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4580" w:type="dxa"/>
            <w:vAlign w:val="bottom"/>
            <w:tcBorders>
              <w:bottom w:val="single" w:sz="8" w:color="808080"/>
            </w:tcBorders>
          </w:tcPr>
          <w:p>
            <w:pPr>
              <w:spacing w:after="0"/>
              <w:rPr>
                <w:sz w:val="2"/>
                <w:szCs w:val="2"/>
                <w:color w:val="auto"/>
              </w:rPr>
            </w:pPr>
          </w:p>
        </w:tc>
        <w:tc>
          <w:tcPr>
            <w:tcW w:w="2240" w:type="dxa"/>
            <w:vAlign w:val="bottom"/>
            <w:tcBorders>
              <w:bottom w:val="single" w:sz="8" w:color="808080"/>
            </w:tcBorders>
          </w:tcPr>
          <w:p>
            <w:pPr>
              <w:spacing w:after="0"/>
              <w:rPr>
                <w:sz w:val="2"/>
                <w:szCs w:val="2"/>
                <w:color w:val="auto"/>
              </w:rPr>
            </w:pPr>
          </w:p>
        </w:tc>
        <w:tc>
          <w:tcPr>
            <w:tcW w:w="1600" w:type="dxa"/>
            <w:vAlign w:val="bottom"/>
            <w:tcBorders>
              <w:bottom w:val="single" w:sz="8" w:color="808080"/>
            </w:tcBorders>
          </w:tcPr>
          <w:p>
            <w:pPr>
              <w:spacing w:after="0"/>
              <w:rPr>
                <w:sz w:val="2"/>
                <w:szCs w:val="2"/>
                <w:color w:val="auto"/>
              </w:rPr>
            </w:pPr>
          </w:p>
        </w:tc>
      </w:tr>
      <w:tr>
        <w:trPr>
          <w:trHeight w:val="221"/>
        </w:trPr>
        <w:tc>
          <w:tcPr>
            <w:tcW w:w="4580" w:type="dxa"/>
            <w:vAlign w:val="bottom"/>
          </w:tcPr>
          <w:p>
            <w:pPr>
              <w:ind w:left="80"/>
              <w:spacing w:after="0"/>
              <w:rPr>
                <w:sz w:val="20"/>
                <w:szCs w:val="20"/>
                <w:color w:val="auto"/>
              </w:rPr>
            </w:pPr>
            <w:r>
              <w:rPr>
                <w:rFonts w:ascii="Arial" w:cs="Arial" w:eastAsia="Arial" w:hAnsi="Arial"/>
                <w:sz w:val="16"/>
                <w:szCs w:val="16"/>
                <w:color w:val="auto"/>
              </w:rPr>
              <w:t>Jean Casner</w:t>
            </w:r>
          </w:p>
        </w:tc>
        <w:tc>
          <w:tcPr>
            <w:tcW w:w="2240" w:type="dxa"/>
            <w:vAlign w:val="bottom"/>
          </w:tcPr>
          <w:p>
            <w:pPr>
              <w:jc w:val="right"/>
              <w:ind w:right="299"/>
              <w:spacing w:after="0"/>
              <w:rPr>
                <w:sz w:val="20"/>
                <w:szCs w:val="20"/>
                <w:color w:val="auto"/>
              </w:rPr>
            </w:pPr>
            <w:r>
              <w:rPr>
                <w:rFonts w:ascii="Arial" w:cs="Arial" w:eastAsia="Arial" w:hAnsi="Arial"/>
                <w:sz w:val="16"/>
                <w:szCs w:val="16"/>
                <w:color w:val="auto"/>
              </w:rPr>
              <w:t>2,868</w:t>
            </w:r>
          </w:p>
        </w:tc>
        <w:tc>
          <w:tcPr>
            <w:tcW w:w="1600" w:type="dxa"/>
            <w:vAlign w:val="bottom"/>
          </w:tcPr>
          <w:p>
            <w:pPr>
              <w:spacing w:after="0"/>
              <w:rPr>
                <w:sz w:val="19"/>
                <w:szCs w:val="19"/>
                <w:color w:val="auto"/>
              </w:rPr>
            </w:pPr>
          </w:p>
        </w:tc>
      </w:tr>
      <w:tr>
        <w:trPr>
          <w:trHeight w:val="29"/>
        </w:trPr>
        <w:tc>
          <w:tcPr>
            <w:tcW w:w="4580" w:type="dxa"/>
            <w:vAlign w:val="bottom"/>
            <w:tcBorders>
              <w:bottom w:val="single" w:sz="8" w:color="808080"/>
            </w:tcBorders>
          </w:tcPr>
          <w:p>
            <w:pPr>
              <w:spacing w:after="0"/>
              <w:rPr>
                <w:sz w:val="2"/>
                <w:szCs w:val="2"/>
                <w:color w:val="auto"/>
              </w:rPr>
            </w:pPr>
          </w:p>
        </w:tc>
        <w:tc>
          <w:tcPr>
            <w:tcW w:w="2240" w:type="dxa"/>
            <w:vAlign w:val="bottom"/>
            <w:tcBorders>
              <w:bottom w:val="single" w:sz="8" w:color="808080"/>
            </w:tcBorders>
          </w:tcPr>
          <w:p>
            <w:pPr>
              <w:spacing w:after="0"/>
              <w:rPr>
                <w:sz w:val="2"/>
                <w:szCs w:val="2"/>
                <w:color w:val="auto"/>
              </w:rPr>
            </w:pPr>
          </w:p>
        </w:tc>
        <w:tc>
          <w:tcPr>
            <w:tcW w:w="1600" w:type="dxa"/>
            <w:vAlign w:val="bottom"/>
            <w:tcBorders>
              <w:bottom w:val="single" w:sz="8" w:color="808080"/>
            </w:tcBorders>
          </w:tcPr>
          <w:p>
            <w:pPr>
              <w:spacing w:after="0"/>
              <w:rPr>
                <w:sz w:val="2"/>
                <w:szCs w:val="2"/>
                <w:color w:val="auto"/>
              </w:rPr>
            </w:pPr>
          </w:p>
        </w:tc>
      </w:tr>
      <w:tr>
        <w:trPr>
          <w:trHeight w:val="222"/>
        </w:trPr>
        <w:tc>
          <w:tcPr>
            <w:tcW w:w="4580" w:type="dxa"/>
            <w:vAlign w:val="bottom"/>
            <w:tcBorders>
              <w:bottom w:val="single" w:sz="8" w:color="342C82"/>
            </w:tcBorders>
          </w:tcPr>
          <w:p>
            <w:pPr>
              <w:ind w:left="80"/>
              <w:spacing w:after="0"/>
              <w:rPr>
                <w:sz w:val="20"/>
                <w:szCs w:val="20"/>
                <w:color w:val="auto"/>
              </w:rPr>
            </w:pPr>
            <w:r>
              <w:rPr>
                <w:rFonts w:ascii="Arial" w:cs="Arial" w:eastAsia="Arial" w:hAnsi="Arial"/>
                <w:sz w:val="16"/>
                <w:szCs w:val="16"/>
                <w:color w:val="auto"/>
              </w:rPr>
              <w:t>Directors and executive officers as a group (13 persons)</w:t>
            </w:r>
          </w:p>
        </w:tc>
        <w:tc>
          <w:tcPr>
            <w:tcW w:w="2240" w:type="dxa"/>
            <w:vAlign w:val="bottom"/>
            <w:tcBorders>
              <w:bottom w:val="single" w:sz="8" w:color="342C82"/>
            </w:tcBorders>
          </w:tcPr>
          <w:p>
            <w:pPr>
              <w:jc w:val="right"/>
              <w:ind w:right="299"/>
              <w:spacing w:after="0"/>
              <w:rPr>
                <w:sz w:val="20"/>
                <w:szCs w:val="20"/>
                <w:color w:val="auto"/>
              </w:rPr>
            </w:pPr>
            <w:r>
              <w:rPr>
                <w:rFonts w:ascii="Arial" w:cs="Arial" w:eastAsia="Arial" w:hAnsi="Arial"/>
                <w:sz w:val="16"/>
                <w:szCs w:val="16"/>
                <w:color w:val="auto"/>
              </w:rPr>
              <w:t>243,513</w:t>
            </w:r>
          </w:p>
        </w:tc>
        <w:tc>
          <w:tcPr>
            <w:tcW w:w="1600" w:type="dxa"/>
            <w:vAlign w:val="bottom"/>
            <w:tcBorders>
              <w:bottom w:val="single" w:sz="8" w:color="342C82"/>
            </w:tcBorders>
          </w:tcPr>
          <w:p>
            <w:pPr>
              <w:jc w:val="right"/>
              <w:spacing w:after="0"/>
              <w:rPr>
                <w:sz w:val="20"/>
                <w:szCs w:val="20"/>
                <w:color w:val="auto"/>
              </w:rPr>
            </w:pPr>
            <w:r>
              <w:rPr>
                <w:rFonts w:ascii="Arial" w:cs="Arial" w:eastAsia="Arial" w:hAnsi="Arial"/>
                <w:sz w:val="16"/>
                <w:szCs w:val="16"/>
                <w:color w:val="auto"/>
              </w:rPr>
              <w:t>*</w:t>
            </w:r>
          </w:p>
        </w:tc>
      </w:tr>
    </w:tbl>
    <w:p>
      <w:pPr>
        <w:spacing w:after="0" w:line="81" w:lineRule="exact"/>
        <w:rPr>
          <w:sz w:val="20"/>
          <w:szCs w:val="20"/>
          <w:color w:val="auto"/>
        </w:rPr>
      </w:pPr>
    </w:p>
    <w:p>
      <w:pPr>
        <w:ind w:left="580" w:hanging="288"/>
        <w:spacing w:after="0"/>
        <w:tabs>
          <w:tab w:leader="none" w:pos="580" w:val="left"/>
        </w:tabs>
        <w:numPr>
          <w:ilvl w:val="0"/>
          <w:numId w:val="55"/>
        </w:numPr>
        <w:rPr>
          <w:rFonts w:ascii="Arial" w:cs="Arial" w:eastAsia="Arial" w:hAnsi="Arial"/>
          <w:sz w:val="22"/>
          <w:szCs w:val="22"/>
          <w:color w:val="auto"/>
          <w:vertAlign w:val="superscript"/>
        </w:rPr>
      </w:pPr>
      <w:r>
        <w:rPr>
          <w:rFonts w:ascii="Arial" w:cs="Arial" w:eastAsia="Arial" w:hAnsi="Arial"/>
          <w:sz w:val="14"/>
          <w:szCs w:val="14"/>
          <w:color w:val="auto"/>
        </w:rPr>
        <w:t>Represents less than 1% of the outstanding Embecta common stock.</w:t>
      </w:r>
    </w:p>
    <w:p>
      <w:pPr>
        <w:spacing w:after="0" w:line="48" w:lineRule="exact"/>
        <w:rPr>
          <w:sz w:val="20"/>
          <w:szCs w:val="20"/>
          <w:color w:val="auto"/>
        </w:rPr>
      </w:pPr>
    </w:p>
    <w:p>
      <w:pPr>
        <w:jc w:val="both"/>
        <w:ind w:left="580" w:right="379" w:hanging="288"/>
        <w:spacing w:after="0" w:line="214" w:lineRule="auto"/>
        <w:tabs>
          <w:tab w:leader="none" w:pos="580" w:val="left"/>
        </w:tabs>
        <w:numPr>
          <w:ilvl w:val="0"/>
          <w:numId w:val="56"/>
        </w:numPr>
        <w:rPr>
          <w:rFonts w:ascii="Arial" w:cs="Arial" w:eastAsia="Arial" w:hAnsi="Arial"/>
          <w:sz w:val="22"/>
          <w:szCs w:val="22"/>
          <w:color w:val="auto"/>
          <w:vertAlign w:val="superscript"/>
        </w:rPr>
      </w:pPr>
      <w:r>
        <w:rPr>
          <w:rFonts w:ascii="Arial" w:cs="Arial" w:eastAsia="Arial" w:hAnsi="Arial"/>
          <w:sz w:val="14"/>
          <w:szCs w:val="14"/>
          <w:color w:val="auto"/>
        </w:rPr>
        <w:t>Includes shares held directly and, pursuant to SEC regulations, shares receivable through the exercise of SARs and TVUs that are exercisable or that will vest within 60 days after December 1, 2024 are deemed to be beneficially owned as of December 1, 2024.</w:t>
      </w:r>
    </w:p>
    <w:p>
      <w:pPr>
        <w:spacing w:after="0" w:line="27" w:lineRule="exact"/>
        <w:rPr>
          <w:rFonts w:ascii="Arial" w:cs="Arial" w:eastAsia="Arial" w:hAnsi="Arial"/>
          <w:sz w:val="22"/>
          <w:szCs w:val="22"/>
          <w:color w:val="auto"/>
          <w:vertAlign w:val="superscript"/>
        </w:rPr>
      </w:pPr>
    </w:p>
    <w:p>
      <w:pPr>
        <w:ind w:left="580" w:right="339" w:hanging="288"/>
        <w:spacing w:after="0" w:line="214" w:lineRule="auto"/>
        <w:tabs>
          <w:tab w:leader="none" w:pos="580" w:val="left"/>
        </w:tabs>
        <w:numPr>
          <w:ilvl w:val="0"/>
          <w:numId w:val="56"/>
        </w:numPr>
        <w:rPr>
          <w:rFonts w:ascii="Arial" w:cs="Arial" w:eastAsia="Arial" w:hAnsi="Arial"/>
          <w:sz w:val="22"/>
          <w:szCs w:val="22"/>
          <w:color w:val="auto"/>
          <w:vertAlign w:val="superscript"/>
        </w:rPr>
      </w:pPr>
      <w:r>
        <w:rPr>
          <w:rFonts w:ascii="Arial" w:cs="Arial" w:eastAsia="Arial" w:hAnsi="Arial"/>
          <w:sz w:val="14"/>
          <w:szCs w:val="14"/>
          <w:color w:val="auto"/>
        </w:rPr>
        <w:t>The net number of Embecta shares receivable through the exercise of SARs that are exercisable or that will vest within 60 days after December 1, 2024 was calculated using $20.83 per share, which was the closing price of Embecta Common Stock on November 29, 2024.</w:t>
      </w:r>
    </w:p>
    <w:p>
      <w:pPr>
        <w:spacing w:after="0" w:line="1" w:lineRule="exact"/>
        <w:rPr>
          <w:rFonts w:ascii="Arial" w:cs="Arial" w:eastAsia="Arial" w:hAnsi="Arial"/>
          <w:sz w:val="22"/>
          <w:szCs w:val="22"/>
          <w:color w:val="auto"/>
          <w:vertAlign w:val="superscript"/>
        </w:rPr>
      </w:pPr>
    </w:p>
    <w:p>
      <w:pPr>
        <w:ind w:left="580" w:hanging="288"/>
        <w:spacing w:after="0" w:line="204" w:lineRule="auto"/>
        <w:tabs>
          <w:tab w:leader="none" w:pos="580" w:val="left"/>
        </w:tabs>
        <w:numPr>
          <w:ilvl w:val="0"/>
          <w:numId w:val="56"/>
        </w:numPr>
        <w:rPr>
          <w:rFonts w:ascii="Arial" w:cs="Arial" w:eastAsia="Arial" w:hAnsi="Arial"/>
          <w:sz w:val="22"/>
          <w:szCs w:val="22"/>
          <w:color w:val="auto"/>
          <w:vertAlign w:val="superscript"/>
        </w:rPr>
      </w:pPr>
      <w:r>
        <w:rPr>
          <w:rFonts w:ascii="Arial" w:cs="Arial" w:eastAsia="Arial" w:hAnsi="Arial"/>
          <w:sz w:val="14"/>
          <w:szCs w:val="14"/>
          <w:color w:val="auto"/>
        </w:rPr>
        <w:t>Includes shares held in the GSIP.</w:t>
      </w:r>
    </w:p>
    <w:p>
      <w:pPr>
        <w:spacing w:after="0" w:line="324" w:lineRule="exact"/>
        <w:rPr>
          <w:sz w:val="20"/>
          <w:szCs w:val="20"/>
          <w:color w:val="auto"/>
        </w:rPr>
      </w:pPr>
    </w:p>
    <w:p>
      <w:pPr>
        <w:ind w:left="300"/>
        <w:spacing w:after="0"/>
        <w:rPr>
          <w:sz w:val="20"/>
          <w:szCs w:val="20"/>
          <w:color w:val="auto"/>
        </w:rPr>
      </w:pPr>
      <w:r>
        <w:rPr>
          <w:rFonts w:ascii="Arial" w:cs="Arial" w:eastAsia="Arial" w:hAnsi="Arial"/>
          <w:sz w:val="25"/>
          <w:szCs w:val="25"/>
          <w:color w:val="342C82"/>
        </w:rPr>
        <w:t>Delinquent Section 16(a) reports</w:t>
      </w:r>
    </w:p>
    <w:p>
      <w:pPr>
        <w:spacing w:after="0" w:line="153" w:lineRule="exact"/>
        <w:rPr>
          <w:sz w:val="20"/>
          <w:szCs w:val="20"/>
          <w:color w:val="auto"/>
        </w:rPr>
      </w:pPr>
    </w:p>
    <w:p>
      <w:pPr>
        <w:ind w:left="300" w:right="299"/>
        <w:spacing w:after="0" w:line="254" w:lineRule="auto"/>
        <w:rPr>
          <w:sz w:val="20"/>
          <w:szCs w:val="20"/>
          <w:color w:val="auto"/>
        </w:rPr>
      </w:pPr>
      <w:r>
        <w:rPr>
          <w:rFonts w:ascii="Arial" w:cs="Arial" w:eastAsia="Arial" w:hAnsi="Arial"/>
          <w:sz w:val="16"/>
          <w:szCs w:val="16"/>
          <w:color w:val="auto"/>
        </w:rPr>
        <w:t>Section 16(a) of the Exchange Act requires Embecta’s directors and executive officers to file initial reports of their ownership of Embecta’s equity securities and reports of changes in such ownership with the SEC. Directors and executive officers are required by SEC regulations to furnish Embecta with copies of all Section 16(a) forms they file with respect to Embecta securities. Based solely on a review of copies of such forms and written representations from Embecta’s directors and executive officers, Embecta believes that during fiscal year 2024, all of its directors and executive officers were in compliance with the reporting requirements of Section 16(a).</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123825</wp:posOffset>
            </wp:positionV>
            <wp:extent cx="699516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9" w:name="page80"/>
    <w:bookmarkEnd w:id="7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5980"/>
        <w:spacing w:after="0"/>
        <w:rPr>
          <w:sz w:val="20"/>
          <w:szCs w:val="20"/>
          <w:color w:val="auto"/>
        </w:rPr>
      </w:pPr>
      <w:r>
        <w:rPr>
          <w:rFonts w:ascii="Arial" w:cs="Arial" w:eastAsia="Arial" w:hAnsi="Arial"/>
          <w:sz w:val="16"/>
          <w:szCs w:val="16"/>
          <w:color w:val="342C82"/>
        </w:rPr>
        <w:t>Ownership of Embecta common stock</w:t>
      </w:r>
    </w:p>
    <w:p>
      <w:pPr>
        <w:spacing w:after="0" w:line="159" w:lineRule="exact"/>
        <w:rPr>
          <w:sz w:val="20"/>
          <w:szCs w:val="20"/>
          <w:color w:val="auto"/>
        </w:rPr>
      </w:pPr>
    </w:p>
    <w:p>
      <w:pPr>
        <w:ind w:left="300"/>
        <w:spacing w:after="0"/>
        <w:rPr>
          <w:sz w:val="20"/>
          <w:szCs w:val="20"/>
          <w:color w:val="auto"/>
        </w:rPr>
      </w:pPr>
      <w:r>
        <w:rPr>
          <w:rFonts w:ascii="Arial" w:cs="Arial" w:eastAsia="Arial" w:hAnsi="Arial"/>
          <w:sz w:val="25"/>
          <w:szCs w:val="25"/>
          <w:color w:val="342C82"/>
        </w:rPr>
        <w:t>Equity compensation plan information</w:t>
      </w:r>
    </w:p>
    <w:p>
      <w:pPr>
        <w:spacing w:after="0" w:line="153" w:lineRule="exact"/>
        <w:rPr>
          <w:sz w:val="20"/>
          <w:szCs w:val="20"/>
          <w:color w:val="auto"/>
        </w:rPr>
      </w:pPr>
    </w:p>
    <w:p>
      <w:pPr>
        <w:ind w:left="300" w:right="379"/>
        <w:spacing w:after="0" w:line="286" w:lineRule="auto"/>
        <w:rPr>
          <w:sz w:val="20"/>
          <w:szCs w:val="20"/>
          <w:color w:val="auto"/>
        </w:rPr>
      </w:pPr>
      <w:r>
        <w:rPr>
          <w:rFonts w:ascii="Arial" w:cs="Arial" w:eastAsia="Arial" w:hAnsi="Arial"/>
          <w:sz w:val="16"/>
          <w:szCs w:val="16"/>
          <w:color w:val="auto"/>
        </w:rPr>
        <w:t>The following table provides certain information as of September 30, 2024 regarding Embecta’s equity compensation plans.</w:t>
      </w:r>
    </w:p>
    <w:p>
      <w:pPr>
        <w:spacing w:after="0" w:line="142" w:lineRule="exact"/>
        <w:rPr>
          <w:sz w:val="20"/>
          <w:szCs w:val="20"/>
          <w:color w:val="auto"/>
        </w:rPr>
      </w:pPr>
    </w:p>
    <w:tbl>
      <w:tblPr>
        <w:tblLayout w:type="fixed"/>
        <w:tblInd w:w="300" w:type="dxa"/>
        <w:tblCellMar>
          <w:top w:w="0" w:type="dxa"/>
          <w:left w:w="0" w:type="dxa"/>
          <w:bottom w:w="0" w:type="dxa"/>
          <w:right w:w="0" w:type="dxa"/>
        </w:tblCellMar>
      </w:tblPr>
      <w:tr>
        <w:trPr>
          <w:trHeight w:val="189"/>
        </w:trPr>
        <w:tc>
          <w:tcPr>
            <w:tcW w:w="35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700" w:type="dxa"/>
            <w:vAlign w:val="bottom"/>
          </w:tcPr>
          <w:p>
            <w:pPr>
              <w:jc w:val="right"/>
              <w:ind w:right="221"/>
              <w:spacing w:after="0"/>
              <w:rPr>
                <w:sz w:val="20"/>
                <w:szCs w:val="20"/>
                <w:color w:val="auto"/>
              </w:rPr>
            </w:pPr>
            <w:r>
              <w:rPr>
                <w:rFonts w:ascii="Arial" w:cs="Arial" w:eastAsia="Arial" w:hAnsi="Arial"/>
                <w:sz w:val="16"/>
                <w:szCs w:val="16"/>
                <w:b w:val="1"/>
                <w:bCs w:val="1"/>
                <w:color w:val="auto"/>
              </w:rPr>
              <w:t>Number of</w:t>
            </w:r>
          </w:p>
        </w:tc>
      </w:tr>
      <w:tr>
        <w:trPr>
          <w:trHeight w:val="189"/>
        </w:trPr>
        <w:tc>
          <w:tcPr>
            <w:tcW w:w="35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700" w:type="dxa"/>
            <w:vAlign w:val="bottom"/>
          </w:tcPr>
          <w:p>
            <w:pPr>
              <w:jc w:val="right"/>
              <w:ind w:right="221"/>
              <w:spacing w:after="0"/>
              <w:rPr>
                <w:sz w:val="20"/>
                <w:szCs w:val="20"/>
                <w:color w:val="auto"/>
              </w:rPr>
            </w:pPr>
            <w:r>
              <w:rPr>
                <w:rFonts w:ascii="Arial" w:cs="Arial" w:eastAsia="Arial" w:hAnsi="Arial"/>
                <w:sz w:val="16"/>
                <w:szCs w:val="16"/>
                <w:b w:val="1"/>
                <w:bCs w:val="1"/>
                <w:color w:val="auto"/>
              </w:rPr>
              <w:t>securities</w:t>
            </w:r>
          </w:p>
        </w:tc>
      </w:tr>
      <w:tr>
        <w:trPr>
          <w:trHeight w:val="189"/>
        </w:trPr>
        <w:tc>
          <w:tcPr>
            <w:tcW w:w="35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700" w:type="dxa"/>
            <w:vAlign w:val="bottom"/>
          </w:tcPr>
          <w:p>
            <w:pPr>
              <w:jc w:val="right"/>
              <w:ind w:right="221"/>
              <w:spacing w:after="0"/>
              <w:rPr>
                <w:sz w:val="20"/>
                <w:szCs w:val="20"/>
                <w:color w:val="auto"/>
              </w:rPr>
            </w:pPr>
            <w:r>
              <w:rPr>
                <w:rFonts w:ascii="Arial" w:cs="Arial" w:eastAsia="Arial" w:hAnsi="Arial"/>
                <w:sz w:val="16"/>
                <w:szCs w:val="16"/>
                <w:b w:val="1"/>
                <w:bCs w:val="1"/>
                <w:color w:val="auto"/>
              </w:rPr>
              <w:t>remaining</w:t>
            </w:r>
          </w:p>
        </w:tc>
      </w:tr>
      <w:tr>
        <w:trPr>
          <w:trHeight w:val="189"/>
        </w:trPr>
        <w:tc>
          <w:tcPr>
            <w:tcW w:w="35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700" w:type="dxa"/>
            <w:vAlign w:val="bottom"/>
          </w:tcPr>
          <w:p>
            <w:pPr>
              <w:jc w:val="right"/>
              <w:ind w:right="221"/>
              <w:spacing w:after="0"/>
              <w:rPr>
                <w:sz w:val="20"/>
                <w:szCs w:val="20"/>
                <w:color w:val="auto"/>
              </w:rPr>
            </w:pPr>
            <w:r>
              <w:rPr>
                <w:rFonts w:ascii="Arial" w:cs="Arial" w:eastAsia="Arial" w:hAnsi="Arial"/>
                <w:sz w:val="16"/>
                <w:szCs w:val="16"/>
                <w:b w:val="1"/>
                <w:bCs w:val="1"/>
                <w:color w:val="auto"/>
              </w:rPr>
              <w:t>available for</w:t>
            </w:r>
          </w:p>
        </w:tc>
      </w:tr>
      <w:tr>
        <w:trPr>
          <w:trHeight w:val="189"/>
        </w:trPr>
        <w:tc>
          <w:tcPr>
            <w:tcW w:w="35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700" w:type="dxa"/>
            <w:vAlign w:val="bottom"/>
          </w:tcPr>
          <w:p>
            <w:pPr>
              <w:jc w:val="right"/>
              <w:ind w:right="221"/>
              <w:spacing w:after="0"/>
              <w:rPr>
                <w:sz w:val="20"/>
                <w:szCs w:val="20"/>
                <w:color w:val="auto"/>
              </w:rPr>
            </w:pPr>
            <w:r>
              <w:rPr>
                <w:rFonts w:ascii="Arial" w:cs="Arial" w:eastAsia="Arial" w:hAnsi="Arial"/>
                <w:sz w:val="16"/>
                <w:szCs w:val="16"/>
                <w:b w:val="1"/>
                <w:bCs w:val="1"/>
                <w:color w:val="auto"/>
              </w:rPr>
              <w:t>future</w:t>
            </w:r>
          </w:p>
        </w:tc>
      </w:tr>
      <w:tr>
        <w:trPr>
          <w:trHeight w:val="189"/>
        </w:trPr>
        <w:tc>
          <w:tcPr>
            <w:tcW w:w="3540" w:type="dxa"/>
            <w:vAlign w:val="bottom"/>
          </w:tcPr>
          <w:p>
            <w:pPr>
              <w:spacing w:after="0"/>
              <w:rPr>
                <w:sz w:val="16"/>
                <w:szCs w:val="16"/>
                <w:color w:val="auto"/>
              </w:rPr>
            </w:pPr>
          </w:p>
        </w:tc>
        <w:tc>
          <w:tcPr>
            <w:tcW w:w="1740" w:type="dxa"/>
            <w:vAlign w:val="bottom"/>
          </w:tcPr>
          <w:p>
            <w:pPr>
              <w:jc w:val="right"/>
              <w:ind w:right="140"/>
              <w:spacing w:after="0"/>
              <w:rPr>
                <w:sz w:val="20"/>
                <w:szCs w:val="20"/>
                <w:color w:val="auto"/>
              </w:rPr>
            </w:pPr>
            <w:r>
              <w:rPr>
                <w:rFonts w:ascii="Arial" w:cs="Arial" w:eastAsia="Arial" w:hAnsi="Arial"/>
                <w:sz w:val="16"/>
                <w:szCs w:val="16"/>
                <w:b w:val="1"/>
                <w:bCs w:val="1"/>
                <w:color w:val="auto"/>
              </w:rPr>
              <w:t>Number of</w:t>
            </w:r>
          </w:p>
        </w:tc>
        <w:tc>
          <w:tcPr>
            <w:tcW w:w="1440" w:type="dxa"/>
            <w:vAlign w:val="bottom"/>
          </w:tcPr>
          <w:p>
            <w:pPr>
              <w:jc w:val="right"/>
              <w:ind w:right="159"/>
              <w:spacing w:after="0"/>
              <w:rPr>
                <w:sz w:val="20"/>
                <w:szCs w:val="20"/>
                <w:color w:val="auto"/>
              </w:rPr>
            </w:pPr>
            <w:r>
              <w:rPr>
                <w:rFonts w:ascii="Arial" w:cs="Arial" w:eastAsia="Arial" w:hAnsi="Arial"/>
                <w:sz w:val="16"/>
                <w:szCs w:val="16"/>
                <w:b w:val="1"/>
                <w:bCs w:val="1"/>
                <w:color w:val="auto"/>
              </w:rPr>
              <w:t>Weighted-</w:t>
            </w:r>
          </w:p>
        </w:tc>
        <w:tc>
          <w:tcPr>
            <w:tcW w:w="1700" w:type="dxa"/>
            <w:vAlign w:val="bottom"/>
          </w:tcPr>
          <w:p>
            <w:pPr>
              <w:jc w:val="right"/>
              <w:ind w:right="221"/>
              <w:spacing w:after="0"/>
              <w:rPr>
                <w:sz w:val="20"/>
                <w:szCs w:val="20"/>
                <w:color w:val="auto"/>
              </w:rPr>
            </w:pPr>
            <w:r>
              <w:rPr>
                <w:rFonts w:ascii="Arial" w:cs="Arial" w:eastAsia="Arial" w:hAnsi="Arial"/>
                <w:sz w:val="16"/>
                <w:szCs w:val="16"/>
                <w:b w:val="1"/>
                <w:bCs w:val="1"/>
                <w:color w:val="auto"/>
              </w:rPr>
              <w:t>issuance under</w:t>
            </w:r>
          </w:p>
        </w:tc>
      </w:tr>
      <w:tr>
        <w:trPr>
          <w:trHeight w:val="189"/>
        </w:trPr>
        <w:tc>
          <w:tcPr>
            <w:tcW w:w="3540" w:type="dxa"/>
            <w:vAlign w:val="bottom"/>
          </w:tcPr>
          <w:p>
            <w:pPr>
              <w:spacing w:after="0"/>
              <w:rPr>
                <w:sz w:val="16"/>
                <w:szCs w:val="16"/>
                <w:color w:val="auto"/>
              </w:rPr>
            </w:pPr>
          </w:p>
        </w:tc>
        <w:tc>
          <w:tcPr>
            <w:tcW w:w="1740" w:type="dxa"/>
            <w:vAlign w:val="bottom"/>
          </w:tcPr>
          <w:p>
            <w:pPr>
              <w:jc w:val="right"/>
              <w:ind w:right="140"/>
              <w:spacing w:after="0"/>
              <w:rPr>
                <w:sz w:val="20"/>
                <w:szCs w:val="20"/>
                <w:color w:val="auto"/>
              </w:rPr>
            </w:pPr>
            <w:r>
              <w:rPr>
                <w:rFonts w:ascii="Arial" w:cs="Arial" w:eastAsia="Arial" w:hAnsi="Arial"/>
                <w:sz w:val="16"/>
                <w:szCs w:val="16"/>
                <w:b w:val="1"/>
                <w:bCs w:val="1"/>
                <w:color w:val="auto"/>
              </w:rPr>
              <w:t>securities to</w:t>
            </w:r>
          </w:p>
        </w:tc>
        <w:tc>
          <w:tcPr>
            <w:tcW w:w="1440" w:type="dxa"/>
            <w:vAlign w:val="bottom"/>
          </w:tcPr>
          <w:p>
            <w:pPr>
              <w:jc w:val="right"/>
              <w:ind w:right="159"/>
              <w:spacing w:after="0"/>
              <w:rPr>
                <w:sz w:val="20"/>
                <w:szCs w:val="20"/>
                <w:color w:val="auto"/>
              </w:rPr>
            </w:pPr>
            <w:r>
              <w:rPr>
                <w:rFonts w:ascii="Arial" w:cs="Arial" w:eastAsia="Arial" w:hAnsi="Arial"/>
                <w:sz w:val="16"/>
                <w:szCs w:val="16"/>
                <w:b w:val="1"/>
                <w:bCs w:val="1"/>
                <w:color w:val="auto"/>
              </w:rPr>
              <w:t>average</w:t>
            </w:r>
          </w:p>
        </w:tc>
        <w:tc>
          <w:tcPr>
            <w:tcW w:w="1700" w:type="dxa"/>
            <w:vAlign w:val="bottom"/>
          </w:tcPr>
          <w:p>
            <w:pPr>
              <w:jc w:val="right"/>
              <w:ind w:right="221"/>
              <w:spacing w:after="0"/>
              <w:rPr>
                <w:sz w:val="20"/>
                <w:szCs w:val="20"/>
                <w:color w:val="auto"/>
              </w:rPr>
            </w:pPr>
            <w:r>
              <w:rPr>
                <w:rFonts w:ascii="Arial" w:cs="Arial" w:eastAsia="Arial" w:hAnsi="Arial"/>
                <w:sz w:val="16"/>
                <w:szCs w:val="16"/>
                <w:b w:val="1"/>
                <w:bCs w:val="1"/>
                <w:color w:val="auto"/>
              </w:rPr>
              <w:t>equity</w:t>
            </w:r>
          </w:p>
        </w:tc>
      </w:tr>
      <w:tr>
        <w:trPr>
          <w:trHeight w:val="189"/>
        </w:trPr>
        <w:tc>
          <w:tcPr>
            <w:tcW w:w="3540" w:type="dxa"/>
            <w:vAlign w:val="bottom"/>
          </w:tcPr>
          <w:p>
            <w:pPr>
              <w:spacing w:after="0"/>
              <w:rPr>
                <w:sz w:val="16"/>
                <w:szCs w:val="16"/>
                <w:color w:val="auto"/>
              </w:rPr>
            </w:pPr>
          </w:p>
        </w:tc>
        <w:tc>
          <w:tcPr>
            <w:tcW w:w="1740" w:type="dxa"/>
            <w:vAlign w:val="bottom"/>
          </w:tcPr>
          <w:p>
            <w:pPr>
              <w:jc w:val="right"/>
              <w:ind w:right="140"/>
              <w:spacing w:after="0"/>
              <w:rPr>
                <w:sz w:val="20"/>
                <w:szCs w:val="20"/>
                <w:color w:val="auto"/>
              </w:rPr>
            </w:pPr>
            <w:r>
              <w:rPr>
                <w:rFonts w:ascii="Arial" w:cs="Arial" w:eastAsia="Arial" w:hAnsi="Arial"/>
                <w:sz w:val="16"/>
                <w:szCs w:val="16"/>
                <w:b w:val="1"/>
                <w:bCs w:val="1"/>
                <w:color w:val="auto"/>
              </w:rPr>
              <w:t>be issued upon</w:t>
            </w:r>
          </w:p>
        </w:tc>
        <w:tc>
          <w:tcPr>
            <w:tcW w:w="1440" w:type="dxa"/>
            <w:vAlign w:val="bottom"/>
          </w:tcPr>
          <w:p>
            <w:pPr>
              <w:jc w:val="right"/>
              <w:ind w:right="159"/>
              <w:spacing w:after="0"/>
              <w:rPr>
                <w:sz w:val="20"/>
                <w:szCs w:val="20"/>
                <w:color w:val="auto"/>
              </w:rPr>
            </w:pPr>
            <w:r>
              <w:rPr>
                <w:rFonts w:ascii="Arial" w:cs="Arial" w:eastAsia="Arial" w:hAnsi="Arial"/>
                <w:sz w:val="16"/>
                <w:szCs w:val="16"/>
                <w:b w:val="1"/>
                <w:bCs w:val="1"/>
                <w:color w:val="auto"/>
              </w:rPr>
              <w:t>exercise</w:t>
            </w:r>
          </w:p>
        </w:tc>
        <w:tc>
          <w:tcPr>
            <w:tcW w:w="1700" w:type="dxa"/>
            <w:vAlign w:val="bottom"/>
          </w:tcPr>
          <w:p>
            <w:pPr>
              <w:jc w:val="right"/>
              <w:ind w:right="221"/>
              <w:spacing w:after="0"/>
              <w:rPr>
                <w:sz w:val="20"/>
                <w:szCs w:val="20"/>
                <w:color w:val="auto"/>
              </w:rPr>
            </w:pPr>
            <w:r>
              <w:rPr>
                <w:rFonts w:ascii="Arial" w:cs="Arial" w:eastAsia="Arial" w:hAnsi="Arial"/>
                <w:sz w:val="16"/>
                <w:szCs w:val="16"/>
                <w:b w:val="1"/>
                <w:bCs w:val="1"/>
                <w:color w:val="auto"/>
              </w:rPr>
              <w:t>compensation</w:t>
            </w:r>
          </w:p>
        </w:tc>
      </w:tr>
      <w:tr>
        <w:trPr>
          <w:trHeight w:val="189"/>
        </w:trPr>
        <w:tc>
          <w:tcPr>
            <w:tcW w:w="3540" w:type="dxa"/>
            <w:vAlign w:val="bottom"/>
          </w:tcPr>
          <w:p>
            <w:pPr>
              <w:spacing w:after="0"/>
              <w:rPr>
                <w:sz w:val="16"/>
                <w:szCs w:val="16"/>
                <w:color w:val="auto"/>
              </w:rPr>
            </w:pPr>
          </w:p>
        </w:tc>
        <w:tc>
          <w:tcPr>
            <w:tcW w:w="1740" w:type="dxa"/>
            <w:vAlign w:val="bottom"/>
          </w:tcPr>
          <w:p>
            <w:pPr>
              <w:jc w:val="right"/>
              <w:ind w:right="140"/>
              <w:spacing w:after="0"/>
              <w:rPr>
                <w:sz w:val="20"/>
                <w:szCs w:val="20"/>
                <w:color w:val="auto"/>
              </w:rPr>
            </w:pPr>
            <w:r>
              <w:rPr>
                <w:rFonts w:ascii="Arial" w:cs="Arial" w:eastAsia="Arial" w:hAnsi="Arial"/>
                <w:sz w:val="16"/>
                <w:szCs w:val="16"/>
                <w:b w:val="1"/>
                <w:bCs w:val="1"/>
                <w:color w:val="auto"/>
              </w:rPr>
              <w:t>exercise of</w:t>
            </w:r>
          </w:p>
        </w:tc>
        <w:tc>
          <w:tcPr>
            <w:tcW w:w="1440" w:type="dxa"/>
            <w:vAlign w:val="bottom"/>
          </w:tcPr>
          <w:p>
            <w:pPr>
              <w:jc w:val="right"/>
              <w:ind w:right="159"/>
              <w:spacing w:after="0"/>
              <w:rPr>
                <w:sz w:val="20"/>
                <w:szCs w:val="20"/>
                <w:color w:val="auto"/>
              </w:rPr>
            </w:pPr>
            <w:r>
              <w:rPr>
                <w:rFonts w:ascii="Arial" w:cs="Arial" w:eastAsia="Arial" w:hAnsi="Arial"/>
                <w:sz w:val="16"/>
                <w:szCs w:val="16"/>
                <w:b w:val="1"/>
                <w:bCs w:val="1"/>
                <w:color w:val="auto"/>
              </w:rPr>
              <w:t>price of</w:t>
            </w:r>
          </w:p>
        </w:tc>
        <w:tc>
          <w:tcPr>
            <w:tcW w:w="1700" w:type="dxa"/>
            <w:vAlign w:val="bottom"/>
          </w:tcPr>
          <w:p>
            <w:pPr>
              <w:jc w:val="right"/>
              <w:ind w:right="221"/>
              <w:spacing w:after="0"/>
              <w:rPr>
                <w:sz w:val="20"/>
                <w:szCs w:val="20"/>
                <w:color w:val="auto"/>
              </w:rPr>
            </w:pPr>
            <w:r>
              <w:rPr>
                <w:rFonts w:ascii="Arial" w:cs="Arial" w:eastAsia="Arial" w:hAnsi="Arial"/>
                <w:sz w:val="16"/>
                <w:szCs w:val="16"/>
                <w:b w:val="1"/>
                <w:bCs w:val="1"/>
                <w:color w:val="auto"/>
              </w:rPr>
              <w:t>plans</w:t>
            </w:r>
          </w:p>
        </w:tc>
      </w:tr>
      <w:tr>
        <w:trPr>
          <w:trHeight w:val="189"/>
        </w:trPr>
        <w:tc>
          <w:tcPr>
            <w:tcW w:w="3540" w:type="dxa"/>
            <w:vAlign w:val="bottom"/>
          </w:tcPr>
          <w:p>
            <w:pPr>
              <w:spacing w:after="0"/>
              <w:rPr>
                <w:sz w:val="16"/>
                <w:szCs w:val="16"/>
                <w:color w:val="auto"/>
              </w:rPr>
            </w:pPr>
          </w:p>
        </w:tc>
        <w:tc>
          <w:tcPr>
            <w:tcW w:w="1740" w:type="dxa"/>
            <w:vAlign w:val="bottom"/>
          </w:tcPr>
          <w:p>
            <w:pPr>
              <w:jc w:val="right"/>
              <w:ind w:right="140"/>
              <w:spacing w:after="0"/>
              <w:rPr>
                <w:sz w:val="20"/>
                <w:szCs w:val="20"/>
                <w:color w:val="auto"/>
              </w:rPr>
            </w:pPr>
            <w:r>
              <w:rPr>
                <w:rFonts w:ascii="Arial" w:cs="Arial" w:eastAsia="Arial" w:hAnsi="Arial"/>
                <w:sz w:val="16"/>
                <w:szCs w:val="16"/>
                <w:b w:val="1"/>
                <w:bCs w:val="1"/>
                <w:color w:val="auto"/>
              </w:rPr>
              <w:t>outstanding</w:t>
            </w:r>
          </w:p>
        </w:tc>
        <w:tc>
          <w:tcPr>
            <w:tcW w:w="1440" w:type="dxa"/>
            <w:vAlign w:val="bottom"/>
          </w:tcPr>
          <w:p>
            <w:pPr>
              <w:jc w:val="right"/>
              <w:ind w:right="159"/>
              <w:spacing w:after="0"/>
              <w:rPr>
                <w:sz w:val="20"/>
                <w:szCs w:val="20"/>
                <w:color w:val="auto"/>
              </w:rPr>
            </w:pPr>
            <w:r>
              <w:rPr>
                <w:rFonts w:ascii="Arial" w:cs="Arial" w:eastAsia="Arial" w:hAnsi="Arial"/>
                <w:sz w:val="16"/>
                <w:szCs w:val="16"/>
                <w:b w:val="1"/>
                <w:bCs w:val="1"/>
                <w:color w:val="auto"/>
              </w:rPr>
              <w:t>outstanding</w:t>
            </w:r>
          </w:p>
        </w:tc>
        <w:tc>
          <w:tcPr>
            <w:tcW w:w="1700" w:type="dxa"/>
            <w:vAlign w:val="bottom"/>
          </w:tcPr>
          <w:p>
            <w:pPr>
              <w:jc w:val="right"/>
              <w:ind w:right="221"/>
              <w:spacing w:after="0"/>
              <w:rPr>
                <w:sz w:val="20"/>
                <w:szCs w:val="20"/>
                <w:color w:val="auto"/>
              </w:rPr>
            </w:pPr>
            <w:r>
              <w:rPr>
                <w:rFonts w:ascii="Arial" w:cs="Arial" w:eastAsia="Arial" w:hAnsi="Arial"/>
                <w:sz w:val="16"/>
                <w:szCs w:val="16"/>
                <w:b w:val="1"/>
                <w:bCs w:val="1"/>
                <w:color w:val="auto"/>
              </w:rPr>
              <w:t>(excluding</w:t>
            </w:r>
          </w:p>
        </w:tc>
      </w:tr>
      <w:tr>
        <w:trPr>
          <w:trHeight w:val="189"/>
        </w:trPr>
        <w:tc>
          <w:tcPr>
            <w:tcW w:w="3540" w:type="dxa"/>
            <w:vAlign w:val="bottom"/>
          </w:tcPr>
          <w:p>
            <w:pPr>
              <w:spacing w:after="0"/>
              <w:rPr>
                <w:sz w:val="16"/>
                <w:szCs w:val="16"/>
                <w:color w:val="auto"/>
              </w:rPr>
            </w:pPr>
          </w:p>
        </w:tc>
        <w:tc>
          <w:tcPr>
            <w:tcW w:w="1740" w:type="dxa"/>
            <w:vAlign w:val="bottom"/>
          </w:tcPr>
          <w:p>
            <w:pPr>
              <w:jc w:val="right"/>
              <w:ind w:right="140"/>
              <w:spacing w:after="0"/>
              <w:rPr>
                <w:sz w:val="20"/>
                <w:szCs w:val="20"/>
                <w:color w:val="auto"/>
              </w:rPr>
            </w:pPr>
            <w:r>
              <w:rPr>
                <w:rFonts w:ascii="Arial" w:cs="Arial" w:eastAsia="Arial" w:hAnsi="Arial"/>
                <w:sz w:val="16"/>
                <w:szCs w:val="16"/>
                <w:b w:val="1"/>
                <w:bCs w:val="1"/>
                <w:color w:val="auto"/>
              </w:rPr>
              <w:t>options,</w:t>
            </w:r>
          </w:p>
        </w:tc>
        <w:tc>
          <w:tcPr>
            <w:tcW w:w="1440" w:type="dxa"/>
            <w:vAlign w:val="bottom"/>
          </w:tcPr>
          <w:p>
            <w:pPr>
              <w:jc w:val="right"/>
              <w:ind w:right="159"/>
              <w:spacing w:after="0"/>
              <w:rPr>
                <w:sz w:val="20"/>
                <w:szCs w:val="20"/>
                <w:color w:val="auto"/>
              </w:rPr>
            </w:pPr>
            <w:r>
              <w:rPr>
                <w:rFonts w:ascii="Arial" w:cs="Arial" w:eastAsia="Arial" w:hAnsi="Arial"/>
                <w:sz w:val="16"/>
                <w:szCs w:val="16"/>
                <w:b w:val="1"/>
                <w:bCs w:val="1"/>
                <w:color w:val="auto"/>
              </w:rPr>
              <w:t>options,</w:t>
            </w:r>
          </w:p>
        </w:tc>
        <w:tc>
          <w:tcPr>
            <w:tcW w:w="1700" w:type="dxa"/>
            <w:vAlign w:val="bottom"/>
          </w:tcPr>
          <w:p>
            <w:pPr>
              <w:jc w:val="right"/>
              <w:ind w:right="221"/>
              <w:spacing w:after="0"/>
              <w:rPr>
                <w:sz w:val="20"/>
                <w:szCs w:val="20"/>
                <w:color w:val="auto"/>
              </w:rPr>
            </w:pPr>
            <w:r>
              <w:rPr>
                <w:rFonts w:ascii="Arial" w:cs="Arial" w:eastAsia="Arial" w:hAnsi="Arial"/>
                <w:sz w:val="16"/>
                <w:szCs w:val="16"/>
                <w:b w:val="1"/>
                <w:bCs w:val="1"/>
                <w:color w:val="auto"/>
              </w:rPr>
              <w:t>securities</w:t>
            </w:r>
          </w:p>
        </w:tc>
      </w:tr>
      <w:tr>
        <w:trPr>
          <w:trHeight w:val="189"/>
        </w:trPr>
        <w:tc>
          <w:tcPr>
            <w:tcW w:w="3540" w:type="dxa"/>
            <w:vAlign w:val="bottom"/>
          </w:tcPr>
          <w:p>
            <w:pPr>
              <w:spacing w:after="0"/>
              <w:rPr>
                <w:sz w:val="16"/>
                <w:szCs w:val="16"/>
                <w:color w:val="auto"/>
              </w:rPr>
            </w:pPr>
          </w:p>
        </w:tc>
        <w:tc>
          <w:tcPr>
            <w:tcW w:w="1740" w:type="dxa"/>
            <w:vAlign w:val="bottom"/>
          </w:tcPr>
          <w:p>
            <w:pPr>
              <w:jc w:val="right"/>
              <w:ind w:right="140"/>
              <w:spacing w:after="0"/>
              <w:rPr>
                <w:sz w:val="20"/>
                <w:szCs w:val="20"/>
                <w:color w:val="auto"/>
              </w:rPr>
            </w:pPr>
            <w:r>
              <w:rPr>
                <w:rFonts w:ascii="Arial" w:cs="Arial" w:eastAsia="Arial" w:hAnsi="Arial"/>
                <w:sz w:val="16"/>
                <w:szCs w:val="16"/>
                <w:b w:val="1"/>
                <w:bCs w:val="1"/>
                <w:color w:val="auto"/>
              </w:rPr>
              <w:t>warrants and</w:t>
            </w:r>
          </w:p>
        </w:tc>
        <w:tc>
          <w:tcPr>
            <w:tcW w:w="1440" w:type="dxa"/>
            <w:vAlign w:val="bottom"/>
          </w:tcPr>
          <w:p>
            <w:pPr>
              <w:jc w:val="right"/>
              <w:ind w:right="159"/>
              <w:spacing w:after="0"/>
              <w:rPr>
                <w:sz w:val="20"/>
                <w:szCs w:val="20"/>
                <w:color w:val="auto"/>
              </w:rPr>
            </w:pPr>
            <w:r>
              <w:rPr>
                <w:rFonts w:ascii="Arial" w:cs="Arial" w:eastAsia="Arial" w:hAnsi="Arial"/>
                <w:sz w:val="16"/>
                <w:szCs w:val="16"/>
                <w:b w:val="1"/>
                <w:bCs w:val="1"/>
                <w:color w:val="auto"/>
              </w:rPr>
              <w:t>warrants and</w:t>
            </w:r>
          </w:p>
        </w:tc>
        <w:tc>
          <w:tcPr>
            <w:tcW w:w="1700" w:type="dxa"/>
            <w:vAlign w:val="bottom"/>
          </w:tcPr>
          <w:p>
            <w:pPr>
              <w:jc w:val="right"/>
              <w:ind w:right="221"/>
              <w:spacing w:after="0"/>
              <w:rPr>
                <w:sz w:val="20"/>
                <w:szCs w:val="20"/>
                <w:color w:val="auto"/>
              </w:rPr>
            </w:pPr>
            <w:r>
              <w:rPr>
                <w:rFonts w:ascii="Arial" w:cs="Arial" w:eastAsia="Arial" w:hAnsi="Arial"/>
                <w:sz w:val="16"/>
                <w:szCs w:val="16"/>
                <w:b w:val="1"/>
                <w:bCs w:val="1"/>
                <w:color w:val="auto"/>
              </w:rPr>
              <w:t>reflected in</w:t>
            </w:r>
          </w:p>
        </w:tc>
      </w:tr>
      <w:tr>
        <w:trPr>
          <w:trHeight w:val="223"/>
        </w:trPr>
        <w:tc>
          <w:tcPr>
            <w:tcW w:w="3540" w:type="dxa"/>
            <w:vAlign w:val="bottom"/>
          </w:tcPr>
          <w:p>
            <w:pPr>
              <w:ind w:left="80"/>
              <w:spacing w:after="0"/>
              <w:rPr>
                <w:sz w:val="20"/>
                <w:szCs w:val="20"/>
                <w:color w:val="auto"/>
              </w:rPr>
            </w:pPr>
            <w:r>
              <w:rPr>
                <w:rFonts w:ascii="Arial" w:cs="Arial" w:eastAsia="Arial" w:hAnsi="Arial"/>
                <w:sz w:val="16"/>
                <w:szCs w:val="16"/>
                <w:b w:val="1"/>
                <w:bCs w:val="1"/>
                <w:color w:val="auto"/>
              </w:rPr>
              <w:t>Plan Category</w:t>
            </w:r>
          </w:p>
        </w:tc>
        <w:tc>
          <w:tcPr>
            <w:tcW w:w="1740" w:type="dxa"/>
            <w:vAlign w:val="bottom"/>
          </w:tcPr>
          <w:p>
            <w:pPr>
              <w:jc w:val="right"/>
              <w:ind w:right="100"/>
              <w:spacing w:after="0"/>
              <w:rPr>
                <w:sz w:val="20"/>
                <w:szCs w:val="20"/>
                <w:color w:val="auto"/>
              </w:rPr>
            </w:pPr>
            <w:r>
              <w:rPr>
                <w:rFonts w:ascii="Arial" w:cs="Arial" w:eastAsia="Arial" w:hAnsi="Arial"/>
                <w:sz w:val="16"/>
                <w:szCs w:val="16"/>
                <w:b w:val="1"/>
                <w:bCs w:val="1"/>
                <w:color w:val="auto"/>
              </w:rPr>
              <w:t>rights (a)</w:t>
            </w:r>
          </w:p>
        </w:tc>
        <w:tc>
          <w:tcPr>
            <w:tcW w:w="1440" w:type="dxa"/>
            <w:vAlign w:val="bottom"/>
          </w:tcPr>
          <w:p>
            <w:pPr>
              <w:jc w:val="right"/>
              <w:ind w:right="119"/>
              <w:spacing w:after="0"/>
              <w:rPr>
                <w:sz w:val="20"/>
                <w:szCs w:val="20"/>
                <w:color w:val="auto"/>
              </w:rPr>
            </w:pPr>
            <w:r>
              <w:rPr>
                <w:rFonts w:ascii="Arial" w:cs="Arial" w:eastAsia="Arial" w:hAnsi="Arial"/>
                <w:sz w:val="16"/>
                <w:szCs w:val="16"/>
                <w:b w:val="1"/>
                <w:bCs w:val="1"/>
                <w:color w:val="auto"/>
              </w:rPr>
              <w:t>rights (b)</w:t>
            </w:r>
          </w:p>
        </w:tc>
        <w:tc>
          <w:tcPr>
            <w:tcW w:w="1700" w:type="dxa"/>
            <w:vAlign w:val="bottom"/>
          </w:tcPr>
          <w:p>
            <w:pPr>
              <w:jc w:val="right"/>
              <w:ind w:right="181"/>
              <w:spacing w:after="0"/>
              <w:rPr>
                <w:sz w:val="20"/>
                <w:szCs w:val="20"/>
                <w:color w:val="auto"/>
              </w:rPr>
            </w:pPr>
            <w:r>
              <w:rPr>
                <w:rFonts w:ascii="Arial" w:cs="Arial" w:eastAsia="Arial" w:hAnsi="Arial"/>
                <w:sz w:val="16"/>
                <w:szCs w:val="16"/>
                <w:b w:val="1"/>
                <w:bCs w:val="1"/>
                <w:color w:val="auto"/>
              </w:rPr>
              <w:t>column (a)) (c)</w:t>
            </w:r>
          </w:p>
        </w:tc>
      </w:tr>
      <w:tr>
        <w:trPr>
          <w:trHeight w:val="21"/>
        </w:trPr>
        <w:tc>
          <w:tcPr>
            <w:tcW w:w="3540" w:type="dxa"/>
            <w:vAlign w:val="bottom"/>
            <w:tcBorders>
              <w:bottom w:val="single" w:sz="8" w:color="342C82"/>
            </w:tcBorders>
          </w:tcPr>
          <w:p>
            <w:pPr>
              <w:spacing w:after="0" w:line="20" w:lineRule="exact"/>
              <w:rPr>
                <w:sz w:val="1"/>
                <w:szCs w:val="1"/>
                <w:color w:val="auto"/>
              </w:rPr>
            </w:pPr>
          </w:p>
        </w:tc>
        <w:tc>
          <w:tcPr>
            <w:tcW w:w="1740" w:type="dxa"/>
            <w:vAlign w:val="bottom"/>
            <w:tcBorders>
              <w:bottom w:val="single" w:sz="8" w:color="342C82"/>
            </w:tcBorders>
          </w:tcPr>
          <w:p>
            <w:pPr>
              <w:spacing w:after="0" w:line="20" w:lineRule="exact"/>
              <w:rPr>
                <w:sz w:val="1"/>
                <w:szCs w:val="1"/>
                <w:color w:val="auto"/>
              </w:rPr>
            </w:pPr>
          </w:p>
        </w:tc>
        <w:tc>
          <w:tcPr>
            <w:tcW w:w="1440" w:type="dxa"/>
            <w:vAlign w:val="bottom"/>
            <w:tcBorders>
              <w:bottom w:val="single" w:sz="8" w:color="342C82"/>
            </w:tcBorders>
          </w:tcPr>
          <w:p>
            <w:pPr>
              <w:spacing w:after="0" w:line="20" w:lineRule="exact"/>
              <w:rPr>
                <w:sz w:val="1"/>
                <w:szCs w:val="1"/>
                <w:color w:val="auto"/>
              </w:rPr>
            </w:pPr>
          </w:p>
        </w:tc>
        <w:tc>
          <w:tcPr>
            <w:tcW w:w="1700" w:type="dxa"/>
            <w:vAlign w:val="bottom"/>
            <w:tcBorders>
              <w:bottom w:val="single" w:sz="8" w:color="342C82"/>
            </w:tcBorders>
          </w:tcPr>
          <w:p>
            <w:pPr>
              <w:spacing w:after="0" w:line="20" w:lineRule="exact"/>
              <w:rPr>
                <w:sz w:val="1"/>
                <w:szCs w:val="1"/>
                <w:color w:val="auto"/>
              </w:rPr>
            </w:pPr>
          </w:p>
        </w:tc>
      </w:tr>
      <w:tr>
        <w:trPr>
          <w:trHeight w:val="209"/>
        </w:trPr>
        <w:tc>
          <w:tcPr>
            <w:tcW w:w="3540" w:type="dxa"/>
            <w:vAlign w:val="bottom"/>
          </w:tcPr>
          <w:p>
            <w:pPr>
              <w:ind w:left="80"/>
              <w:spacing w:after="0"/>
              <w:rPr>
                <w:sz w:val="20"/>
                <w:szCs w:val="20"/>
                <w:color w:val="auto"/>
              </w:rPr>
            </w:pPr>
            <w:r>
              <w:rPr>
                <w:rFonts w:ascii="Arial" w:cs="Arial" w:eastAsia="Arial" w:hAnsi="Arial"/>
                <w:sz w:val="16"/>
                <w:szCs w:val="16"/>
                <w:color w:val="auto"/>
              </w:rPr>
              <w:t>Equity compensation plans approved by</w:t>
            </w:r>
          </w:p>
        </w:tc>
        <w:tc>
          <w:tcPr>
            <w:tcW w:w="1740" w:type="dxa"/>
            <w:vAlign w:val="bottom"/>
          </w:tcPr>
          <w:p>
            <w:pPr>
              <w:jc w:val="right"/>
              <w:ind w:right="140"/>
              <w:spacing w:after="0" w:line="210" w:lineRule="exact"/>
              <w:rPr>
                <w:sz w:val="20"/>
                <w:szCs w:val="20"/>
                <w:color w:val="auto"/>
              </w:rPr>
            </w:pPr>
            <w:r>
              <w:rPr>
                <w:rFonts w:ascii="Arial" w:cs="Arial" w:eastAsia="Arial" w:hAnsi="Arial"/>
                <w:sz w:val="15"/>
                <w:szCs w:val="15"/>
                <w:color w:val="auto"/>
              </w:rPr>
              <w:t>4,418,088</w:t>
            </w:r>
            <w:r>
              <w:rPr>
                <w:rFonts w:ascii="Arial" w:cs="Arial" w:eastAsia="Arial" w:hAnsi="Arial"/>
                <w:sz w:val="24"/>
                <w:szCs w:val="24"/>
                <w:color w:val="auto"/>
                <w:vertAlign w:val="superscript"/>
              </w:rPr>
              <w:t>(1)</w:t>
            </w:r>
          </w:p>
        </w:tc>
        <w:tc>
          <w:tcPr>
            <w:tcW w:w="1440" w:type="dxa"/>
            <w:vAlign w:val="bottom"/>
          </w:tcPr>
          <w:p>
            <w:pPr>
              <w:jc w:val="right"/>
              <w:ind w:right="259"/>
              <w:spacing w:after="0"/>
              <w:rPr>
                <w:sz w:val="20"/>
                <w:szCs w:val="20"/>
                <w:color w:val="auto"/>
              </w:rPr>
            </w:pPr>
            <w:r>
              <w:rPr>
                <w:rFonts w:ascii="Arial" w:cs="Arial" w:eastAsia="Arial" w:hAnsi="Arial"/>
                <w:sz w:val="16"/>
                <w:szCs w:val="16"/>
                <w:color w:val="auto"/>
              </w:rPr>
              <w:t>$29.11</w:t>
            </w:r>
          </w:p>
        </w:tc>
        <w:tc>
          <w:tcPr>
            <w:tcW w:w="1700" w:type="dxa"/>
            <w:vAlign w:val="bottom"/>
          </w:tcPr>
          <w:p>
            <w:pPr>
              <w:jc w:val="right"/>
              <w:ind w:right="221"/>
              <w:spacing w:after="0" w:line="210" w:lineRule="exact"/>
              <w:rPr>
                <w:sz w:val="20"/>
                <w:szCs w:val="20"/>
                <w:color w:val="auto"/>
              </w:rPr>
            </w:pPr>
            <w:r>
              <w:rPr>
                <w:rFonts w:ascii="Arial" w:cs="Arial" w:eastAsia="Arial" w:hAnsi="Arial"/>
                <w:sz w:val="15"/>
                <w:szCs w:val="15"/>
                <w:color w:val="auto"/>
              </w:rPr>
              <w:t>5,071,712</w:t>
            </w:r>
            <w:r>
              <w:rPr>
                <w:rFonts w:ascii="Arial" w:cs="Arial" w:eastAsia="Arial" w:hAnsi="Arial"/>
                <w:sz w:val="24"/>
                <w:szCs w:val="24"/>
                <w:color w:val="auto"/>
                <w:vertAlign w:val="superscript"/>
              </w:rPr>
              <w:t>(2)</w:t>
            </w:r>
          </w:p>
        </w:tc>
      </w:tr>
      <w:tr>
        <w:trPr>
          <w:trHeight w:val="223"/>
        </w:trPr>
        <w:tc>
          <w:tcPr>
            <w:tcW w:w="3540" w:type="dxa"/>
            <w:vAlign w:val="bottom"/>
            <w:tcBorders>
              <w:bottom w:val="single" w:sz="8" w:color="808080"/>
            </w:tcBorders>
          </w:tcPr>
          <w:p>
            <w:pPr>
              <w:ind w:left="80"/>
              <w:spacing w:after="0"/>
              <w:rPr>
                <w:sz w:val="20"/>
                <w:szCs w:val="20"/>
                <w:color w:val="auto"/>
              </w:rPr>
            </w:pPr>
            <w:r>
              <w:rPr>
                <w:rFonts w:ascii="Arial" w:cs="Arial" w:eastAsia="Arial" w:hAnsi="Arial"/>
                <w:sz w:val="16"/>
                <w:szCs w:val="16"/>
                <w:color w:val="auto"/>
              </w:rPr>
              <w:t>security holders</w:t>
            </w:r>
          </w:p>
        </w:tc>
        <w:tc>
          <w:tcPr>
            <w:tcW w:w="174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r>
      <w:tr>
        <w:trPr>
          <w:trHeight w:val="216"/>
        </w:trPr>
        <w:tc>
          <w:tcPr>
            <w:tcW w:w="3540" w:type="dxa"/>
            <w:vAlign w:val="bottom"/>
          </w:tcPr>
          <w:p>
            <w:pPr>
              <w:ind w:left="80"/>
              <w:spacing w:after="0"/>
              <w:rPr>
                <w:sz w:val="20"/>
                <w:szCs w:val="20"/>
                <w:color w:val="auto"/>
              </w:rPr>
            </w:pPr>
            <w:r>
              <w:rPr>
                <w:rFonts w:ascii="Arial" w:cs="Arial" w:eastAsia="Arial" w:hAnsi="Arial"/>
                <w:sz w:val="16"/>
                <w:szCs w:val="16"/>
                <w:color w:val="auto"/>
              </w:rPr>
              <w:t>Equity compensation plans not approved by</w:t>
            </w:r>
          </w:p>
        </w:tc>
        <w:tc>
          <w:tcPr>
            <w:tcW w:w="1740" w:type="dxa"/>
            <w:vAlign w:val="bottom"/>
          </w:tcPr>
          <w:p>
            <w:pPr>
              <w:jc w:val="right"/>
              <w:ind w:right="140"/>
              <w:spacing w:after="0" w:line="216" w:lineRule="exact"/>
              <w:rPr>
                <w:sz w:val="20"/>
                <w:szCs w:val="20"/>
                <w:color w:val="auto"/>
              </w:rPr>
            </w:pPr>
            <w:r>
              <w:rPr>
                <w:rFonts w:ascii="Arial" w:cs="Arial" w:eastAsia="Arial" w:hAnsi="Arial"/>
                <w:sz w:val="16"/>
                <w:szCs w:val="16"/>
                <w:color w:val="auto"/>
              </w:rPr>
              <w:t>399,724</w:t>
            </w:r>
            <w:r>
              <w:rPr>
                <w:rFonts w:ascii="Arial" w:cs="Arial" w:eastAsia="Arial" w:hAnsi="Arial"/>
                <w:sz w:val="25"/>
                <w:szCs w:val="25"/>
                <w:color w:val="auto"/>
                <w:vertAlign w:val="superscript"/>
              </w:rPr>
              <w:t>(3)</w:t>
            </w: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N/A</w:t>
            </w:r>
          </w:p>
        </w:tc>
        <w:tc>
          <w:tcPr>
            <w:tcW w:w="1700" w:type="dxa"/>
            <w:vAlign w:val="bottom"/>
          </w:tcPr>
          <w:p>
            <w:pPr>
              <w:jc w:val="right"/>
              <w:ind w:right="221"/>
              <w:spacing w:after="0" w:line="216"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2"/>
                <w:szCs w:val="12"/>
                <w:color w:val="auto"/>
              </w:rPr>
              <w:t>(4)</w:t>
            </w:r>
          </w:p>
        </w:tc>
      </w:tr>
      <w:tr>
        <w:trPr>
          <w:trHeight w:val="223"/>
        </w:trPr>
        <w:tc>
          <w:tcPr>
            <w:tcW w:w="3540" w:type="dxa"/>
            <w:vAlign w:val="bottom"/>
            <w:tcBorders>
              <w:bottom w:val="single" w:sz="8" w:color="808080"/>
            </w:tcBorders>
          </w:tcPr>
          <w:p>
            <w:pPr>
              <w:ind w:left="80"/>
              <w:spacing w:after="0"/>
              <w:rPr>
                <w:sz w:val="20"/>
                <w:szCs w:val="20"/>
                <w:color w:val="auto"/>
              </w:rPr>
            </w:pPr>
            <w:r>
              <w:rPr>
                <w:rFonts w:ascii="Arial" w:cs="Arial" w:eastAsia="Arial" w:hAnsi="Arial"/>
                <w:sz w:val="16"/>
                <w:szCs w:val="16"/>
                <w:color w:val="auto"/>
              </w:rPr>
              <w:t>security holders</w:t>
            </w:r>
          </w:p>
        </w:tc>
        <w:tc>
          <w:tcPr>
            <w:tcW w:w="174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r>
      <w:tr>
        <w:trPr>
          <w:trHeight w:val="230"/>
        </w:trPr>
        <w:tc>
          <w:tcPr>
            <w:tcW w:w="3540" w:type="dxa"/>
            <w:vAlign w:val="bottom"/>
            <w:tcBorders>
              <w:bottom w:val="single" w:sz="8" w:color="342C82"/>
            </w:tcBorders>
          </w:tcPr>
          <w:p>
            <w:pPr>
              <w:ind w:left="80"/>
              <w:spacing w:after="0"/>
              <w:rPr>
                <w:sz w:val="20"/>
                <w:szCs w:val="20"/>
                <w:color w:val="auto"/>
              </w:rPr>
            </w:pPr>
            <w:r>
              <w:rPr>
                <w:rFonts w:ascii="Arial" w:cs="Arial" w:eastAsia="Arial" w:hAnsi="Arial"/>
                <w:sz w:val="16"/>
                <w:szCs w:val="16"/>
                <w:b w:val="1"/>
                <w:bCs w:val="1"/>
                <w:color w:val="auto"/>
              </w:rPr>
              <w:t>Total</w:t>
            </w:r>
          </w:p>
        </w:tc>
        <w:tc>
          <w:tcPr>
            <w:tcW w:w="1740" w:type="dxa"/>
            <w:vAlign w:val="bottom"/>
            <w:tcBorders>
              <w:bottom w:val="single" w:sz="8" w:color="342C82"/>
            </w:tcBorders>
          </w:tcPr>
          <w:p>
            <w:pPr>
              <w:jc w:val="right"/>
              <w:ind w:right="300"/>
              <w:spacing w:after="0"/>
              <w:rPr>
                <w:sz w:val="20"/>
                <w:szCs w:val="20"/>
                <w:color w:val="auto"/>
              </w:rPr>
            </w:pPr>
            <w:r>
              <w:rPr>
                <w:rFonts w:ascii="Arial" w:cs="Arial" w:eastAsia="Arial" w:hAnsi="Arial"/>
                <w:sz w:val="16"/>
                <w:szCs w:val="16"/>
                <w:b w:val="1"/>
                <w:bCs w:val="1"/>
                <w:color w:val="auto"/>
              </w:rPr>
              <w:t>4,817,812</w:t>
            </w:r>
          </w:p>
        </w:tc>
        <w:tc>
          <w:tcPr>
            <w:tcW w:w="1440" w:type="dxa"/>
            <w:vAlign w:val="bottom"/>
            <w:tcBorders>
              <w:bottom w:val="single" w:sz="8" w:color="342C82"/>
            </w:tcBorders>
          </w:tcPr>
          <w:p>
            <w:pPr>
              <w:jc w:val="right"/>
              <w:ind w:right="259"/>
              <w:spacing w:after="0"/>
              <w:rPr>
                <w:sz w:val="20"/>
                <w:szCs w:val="20"/>
                <w:color w:val="auto"/>
              </w:rPr>
            </w:pPr>
            <w:r>
              <w:rPr>
                <w:rFonts w:ascii="Arial" w:cs="Arial" w:eastAsia="Arial" w:hAnsi="Arial"/>
                <w:sz w:val="16"/>
                <w:szCs w:val="16"/>
                <w:b w:val="1"/>
                <w:bCs w:val="1"/>
                <w:color w:val="auto"/>
              </w:rPr>
              <w:t>$29.11</w:t>
            </w:r>
          </w:p>
        </w:tc>
        <w:tc>
          <w:tcPr>
            <w:tcW w:w="1700" w:type="dxa"/>
            <w:vAlign w:val="bottom"/>
            <w:tcBorders>
              <w:bottom w:val="single" w:sz="8" w:color="342C82"/>
            </w:tcBorders>
          </w:tcPr>
          <w:p>
            <w:pPr>
              <w:jc w:val="right"/>
              <w:ind w:right="381"/>
              <w:spacing w:after="0"/>
              <w:rPr>
                <w:sz w:val="20"/>
                <w:szCs w:val="20"/>
                <w:color w:val="auto"/>
              </w:rPr>
            </w:pPr>
            <w:r>
              <w:rPr>
                <w:rFonts w:ascii="Arial" w:cs="Arial" w:eastAsia="Arial" w:hAnsi="Arial"/>
                <w:sz w:val="16"/>
                <w:szCs w:val="16"/>
                <w:b w:val="1"/>
                <w:bCs w:val="1"/>
                <w:color w:val="auto"/>
              </w:rPr>
              <w:t>5,071,712</w:t>
            </w:r>
          </w:p>
        </w:tc>
      </w:tr>
    </w:tbl>
    <w:p>
      <w:pPr>
        <w:spacing w:after="0" w:line="117" w:lineRule="exact"/>
        <w:rPr>
          <w:sz w:val="20"/>
          <w:szCs w:val="20"/>
          <w:color w:val="auto"/>
        </w:rPr>
      </w:pPr>
    </w:p>
    <w:p>
      <w:pPr>
        <w:ind w:left="580" w:hanging="288"/>
        <w:spacing w:after="0"/>
        <w:tabs>
          <w:tab w:leader="none" w:pos="580" w:val="left"/>
        </w:tabs>
        <w:numPr>
          <w:ilvl w:val="0"/>
          <w:numId w:val="57"/>
        </w:numPr>
        <w:rPr>
          <w:rFonts w:ascii="Arial" w:cs="Arial" w:eastAsia="Arial" w:hAnsi="Arial"/>
          <w:sz w:val="22"/>
          <w:szCs w:val="22"/>
          <w:color w:val="auto"/>
          <w:vertAlign w:val="superscript"/>
        </w:rPr>
      </w:pPr>
      <w:r>
        <w:rPr>
          <w:rFonts w:ascii="Arial" w:cs="Arial" w:eastAsia="Arial" w:hAnsi="Arial"/>
          <w:sz w:val="14"/>
          <w:szCs w:val="14"/>
          <w:color w:val="auto"/>
        </w:rPr>
        <w:t>Includes 1,760,354 SARs, 1,898,652 TVUs and 759,082 PSUs granted under the 2022 Plan.</w:t>
      </w:r>
    </w:p>
    <w:p>
      <w:pPr>
        <w:spacing w:after="0" w:line="26" w:lineRule="exact"/>
        <w:rPr>
          <w:rFonts w:ascii="Arial" w:cs="Arial" w:eastAsia="Arial" w:hAnsi="Arial"/>
          <w:sz w:val="22"/>
          <w:szCs w:val="22"/>
          <w:color w:val="auto"/>
          <w:vertAlign w:val="superscript"/>
        </w:rPr>
      </w:pPr>
    </w:p>
    <w:p>
      <w:pPr>
        <w:ind w:left="580" w:hanging="288"/>
        <w:spacing w:after="0" w:line="197" w:lineRule="auto"/>
        <w:tabs>
          <w:tab w:leader="none" w:pos="580" w:val="left"/>
        </w:tabs>
        <w:numPr>
          <w:ilvl w:val="0"/>
          <w:numId w:val="57"/>
        </w:numPr>
        <w:rPr>
          <w:rFonts w:ascii="Arial" w:cs="Arial" w:eastAsia="Arial" w:hAnsi="Arial"/>
          <w:sz w:val="20"/>
          <w:szCs w:val="20"/>
          <w:color w:val="auto"/>
          <w:vertAlign w:val="superscript"/>
        </w:rPr>
      </w:pPr>
      <w:r>
        <w:rPr>
          <w:rFonts w:ascii="Arial" w:cs="Arial" w:eastAsia="Arial" w:hAnsi="Arial"/>
          <w:sz w:val="14"/>
          <w:szCs w:val="14"/>
          <w:color w:val="auto"/>
        </w:rPr>
        <w:t>Represents shares available for issuance under the 2022 Plan.</w:t>
      </w:r>
    </w:p>
    <w:p>
      <w:pPr>
        <w:spacing w:after="0" w:line="27" w:lineRule="exact"/>
        <w:rPr>
          <w:rFonts w:ascii="Arial" w:cs="Arial" w:eastAsia="Arial" w:hAnsi="Arial"/>
          <w:sz w:val="20"/>
          <w:szCs w:val="20"/>
          <w:color w:val="auto"/>
          <w:vertAlign w:val="superscript"/>
        </w:rPr>
      </w:pPr>
    </w:p>
    <w:p>
      <w:pPr>
        <w:ind w:left="580" w:right="479" w:hanging="288"/>
        <w:spacing w:after="0" w:line="214" w:lineRule="auto"/>
        <w:tabs>
          <w:tab w:leader="none" w:pos="580" w:val="left"/>
        </w:tabs>
        <w:numPr>
          <w:ilvl w:val="0"/>
          <w:numId w:val="57"/>
        </w:numPr>
        <w:rPr>
          <w:rFonts w:ascii="Arial" w:cs="Arial" w:eastAsia="Arial" w:hAnsi="Arial"/>
          <w:sz w:val="22"/>
          <w:szCs w:val="22"/>
          <w:color w:val="auto"/>
          <w:vertAlign w:val="superscript"/>
        </w:rPr>
      </w:pPr>
      <w:r>
        <w:rPr>
          <w:rFonts w:ascii="Arial" w:cs="Arial" w:eastAsia="Arial" w:hAnsi="Arial"/>
          <w:sz w:val="14"/>
          <w:szCs w:val="14"/>
          <w:color w:val="auto"/>
        </w:rPr>
        <w:t>Includes 392,357 shares attributable to the GSIP. It also includes 5,415 Embecta shares held under the DCP and 1,952 Embecta shares held under the DDP, resulting from the transfer of the balances and elections of the corresponding BD plans, but no new elections are allowed in these plans, and no shares are paid out to participants.</w:t>
      </w:r>
    </w:p>
    <w:p>
      <w:pPr>
        <w:spacing w:after="0" w:line="26" w:lineRule="exact"/>
        <w:rPr>
          <w:rFonts w:ascii="Arial" w:cs="Arial" w:eastAsia="Arial" w:hAnsi="Arial"/>
          <w:sz w:val="22"/>
          <w:szCs w:val="22"/>
          <w:color w:val="auto"/>
          <w:vertAlign w:val="superscript"/>
        </w:rPr>
      </w:pPr>
    </w:p>
    <w:p>
      <w:pPr>
        <w:ind w:left="580" w:right="799" w:hanging="288"/>
        <w:spacing w:after="0" w:line="204" w:lineRule="auto"/>
        <w:tabs>
          <w:tab w:leader="none" w:pos="580" w:val="left"/>
        </w:tabs>
        <w:numPr>
          <w:ilvl w:val="0"/>
          <w:numId w:val="57"/>
        </w:numPr>
        <w:rPr>
          <w:rFonts w:ascii="Arial" w:cs="Arial" w:eastAsia="Arial" w:hAnsi="Arial"/>
          <w:sz w:val="22"/>
          <w:szCs w:val="22"/>
          <w:color w:val="auto"/>
          <w:vertAlign w:val="superscript"/>
        </w:rPr>
      </w:pPr>
      <w:r>
        <w:rPr>
          <w:rFonts w:ascii="Arial" w:cs="Arial" w:eastAsia="Arial" w:hAnsi="Arial"/>
          <w:sz w:val="14"/>
          <w:szCs w:val="14"/>
          <w:color w:val="auto"/>
        </w:rPr>
        <w:t>Not shown are shares attributable to the GSIP. The number of shares that may become deliverable will depend on future elections made by GSIP participants and there are no limits on the number of shares deliverable under the GSIP.</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22"/>
          <w:szCs w:val="22"/>
          <w:color w:val="342C82"/>
        </w:rPr>
        <w:t>Deferred Compensation Plan, Directors’ Deferral Plan and the GSIP</w:t>
      </w:r>
    </w:p>
    <w:p>
      <w:pPr>
        <w:spacing w:after="0" w:line="124" w:lineRule="exact"/>
        <w:rPr>
          <w:sz w:val="20"/>
          <w:szCs w:val="20"/>
          <w:color w:val="auto"/>
        </w:rPr>
      </w:pPr>
    </w:p>
    <w:p>
      <w:pPr>
        <w:ind w:left="300" w:right="359"/>
        <w:spacing w:after="0" w:line="250" w:lineRule="auto"/>
        <w:rPr>
          <w:sz w:val="20"/>
          <w:szCs w:val="20"/>
          <w:color w:val="auto"/>
        </w:rPr>
      </w:pPr>
      <w:r>
        <w:rPr>
          <w:rFonts w:ascii="Arial" w:cs="Arial" w:eastAsia="Arial" w:hAnsi="Arial"/>
          <w:sz w:val="16"/>
          <w:szCs w:val="16"/>
          <w:color w:val="auto"/>
        </w:rPr>
        <w:t>Information regarding the deferral features of the Directors’ Deferral Plan and the DCP can be found in “Compensation Discussion and Analysis—Other benefits under our executive compensation program.” Under the BD Restoration Plan and the BD Directors’ Deferral Plan, participants were eligible to defer the receipt of certain equity-based awards. Embecta employees and non-employee directors who were previously associated with BD had their balances under the BD Deferred Compensation and Retirement Benefit Restoration Plan or the BD 1996 Directors’ Deferral Plan, as applicable, transferred to the DCP or the Directors’ Deferral Plan, as applicable. The shares credited to the applicable BD plan were credited with the Embecta dividend in the form of notional Embecta shares. Amounts credited to the Embecta common stock accounts of the DCP and Directors’ Deferral Plan are paid out in cash at the time of distribution. The DCP and Directors’ Deferral Plan are not qualified, and participants have an unsecured contractual commitment of Embecta to pay the amounts due under the plan.</w:t>
      </w:r>
    </w:p>
    <w:p>
      <w:pPr>
        <w:spacing w:after="0" w:line="135" w:lineRule="exact"/>
        <w:rPr>
          <w:sz w:val="20"/>
          <w:szCs w:val="20"/>
          <w:color w:val="auto"/>
        </w:rPr>
      </w:pPr>
    </w:p>
    <w:p>
      <w:pPr>
        <w:jc w:val="both"/>
        <w:ind w:left="300" w:right="1399"/>
        <w:spacing w:after="0" w:line="286" w:lineRule="auto"/>
        <w:rPr>
          <w:sz w:val="20"/>
          <w:szCs w:val="20"/>
          <w:color w:val="auto"/>
        </w:rPr>
      </w:pPr>
      <w:r>
        <w:rPr>
          <w:rFonts w:ascii="Arial" w:cs="Arial" w:eastAsia="Arial" w:hAnsi="Arial"/>
          <w:sz w:val="16"/>
          <w:szCs w:val="16"/>
          <w:color w:val="auto"/>
        </w:rPr>
        <w:t>Information regarding the deferral features of the Directors’ Deferral Plan and the DCP can be found in “Compensation Discussion and Analysis—Other benefits under our executive compensation program.”</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132080</wp:posOffset>
            </wp:positionV>
            <wp:extent cx="699516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0" w:name="page81"/>
    <w:bookmarkEnd w:id="8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6" w:lineRule="exact"/>
        <w:rPr>
          <w:sz w:val="20"/>
          <w:szCs w:val="20"/>
          <w:color w:val="auto"/>
        </w:rPr>
      </w:pPr>
    </w:p>
    <w:p>
      <w:pPr>
        <w:ind w:left="300"/>
        <w:spacing w:after="0"/>
        <w:rPr>
          <w:sz w:val="20"/>
          <w:szCs w:val="20"/>
          <w:color w:val="auto"/>
        </w:rPr>
      </w:pPr>
      <w:r>
        <w:rPr>
          <w:rFonts w:ascii="Arial" w:cs="Arial" w:eastAsia="Arial" w:hAnsi="Arial"/>
          <w:sz w:val="43"/>
          <w:szCs w:val="43"/>
          <w:color w:val="342C82"/>
        </w:rPr>
        <w:t>General information</w:t>
      </w:r>
    </w:p>
    <w:p>
      <w:pPr>
        <w:spacing w:after="0" w:line="298" w:lineRule="exact"/>
        <w:rPr>
          <w:sz w:val="20"/>
          <w:szCs w:val="20"/>
          <w:color w:val="auto"/>
        </w:rPr>
      </w:pPr>
    </w:p>
    <w:p>
      <w:pPr>
        <w:ind w:left="300"/>
        <w:spacing w:after="0"/>
        <w:rPr>
          <w:sz w:val="20"/>
          <w:szCs w:val="20"/>
          <w:color w:val="auto"/>
        </w:rPr>
      </w:pPr>
      <w:r>
        <w:rPr>
          <w:rFonts w:ascii="Arial" w:cs="Arial" w:eastAsia="Arial" w:hAnsi="Arial"/>
          <w:sz w:val="29"/>
          <w:szCs w:val="29"/>
          <w:color w:val="342C82"/>
        </w:rPr>
        <w:t>Proxy solicitation</w:t>
      </w:r>
    </w:p>
    <w:p>
      <w:pPr>
        <w:spacing w:after="0" w:line="130" w:lineRule="exact"/>
        <w:rPr>
          <w:sz w:val="20"/>
          <w:szCs w:val="20"/>
          <w:color w:val="auto"/>
        </w:rPr>
      </w:pPr>
    </w:p>
    <w:p>
      <w:pPr>
        <w:ind w:left="300" w:right="339"/>
        <w:spacing w:after="0" w:line="254" w:lineRule="auto"/>
        <w:rPr>
          <w:sz w:val="20"/>
          <w:szCs w:val="20"/>
          <w:color w:val="auto"/>
        </w:rPr>
      </w:pPr>
      <w:r>
        <w:rPr>
          <w:rFonts w:ascii="Arial" w:cs="Arial" w:eastAsia="Arial" w:hAnsi="Arial"/>
          <w:sz w:val="16"/>
          <w:szCs w:val="16"/>
          <w:color w:val="auto"/>
        </w:rPr>
        <w:t>These proxy materials are being mailed or otherwise sent to stockholders of Embecta on or about December 19, 2024 in connection with the solicitation of proxies by the Board for Embecta’s 2025 Annual Meeting to be held at 8:00 a.m. ET on February 12, 2025 at Hilton Short Hills, 41 John F. Kennedy Parkway, Short Hills, New Jersey. Embecta’s directors and its officers and other Embecta associates also may solicit proxies by telephone or otherwise. Brokers, banks and other nominees will be requested to solicit proxies or authorizations from beneficial owners and will be reimbursed for their reasonable expenses.</w:t>
      </w:r>
    </w:p>
    <w:p>
      <w:pPr>
        <w:spacing w:after="0" w:line="128" w:lineRule="exact"/>
        <w:rPr>
          <w:sz w:val="20"/>
          <w:szCs w:val="20"/>
          <w:color w:val="auto"/>
        </w:rPr>
      </w:pPr>
    </w:p>
    <w:p>
      <w:pPr>
        <w:jc w:val="both"/>
        <w:ind w:left="300" w:right="499"/>
        <w:spacing w:after="0" w:line="271" w:lineRule="auto"/>
        <w:rPr>
          <w:sz w:val="20"/>
          <w:szCs w:val="20"/>
          <w:color w:val="auto"/>
        </w:rPr>
      </w:pPr>
      <w:r>
        <w:rPr>
          <w:rFonts w:ascii="Arial" w:cs="Arial" w:eastAsia="Arial" w:hAnsi="Arial"/>
          <w:sz w:val="16"/>
          <w:szCs w:val="16"/>
          <w:b w:val="1"/>
          <w:bCs w:val="1"/>
          <w:color w:val="auto"/>
        </w:rPr>
        <w:t>Important Notice Regarding the Availability of Proxy Materials for the 2025 Annual Meeting of Stockholders to be held on February 12, 2025. This proxy statement and Embecta’s 2024 Annual Report of Stockholders are also available at investors.embecta.com/financials-filings/annual-reports.</w:t>
      </w:r>
    </w:p>
    <w:p>
      <w:pPr>
        <w:spacing w:after="0" w:line="277" w:lineRule="exact"/>
        <w:rPr>
          <w:sz w:val="20"/>
          <w:szCs w:val="20"/>
          <w:color w:val="auto"/>
        </w:rPr>
      </w:pPr>
    </w:p>
    <w:p>
      <w:pPr>
        <w:ind w:left="300"/>
        <w:spacing w:after="0"/>
        <w:rPr>
          <w:sz w:val="20"/>
          <w:szCs w:val="20"/>
          <w:color w:val="auto"/>
        </w:rPr>
      </w:pPr>
      <w:r>
        <w:rPr>
          <w:rFonts w:ascii="Arial" w:cs="Arial" w:eastAsia="Arial" w:hAnsi="Arial"/>
          <w:sz w:val="29"/>
          <w:szCs w:val="29"/>
          <w:color w:val="342C82"/>
        </w:rPr>
        <w:t>Stockholders entitled to vote</w:t>
      </w:r>
    </w:p>
    <w:p>
      <w:pPr>
        <w:spacing w:after="0" w:line="130" w:lineRule="exact"/>
        <w:rPr>
          <w:sz w:val="20"/>
          <w:szCs w:val="20"/>
          <w:color w:val="auto"/>
        </w:rPr>
      </w:pPr>
    </w:p>
    <w:p>
      <w:pPr>
        <w:ind w:left="300" w:right="579"/>
        <w:spacing w:after="0" w:line="266" w:lineRule="auto"/>
        <w:rPr>
          <w:sz w:val="20"/>
          <w:szCs w:val="20"/>
          <w:color w:val="auto"/>
        </w:rPr>
      </w:pPr>
      <w:r>
        <w:rPr>
          <w:rFonts w:ascii="Arial" w:cs="Arial" w:eastAsia="Arial" w:hAnsi="Arial"/>
          <w:sz w:val="16"/>
          <w:szCs w:val="16"/>
          <w:color w:val="auto"/>
        </w:rPr>
        <w:t>The record date for determining stockholders entitled to notice of, and to vote at, the 2025 Annual Meeting (or any adjournment or postponement thereof) is December 16, 2024. As of such date, there were 58,131,759 shares of Embecta common stock outstanding, each entitled to one vote.</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29"/>
          <w:szCs w:val="29"/>
          <w:color w:val="342C82"/>
        </w:rPr>
        <w:t>Attendance at the 2025 Annual Meeting</w:t>
      </w:r>
    </w:p>
    <w:p>
      <w:pPr>
        <w:spacing w:after="0" w:line="157"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To attend the 2025 Annual Meeting, you must be a stockholder as of the record date.</w:t>
      </w:r>
    </w:p>
    <w:p>
      <w:pPr>
        <w:spacing w:after="0" w:line="167" w:lineRule="exact"/>
        <w:rPr>
          <w:sz w:val="20"/>
          <w:szCs w:val="20"/>
          <w:color w:val="auto"/>
        </w:rPr>
      </w:pPr>
    </w:p>
    <w:p>
      <w:pPr>
        <w:ind w:left="300" w:right="519"/>
        <w:spacing w:after="0" w:line="286" w:lineRule="auto"/>
        <w:rPr>
          <w:sz w:val="20"/>
          <w:szCs w:val="20"/>
          <w:color w:val="auto"/>
        </w:rPr>
      </w:pPr>
      <w:r>
        <w:rPr>
          <w:rFonts w:ascii="Arial" w:cs="Arial" w:eastAsia="Arial" w:hAnsi="Arial"/>
          <w:sz w:val="16"/>
          <w:szCs w:val="16"/>
          <w:color w:val="auto"/>
        </w:rPr>
        <w:t>Stockholders of record who hold their shares directly with our transfer agent, Computershare, will be admitted after providing a form of government identification (i.e., driver’s license).</w:t>
      </w:r>
    </w:p>
    <w:p>
      <w:pPr>
        <w:spacing w:after="0" w:line="102" w:lineRule="exact"/>
        <w:rPr>
          <w:sz w:val="20"/>
          <w:szCs w:val="20"/>
          <w:color w:val="auto"/>
        </w:rPr>
      </w:pPr>
    </w:p>
    <w:p>
      <w:pPr>
        <w:ind w:left="300" w:right="459"/>
        <w:spacing w:after="0" w:line="259" w:lineRule="auto"/>
        <w:rPr>
          <w:sz w:val="20"/>
          <w:szCs w:val="20"/>
          <w:color w:val="auto"/>
        </w:rPr>
      </w:pPr>
      <w:r>
        <w:rPr>
          <w:rFonts w:ascii="Arial" w:cs="Arial" w:eastAsia="Arial" w:hAnsi="Arial"/>
          <w:sz w:val="16"/>
          <w:szCs w:val="16"/>
          <w:color w:val="auto"/>
        </w:rPr>
        <w:t>If your shares are held in the name of a bank, broker or other nominee (also known as shares held in “street name”) and you wish to attend the meeting, you must present proof of ownership as of the record date, such as a bank or brokerage account statement, to be admitted. Embecta will request appropriate government identification for any person seeking to attend the meeting as a condition of admission.</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29"/>
          <w:szCs w:val="29"/>
          <w:color w:val="342C82"/>
        </w:rPr>
        <w:t>How to vote at the meeting or by proxy</w:t>
      </w:r>
    </w:p>
    <w:p>
      <w:pPr>
        <w:spacing w:after="0" w:line="130" w:lineRule="exact"/>
        <w:rPr>
          <w:sz w:val="20"/>
          <w:szCs w:val="20"/>
          <w:color w:val="auto"/>
        </w:rPr>
      </w:pPr>
    </w:p>
    <w:p>
      <w:pPr>
        <w:ind w:left="300" w:right="319"/>
        <w:spacing w:after="0" w:line="286" w:lineRule="auto"/>
        <w:rPr>
          <w:sz w:val="20"/>
          <w:szCs w:val="20"/>
          <w:color w:val="auto"/>
        </w:rPr>
      </w:pPr>
      <w:r>
        <w:rPr>
          <w:rFonts w:ascii="Arial" w:cs="Arial" w:eastAsia="Arial" w:hAnsi="Arial"/>
          <w:sz w:val="16"/>
          <w:szCs w:val="16"/>
          <w:color w:val="auto"/>
        </w:rPr>
        <w:t>Stockholders of record may cast their votes at the meeting. In addition, stockholders of record may cast their votes by proxy, and participants in the Embecta plans described below may submit their voting instructions, by:</w:t>
      </w:r>
    </w:p>
    <w:p>
      <w:pPr>
        <w:spacing w:after="0" w:line="102" w:lineRule="exact"/>
        <w:rPr>
          <w:sz w:val="20"/>
          <w:szCs w:val="20"/>
          <w:color w:val="auto"/>
        </w:rPr>
      </w:pPr>
    </w:p>
    <w:p>
      <w:pPr>
        <w:ind w:left="500" w:hanging="208"/>
        <w:spacing w:after="0"/>
        <w:tabs>
          <w:tab w:leader="none" w:pos="500" w:val="left"/>
        </w:tabs>
        <w:numPr>
          <w:ilvl w:val="0"/>
          <w:numId w:val="58"/>
        </w:numPr>
        <w:rPr>
          <w:rFonts w:ascii="Arial" w:cs="Arial" w:eastAsia="Arial" w:hAnsi="Arial"/>
          <w:sz w:val="16"/>
          <w:szCs w:val="16"/>
          <w:color w:val="342C82"/>
        </w:rPr>
      </w:pPr>
      <w:r>
        <w:rPr>
          <w:rFonts w:ascii="Arial" w:cs="Arial" w:eastAsia="Arial" w:hAnsi="Arial"/>
          <w:sz w:val="16"/>
          <w:szCs w:val="16"/>
          <w:color w:val="auto"/>
        </w:rPr>
        <w:t>using the Internet and voting at the website listed on the enclosed proxy/voting instruction card (the “proxy card”);</w:t>
      </w:r>
    </w:p>
    <w:p>
      <w:pPr>
        <w:spacing w:after="0" w:line="59" w:lineRule="exact"/>
        <w:rPr>
          <w:rFonts w:ascii="Arial" w:cs="Arial" w:eastAsia="Arial" w:hAnsi="Arial"/>
          <w:sz w:val="16"/>
          <w:szCs w:val="16"/>
          <w:color w:val="342C82"/>
        </w:rPr>
      </w:pPr>
    </w:p>
    <w:p>
      <w:pPr>
        <w:ind w:left="500" w:hanging="208"/>
        <w:spacing w:after="0"/>
        <w:tabs>
          <w:tab w:leader="none" w:pos="500" w:val="left"/>
        </w:tabs>
        <w:numPr>
          <w:ilvl w:val="0"/>
          <w:numId w:val="58"/>
        </w:numPr>
        <w:rPr>
          <w:rFonts w:ascii="Arial" w:cs="Arial" w:eastAsia="Arial" w:hAnsi="Arial"/>
          <w:sz w:val="16"/>
          <w:szCs w:val="16"/>
          <w:color w:val="342C82"/>
        </w:rPr>
      </w:pPr>
      <w:r>
        <w:rPr>
          <w:rFonts w:ascii="Arial" w:cs="Arial" w:eastAsia="Arial" w:hAnsi="Arial"/>
          <w:sz w:val="16"/>
          <w:szCs w:val="16"/>
          <w:color w:val="auto"/>
        </w:rPr>
        <w:t>using the telephone number listed on their proxy card; or</w:t>
      </w:r>
    </w:p>
    <w:p>
      <w:pPr>
        <w:spacing w:after="0" w:line="59" w:lineRule="exact"/>
        <w:rPr>
          <w:rFonts w:ascii="Arial" w:cs="Arial" w:eastAsia="Arial" w:hAnsi="Arial"/>
          <w:sz w:val="16"/>
          <w:szCs w:val="16"/>
          <w:color w:val="342C82"/>
        </w:rPr>
      </w:pPr>
    </w:p>
    <w:p>
      <w:pPr>
        <w:ind w:left="500" w:hanging="208"/>
        <w:spacing w:after="0"/>
        <w:tabs>
          <w:tab w:leader="none" w:pos="500" w:val="left"/>
        </w:tabs>
        <w:numPr>
          <w:ilvl w:val="0"/>
          <w:numId w:val="58"/>
        </w:numPr>
        <w:rPr>
          <w:rFonts w:ascii="Arial" w:cs="Arial" w:eastAsia="Arial" w:hAnsi="Arial"/>
          <w:sz w:val="16"/>
          <w:szCs w:val="16"/>
          <w:color w:val="342C82"/>
        </w:rPr>
      </w:pPr>
      <w:r>
        <w:rPr>
          <w:rFonts w:ascii="Arial" w:cs="Arial" w:eastAsia="Arial" w:hAnsi="Arial"/>
          <w:sz w:val="16"/>
          <w:szCs w:val="16"/>
          <w:color w:val="auto"/>
        </w:rPr>
        <w:t>signing, completing and returning the proxy card in the postage-paid envelope provided.</w:t>
      </w:r>
    </w:p>
    <w:p>
      <w:pPr>
        <w:spacing w:after="0" w:line="167" w:lineRule="exact"/>
        <w:rPr>
          <w:sz w:val="20"/>
          <w:szCs w:val="20"/>
          <w:color w:val="auto"/>
        </w:rPr>
      </w:pPr>
    </w:p>
    <w:p>
      <w:pPr>
        <w:ind w:left="300" w:right="359"/>
        <w:spacing w:after="0" w:line="259" w:lineRule="auto"/>
        <w:rPr>
          <w:sz w:val="20"/>
          <w:szCs w:val="20"/>
          <w:color w:val="auto"/>
        </w:rPr>
      </w:pPr>
      <w:r>
        <w:rPr>
          <w:rFonts w:ascii="Arial" w:cs="Arial" w:eastAsia="Arial" w:hAnsi="Arial"/>
          <w:sz w:val="16"/>
          <w:szCs w:val="16"/>
          <w:color w:val="auto"/>
        </w:rPr>
        <w:t xml:space="preserve">Votes and voting instructions provided through the Internet and by telephone are authenticated by use of your control number. This procedure allows stockholders to appoint a proxy, and the various plan participants to provide voting instructions, and to confirm that their actions have been properly recorded. If you vote through the Internet or by telephone, you do not need to return your proxy card. </w:t>
      </w:r>
      <w:r>
        <w:rPr>
          <w:rFonts w:ascii="Arial" w:cs="Arial" w:eastAsia="Arial" w:hAnsi="Arial"/>
          <w:sz w:val="16"/>
          <w:szCs w:val="16"/>
          <w:b w:val="1"/>
          <w:bCs w:val="1"/>
          <w:color w:val="auto"/>
        </w:rPr>
        <w:t>In order to be timely processed, voting instructions</w:t>
      </w:r>
      <w:r>
        <w:rPr>
          <w:rFonts w:ascii="Arial" w:cs="Arial" w:eastAsia="Arial" w:hAnsi="Arial"/>
          <w:sz w:val="16"/>
          <w:szCs w:val="16"/>
          <w:color w:val="auto"/>
        </w:rPr>
        <w:t xml:space="preserve"> </w:t>
      </w:r>
      <w:r>
        <w:rPr>
          <w:rFonts w:ascii="Arial" w:cs="Arial" w:eastAsia="Arial" w:hAnsi="Arial"/>
          <w:sz w:val="16"/>
          <w:szCs w:val="16"/>
          <w:b w:val="1"/>
          <w:bCs w:val="1"/>
          <w:color w:val="auto"/>
        </w:rPr>
        <w:t>submitted by participants in the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123825</wp:posOffset>
            </wp:positionV>
            <wp:extent cx="699516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1" w:name="page82"/>
    <w:bookmarkEnd w:id="8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7300"/>
        <w:spacing w:after="0"/>
        <w:rPr>
          <w:sz w:val="20"/>
          <w:szCs w:val="20"/>
          <w:color w:val="auto"/>
        </w:rPr>
      </w:pPr>
      <w:r>
        <w:rPr>
          <w:rFonts w:ascii="Arial" w:cs="Arial" w:eastAsia="Arial" w:hAnsi="Arial"/>
          <w:sz w:val="16"/>
          <w:szCs w:val="16"/>
          <w:color w:val="342C82"/>
        </w:rPr>
        <w:t>General information</w:t>
      </w:r>
    </w:p>
    <w:p>
      <w:pPr>
        <w:spacing w:after="0" w:line="113" w:lineRule="exact"/>
        <w:rPr>
          <w:sz w:val="20"/>
          <w:szCs w:val="20"/>
          <w:color w:val="auto"/>
        </w:rPr>
      </w:pPr>
    </w:p>
    <w:p>
      <w:pPr>
        <w:ind w:left="300" w:right="319"/>
        <w:spacing w:after="0" w:line="271" w:lineRule="auto"/>
        <w:rPr>
          <w:sz w:val="20"/>
          <w:szCs w:val="20"/>
          <w:color w:val="auto"/>
        </w:rPr>
      </w:pPr>
      <w:r>
        <w:rPr>
          <w:rFonts w:ascii="Arial" w:cs="Arial" w:eastAsia="Arial" w:hAnsi="Arial"/>
          <w:sz w:val="16"/>
          <w:szCs w:val="16"/>
          <w:b w:val="1"/>
          <w:bCs w:val="1"/>
          <w:color w:val="auto"/>
        </w:rPr>
        <w:t>Embecta plans must be received by 11:59 p.m. ET on February 9, 2025. All proxies submitted by record holders through the Internet, by telephone or by mail must be received by 11:59 p.m. ET on February 11, 2025 in order to be timely processed.</w:t>
      </w:r>
    </w:p>
    <w:p>
      <w:pPr>
        <w:spacing w:after="0" w:line="106" w:lineRule="exact"/>
        <w:rPr>
          <w:sz w:val="20"/>
          <w:szCs w:val="20"/>
          <w:color w:val="auto"/>
        </w:rPr>
      </w:pPr>
    </w:p>
    <w:p>
      <w:pPr>
        <w:ind w:left="300" w:right="339"/>
        <w:spacing w:after="0" w:line="259" w:lineRule="auto"/>
        <w:rPr>
          <w:sz w:val="20"/>
          <w:szCs w:val="20"/>
          <w:color w:val="auto"/>
        </w:rPr>
      </w:pPr>
      <w:r>
        <w:rPr>
          <w:rFonts w:ascii="Arial" w:cs="Arial" w:eastAsia="Arial" w:hAnsi="Arial"/>
          <w:sz w:val="16"/>
          <w:szCs w:val="16"/>
          <w:color w:val="auto"/>
        </w:rPr>
        <w:t>If you are the beneficial owner of shares held in street name, you can direct your bank, broker or other nominee on how to vote your shares by following the instructions provided to you by your nominee. In the alternative, you may vote in person at the meeting if you obtain a legal proxy from your bank, broker or other nominee and present it at the meeting.</w:t>
      </w:r>
    </w:p>
    <w:p>
      <w:pPr>
        <w:spacing w:after="0" w:line="124" w:lineRule="exact"/>
        <w:rPr>
          <w:sz w:val="20"/>
          <w:szCs w:val="20"/>
          <w:color w:val="auto"/>
        </w:rPr>
      </w:pPr>
    </w:p>
    <w:p>
      <w:pPr>
        <w:ind w:left="300" w:right="399"/>
        <w:spacing w:after="0" w:line="253" w:lineRule="auto"/>
        <w:rPr>
          <w:sz w:val="20"/>
          <w:szCs w:val="20"/>
          <w:color w:val="auto"/>
        </w:rPr>
      </w:pPr>
      <w:r>
        <w:rPr>
          <w:rFonts w:ascii="Arial" w:cs="Arial" w:eastAsia="Arial" w:hAnsi="Arial"/>
          <w:sz w:val="16"/>
          <w:szCs w:val="16"/>
          <w:color w:val="auto"/>
        </w:rPr>
        <w:t>Shares represented by properly executed proxies will be voted in accordance with the instructions specified therein. Shares represented by properly executed proxies that do not specify voting instructions will be voted in accordance with the recommendations of the Board set forth in this proxy statement. If you hold your shares in street name and do not provide timely voting instructions to your bank, broker or other nominee, your nominee will not be permitted to vote your shares in its discretion on the election of directors (Proposal 1) or the advisory vote to approve named executive officer compensation (Proposal 3), but may still be permitted to vote your shares in their discretion on the ratification of the independent registered public accounting firm (Proposal 2). See “Broker non-votes” below.</w:t>
      </w:r>
    </w:p>
    <w:p>
      <w:pPr>
        <w:spacing w:after="0" w:line="298" w:lineRule="exact"/>
        <w:rPr>
          <w:sz w:val="20"/>
          <w:szCs w:val="20"/>
          <w:color w:val="auto"/>
        </w:rPr>
      </w:pPr>
    </w:p>
    <w:p>
      <w:pPr>
        <w:ind w:left="300"/>
        <w:spacing w:after="0"/>
        <w:rPr>
          <w:sz w:val="20"/>
          <w:szCs w:val="20"/>
          <w:color w:val="auto"/>
        </w:rPr>
      </w:pPr>
      <w:r>
        <w:rPr>
          <w:rFonts w:ascii="Arial" w:cs="Arial" w:eastAsia="Arial" w:hAnsi="Arial"/>
          <w:sz w:val="29"/>
          <w:szCs w:val="29"/>
          <w:color w:val="342C82"/>
        </w:rPr>
        <w:t>Broker non-votes</w:t>
      </w:r>
    </w:p>
    <w:p>
      <w:pPr>
        <w:spacing w:after="0" w:line="130" w:lineRule="exact"/>
        <w:rPr>
          <w:sz w:val="20"/>
          <w:szCs w:val="20"/>
          <w:color w:val="auto"/>
        </w:rPr>
      </w:pPr>
    </w:p>
    <w:p>
      <w:pPr>
        <w:ind w:left="300" w:right="319"/>
        <w:spacing w:after="0" w:line="252" w:lineRule="auto"/>
        <w:rPr>
          <w:sz w:val="20"/>
          <w:szCs w:val="20"/>
          <w:color w:val="auto"/>
        </w:rPr>
      </w:pPr>
      <w:r>
        <w:rPr>
          <w:rFonts w:ascii="Arial" w:cs="Arial" w:eastAsia="Arial" w:hAnsi="Arial"/>
          <w:sz w:val="16"/>
          <w:szCs w:val="16"/>
          <w:color w:val="auto"/>
        </w:rPr>
        <w:t>A “broker non-vote” occurs when a beneficial owner of shares held by a broker, bank or other nominee fails to provide such record holder with voting instructions on any non-routine matters brought to a vote at the annual meeting. If you are a beneficial owner whose shares are held of record by a broker, your broker has discretionary voting authority to vote your shares only on routine matters, such as the ratification of the selection of the independent registered public accounting firm (Proposal 2), even if the broker does not receive voting instructions from you. Non-routine matters include the election of directors (Proposal 1) and the advisory vote to approve named executive officer compensation (Proposal 3). Your broker does not have discretionary authority to vote on non-routine matters without instructions from you, in which case a broker non-vote will occur and your shares will not be voted on these matters.</w:t>
      </w:r>
    </w:p>
    <w:p>
      <w:pPr>
        <w:spacing w:after="0" w:line="300" w:lineRule="exact"/>
        <w:rPr>
          <w:sz w:val="20"/>
          <w:szCs w:val="20"/>
          <w:color w:val="auto"/>
        </w:rPr>
      </w:pPr>
    </w:p>
    <w:p>
      <w:pPr>
        <w:ind w:left="300"/>
        <w:spacing w:after="0"/>
        <w:rPr>
          <w:sz w:val="20"/>
          <w:szCs w:val="20"/>
          <w:color w:val="auto"/>
        </w:rPr>
      </w:pPr>
      <w:r>
        <w:rPr>
          <w:rFonts w:ascii="Arial" w:cs="Arial" w:eastAsia="Arial" w:hAnsi="Arial"/>
          <w:sz w:val="29"/>
          <w:szCs w:val="29"/>
          <w:color w:val="342C82"/>
        </w:rPr>
        <w:t>Quorum; required vote</w:t>
      </w:r>
    </w:p>
    <w:p>
      <w:pPr>
        <w:spacing w:after="0" w:line="130" w:lineRule="exact"/>
        <w:rPr>
          <w:sz w:val="20"/>
          <w:szCs w:val="20"/>
          <w:color w:val="auto"/>
        </w:rPr>
      </w:pPr>
    </w:p>
    <w:p>
      <w:pPr>
        <w:ind w:left="300" w:right="379"/>
        <w:spacing w:after="0" w:line="266" w:lineRule="auto"/>
        <w:rPr>
          <w:sz w:val="20"/>
          <w:szCs w:val="20"/>
          <w:color w:val="auto"/>
        </w:rPr>
      </w:pPr>
      <w:r>
        <w:rPr>
          <w:rFonts w:ascii="Arial" w:cs="Arial" w:eastAsia="Arial" w:hAnsi="Arial"/>
          <w:sz w:val="16"/>
          <w:szCs w:val="16"/>
          <w:color w:val="auto"/>
        </w:rPr>
        <w:t>The quorum for the 2025 Annual Meeting is a majority of the outstanding shares of Embecta common stock as of the Record Date represented in person or by proxy. Abstentions and broker non-votes are counted as present to determine whether there is a quorum for the 2025 Annual Meeting.</w:t>
      </w:r>
    </w:p>
    <w:p>
      <w:pPr>
        <w:spacing w:after="0" w:line="117" w:lineRule="exact"/>
        <w:rPr>
          <w:sz w:val="20"/>
          <w:szCs w:val="20"/>
          <w:color w:val="auto"/>
        </w:rPr>
      </w:pPr>
    </w:p>
    <w:p>
      <w:pPr>
        <w:ind w:left="300" w:right="319"/>
        <w:spacing w:after="0" w:line="254" w:lineRule="auto"/>
        <w:rPr>
          <w:sz w:val="20"/>
          <w:szCs w:val="20"/>
          <w:color w:val="auto"/>
        </w:rPr>
      </w:pPr>
      <w:r>
        <w:rPr>
          <w:rFonts w:ascii="Arial" w:cs="Arial" w:eastAsia="Arial" w:hAnsi="Arial"/>
          <w:sz w:val="16"/>
          <w:szCs w:val="16"/>
          <w:b w:val="1"/>
          <w:bCs w:val="1"/>
          <w:color w:val="auto"/>
        </w:rPr>
        <w:t>Proposal 1 (Election of Directors)</w:t>
      </w:r>
      <w:r>
        <w:rPr>
          <w:rFonts w:ascii="Arial" w:cs="Arial" w:eastAsia="Arial" w:hAnsi="Arial"/>
          <w:sz w:val="16"/>
          <w:szCs w:val="16"/>
          <w:color w:val="auto"/>
        </w:rPr>
        <w:t>. Directors are elected by a majority of the votes cast at the meeting. If a quorum</w:t>
      </w:r>
      <w:r>
        <w:rPr>
          <w:rFonts w:ascii="Arial" w:cs="Arial" w:eastAsia="Arial" w:hAnsi="Arial"/>
          <w:sz w:val="16"/>
          <w:szCs w:val="16"/>
          <w:b w:val="1"/>
          <w:bCs w:val="1"/>
          <w:color w:val="auto"/>
        </w:rPr>
        <w:t xml:space="preserve"> </w:t>
      </w:r>
      <w:r>
        <w:rPr>
          <w:rFonts w:ascii="Arial" w:cs="Arial" w:eastAsia="Arial" w:hAnsi="Arial"/>
          <w:sz w:val="16"/>
          <w:szCs w:val="16"/>
          <w:color w:val="auto"/>
        </w:rPr>
        <w:t>is present, a director nominee will be elected if the number of shares voted “for” a director nominee’s election exceeds 50% of the number of votes cast with respect to that director nominee’s election. As discussed above, if your broker holds shares in your name and delivers this proxy statement to you, the broker is not entitled to vote your shares on this proposal without your instructions. Abstentions and broker non-votes are not counted as votes cast and therefore will have no effect on determining whether the required majority vote has been attained.</w:t>
      </w:r>
    </w:p>
    <w:p>
      <w:pPr>
        <w:spacing w:after="0" w:line="128" w:lineRule="exact"/>
        <w:rPr>
          <w:sz w:val="20"/>
          <w:szCs w:val="20"/>
          <w:color w:val="auto"/>
        </w:rPr>
      </w:pPr>
    </w:p>
    <w:p>
      <w:pPr>
        <w:ind w:left="300" w:right="439"/>
        <w:spacing w:after="0" w:line="259" w:lineRule="auto"/>
        <w:rPr>
          <w:sz w:val="20"/>
          <w:szCs w:val="20"/>
          <w:color w:val="auto"/>
        </w:rPr>
      </w:pPr>
      <w:r>
        <w:rPr>
          <w:rFonts w:ascii="Arial" w:cs="Arial" w:eastAsia="Arial" w:hAnsi="Arial"/>
          <w:sz w:val="16"/>
          <w:szCs w:val="16"/>
          <w:color w:val="auto"/>
        </w:rPr>
        <w:t>If an incumbent director receives a greater number of votes “against” the director’s election than votes “for” such election, the director must offer to submit his or her resignation and the Board will decide whether to accept the offer to resign in accordance with the process described in “Board Practices, Policies and Processes - Majority voting standard for election of directors” above.</w:t>
      </w:r>
    </w:p>
    <w:p>
      <w:pPr>
        <w:spacing w:after="0" w:line="124" w:lineRule="exact"/>
        <w:rPr>
          <w:sz w:val="20"/>
          <w:szCs w:val="20"/>
          <w:color w:val="auto"/>
        </w:rPr>
      </w:pPr>
    </w:p>
    <w:p>
      <w:pPr>
        <w:ind w:left="300" w:right="559"/>
        <w:spacing w:after="0" w:line="256" w:lineRule="auto"/>
        <w:rPr>
          <w:sz w:val="20"/>
          <w:szCs w:val="20"/>
          <w:color w:val="auto"/>
        </w:rPr>
      </w:pPr>
      <w:r>
        <w:rPr>
          <w:rFonts w:ascii="Arial" w:cs="Arial" w:eastAsia="Arial" w:hAnsi="Arial"/>
          <w:sz w:val="16"/>
          <w:szCs w:val="16"/>
          <w:b w:val="1"/>
          <w:bCs w:val="1"/>
          <w:color w:val="auto"/>
        </w:rPr>
        <w:t>Proposal 2 (Ratification of Selection of Independent Registered Public Accounting Firm) and Proposal 3 (Advisory Vote To Approve Named Executive Officer Compensation)</w:t>
      </w:r>
      <w:r>
        <w:rPr>
          <w:rFonts w:ascii="Arial" w:cs="Arial" w:eastAsia="Arial" w:hAnsi="Arial"/>
          <w:sz w:val="16"/>
          <w:szCs w:val="16"/>
          <w:color w:val="auto"/>
        </w:rPr>
        <w:t>. Approval of each of Proposal 2 and</w:t>
      </w:r>
      <w:r>
        <w:rPr>
          <w:rFonts w:ascii="Arial" w:cs="Arial" w:eastAsia="Arial" w:hAnsi="Arial"/>
          <w:sz w:val="16"/>
          <w:szCs w:val="16"/>
          <w:b w:val="1"/>
          <w:bCs w:val="1"/>
          <w:color w:val="auto"/>
        </w:rPr>
        <w:t xml:space="preserve"> </w:t>
      </w:r>
      <w:r>
        <w:rPr>
          <w:rFonts w:ascii="Arial" w:cs="Arial" w:eastAsia="Arial" w:hAnsi="Arial"/>
          <w:sz w:val="16"/>
          <w:szCs w:val="16"/>
          <w:color w:val="auto"/>
        </w:rPr>
        <w:t>Proposal 3 requires the affirmative vote of a majority of the shares of Embecta common stock present in person or represented by proxy at the 2025 Annual Meeting and entitled to vote thereon. Shares voting “abstain” on any of these proposals will be counted as present for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123825</wp:posOffset>
            </wp:positionV>
            <wp:extent cx="699516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2" w:name="page83"/>
    <w:bookmarkEnd w:id="8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6"/>
          <w:szCs w:val="16"/>
          <w:color w:val="342C82"/>
        </w:rPr>
        <w:t>General information</w:t>
      </w:r>
    </w:p>
    <w:p>
      <w:pPr>
        <w:spacing w:after="0" w:line="113" w:lineRule="exact"/>
        <w:rPr>
          <w:sz w:val="20"/>
          <w:szCs w:val="20"/>
          <w:color w:val="auto"/>
        </w:rPr>
      </w:pPr>
    </w:p>
    <w:p>
      <w:pPr>
        <w:ind w:left="300" w:right="319"/>
        <w:spacing w:after="0" w:line="266" w:lineRule="auto"/>
        <w:rPr>
          <w:sz w:val="20"/>
          <w:szCs w:val="20"/>
          <w:color w:val="auto"/>
        </w:rPr>
      </w:pPr>
      <w:r>
        <w:rPr>
          <w:rFonts w:ascii="Arial" w:cs="Arial" w:eastAsia="Arial" w:hAnsi="Arial"/>
          <w:sz w:val="16"/>
          <w:szCs w:val="16"/>
          <w:color w:val="auto"/>
        </w:rPr>
        <w:t>purposes of that proposal and will have the effect of a vote against the proposal. For Proposal 3, which is a non-routine matter, broker non-votes will not be counted as entitled to vote thereon and, accordingly, will have no effect on the outcome of the vote on this proposal.</w:t>
      </w:r>
    </w:p>
    <w:p>
      <w:pPr>
        <w:spacing w:after="0" w:line="117" w:lineRule="exact"/>
        <w:rPr>
          <w:sz w:val="20"/>
          <w:szCs w:val="20"/>
          <w:color w:val="auto"/>
        </w:rPr>
      </w:pPr>
    </w:p>
    <w:p>
      <w:pPr>
        <w:ind w:left="300" w:right="579"/>
        <w:spacing w:after="0" w:line="286" w:lineRule="auto"/>
        <w:rPr>
          <w:sz w:val="20"/>
          <w:szCs w:val="20"/>
          <w:color w:val="auto"/>
        </w:rPr>
      </w:pPr>
      <w:r>
        <w:rPr>
          <w:rFonts w:ascii="Arial" w:cs="Arial" w:eastAsia="Arial" w:hAnsi="Arial"/>
          <w:sz w:val="16"/>
          <w:szCs w:val="16"/>
          <w:color w:val="auto"/>
        </w:rPr>
        <w:t>The result of the vote on Proposal 3 is not binding on the Board. In evaluating the stockholder vote on an advisory proposal, the Board will consider the voting results in their entirety.</w:t>
      </w:r>
    </w:p>
    <w:p>
      <w:pPr>
        <w:spacing w:after="0" w:line="273" w:lineRule="exact"/>
        <w:rPr>
          <w:sz w:val="20"/>
          <w:szCs w:val="20"/>
          <w:color w:val="auto"/>
        </w:rPr>
      </w:pPr>
    </w:p>
    <w:p>
      <w:pPr>
        <w:ind w:left="300"/>
        <w:spacing w:after="0"/>
        <w:rPr>
          <w:sz w:val="20"/>
          <w:szCs w:val="20"/>
          <w:color w:val="auto"/>
        </w:rPr>
      </w:pPr>
      <w:r>
        <w:rPr>
          <w:rFonts w:ascii="Arial" w:cs="Arial" w:eastAsia="Arial" w:hAnsi="Arial"/>
          <w:sz w:val="29"/>
          <w:szCs w:val="29"/>
          <w:color w:val="342C82"/>
        </w:rPr>
        <w:t>Revocation of proxies or change of instructions</w:t>
      </w:r>
    </w:p>
    <w:p>
      <w:pPr>
        <w:spacing w:after="0" w:line="157"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 proxy given by a stockholder of record may be revoked or changed by:</w:t>
      </w:r>
    </w:p>
    <w:p>
      <w:pPr>
        <w:spacing w:after="0" w:line="167" w:lineRule="exact"/>
        <w:rPr>
          <w:sz w:val="20"/>
          <w:szCs w:val="20"/>
          <w:color w:val="auto"/>
        </w:rPr>
      </w:pPr>
    </w:p>
    <w:p>
      <w:pPr>
        <w:ind w:left="500" w:right="479" w:hanging="208"/>
        <w:spacing w:after="0" w:line="266" w:lineRule="auto"/>
        <w:tabs>
          <w:tab w:leader="none" w:pos="500" w:val="left"/>
        </w:tabs>
        <w:numPr>
          <w:ilvl w:val="0"/>
          <w:numId w:val="59"/>
        </w:numPr>
        <w:rPr>
          <w:rFonts w:ascii="Arial" w:cs="Arial" w:eastAsia="Arial" w:hAnsi="Arial"/>
          <w:sz w:val="16"/>
          <w:szCs w:val="16"/>
          <w:color w:val="342C82"/>
        </w:rPr>
      </w:pPr>
      <w:r>
        <w:rPr>
          <w:rFonts w:ascii="Arial" w:cs="Arial" w:eastAsia="Arial" w:hAnsi="Arial"/>
          <w:sz w:val="16"/>
          <w:szCs w:val="16"/>
          <w:color w:val="auto"/>
        </w:rPr>
        <w:t>sending written notice of revocation to the Corporate Secretary of Embecta at 300 Kimball Drive, Ste 300, Parsippany, New Jersey 07054 so that it is received no later than February 11, 2025, or delivering such notice at the meeting, prior to the voting of the proxy,</w:t>
      </w:r>
    </w:p>
    <w:p>
      <w:pPr>
        <w:spacing w:after="0" w:line="9" w:lineRule="exact"/>
        <w:rPr>
          <w:rFonts w:ascii="Arial" w:cs="Arial" w:eastAsia="Arial" w:hAnsi="Arial"/>
          <w:sz w:val="16"/>
          <w:szCs w:val="16"/>
          <w:color w:val="342C82"/>
        </w:rPr>
      </w:pPr>
    </w:p>
    <w:p>
      <w:pPr>
        <w:ind w:left="500" w:right="519" w:hanging="208"/>
        <w:spacing w:after="0" w:line="281" w:lineRule="auto"/>
        <w:tabs>
          <w:tab w:leader="none" w:pos="500" w:val="left"/>
        </w:tabs>
        <w:numPr>
          <w:ilvl w:val="0"/>
          <w:numId w:val="59"/>
        </w:numPr>
        <w:rPr>
          <w:rFonts w:ascii="Arial" w:cs="Arial" w:eastAsia="Arial" w:hAnsi="Arial"/>
          <w:sz w:val="16"/>
          <w:szCs w:val="16"/>
          <w:color w:val="342C82"/>
        </w:rPr>
      </w:pPr>
      <w:r>
        <w:rPr>
          <w:rFonts w:ascii="Arial" w:cs="Arial" w:eastAsia="Arial" w:hAnsi="Arial"/>
          <w:sz w:val="16"/>
          <w:szCs w:val="16"/>
          <w:color w:val="auto"/>
        </w:rPr>
        <w:t>delivering a proxy (by one of the methods described above under the heading “How to vote at the meeting or by proxy”) bearing a later date, or</w:t>
      </w:r>
    </w:p>
    <w:p>
      <w:pPr>
        <w:spacing w:after="0" w:line="1" w:lineRule="exact"/>
        <w:rPr>
          <w:rFonts w:ascii="Arial" w:cs="Arial" w:eastAsia="Arial" w:hAnsi="Arial"/>
          <w:sz w:val="16"/>
          <w:szCs w:val="16"/>
          <w:color w:val="342C82"/>
        </w:rPr>
      </w:pPr>
    </w:p>
    <w:p>
      <w:pPr>
        <w:ind w:left="500" w:hanging="208"/>
        <w:spacing w:after="0"/>
        <w:tabs>
          <w:tab w:leader="none" w:pos="500" w:val="left"/>
        </w:tabs>
        <w:numPr>
          <w:ilvl w:val="0"/>
          <w:numId w:val="59"/>
        </w:numPr>
        <w:rPr>
          <w:rFonts w:ascii="Arial" w:cs="Arial" w:eastAsia="Arial" w:hAnsi="Arial"/>
          <w:sz w:val="16"/>
          <w:szCs w:val="16"/>
          <w:color w:val="342C82"/>
        </w:rPr>
      </w:pPr>
      <w:r>
        <w:rPr>
          <w:rFonts w:ascii="Arial" w:cs="Arial" w:eastAsia="Arial" w:hAnsi="Arial"/>
          <w:sz w:val="16"/>
          <w:szCs w:val="16"/>
          <w:color w:val="auto"/>
        </w:rPr>
        <w:t>voting in person by written ballot at the meeting.</w:t>
      </w:r>
    </w:p>
    <w:p>
      <w:pPr>
        <w:spacing w:after="0" w:line="167" w:lineRule="exact"/>
        <w:rPr>
          <w:sz w:val="20"/>
          <w:szCs w:val="20"/>
          <w:color w:val="auto"/>
        </w:rPr>
      </w:pPr>
    </w:p>
    <w:p>
      <w:pPr>
        <w:ind w:left="300" w:right="719"/>
        <w:spacing w:after="0" w:line="286" w:lineRule="auto"/>
        <w:rPr>
          <w:sz w:val="20"/>
          <w:szCs w:val="20"/>
          <w:color w:val="auto"/>
        </w:rPr>
      </w:pPr>
      <w:r>
        <w:rPr>
          <w:rFonts w:ascii="Arial" w:cs="Arial" w:eastAsia="Arial" w:hAnsi="Arial"/>
          <w:sz w:val="16"/>
          <w:szCs w:val="16"/>
          <w:color w:val="auto"/>
        </w:rPr>
        <w:t>Participants in the plans described above may change their voting instructions by timely delivering new voting instructions by one of the methods described above under the heading “How to vote at the meeting or by proxy.”</w:t>
      </w:r>
    </w:p>
    <w:p>
      <w:pPr>
        <w:spacing w:after="0" w:line="102" w:lineRule="exact"/>
        <w:rPr>
          <w:sz w:val="20"/>
          <w:szCs w:val="20"/>
          <w:color w:val="auto"/>
        </w:rPr>
      </w:pPr>
    </w:p>
    <w:p>
      <w:pPr>
        <w:ind w:left="300" w:right="379"/>
        <w:spacing w:after="0" w:line="266" w:lineRule="auto"/>
        <w:rPr>
          <w:sz w:val="20"/>
          <w:szCs w:val="20"/>
          <w:color w:val="auto"/>
        </w:rPr>
      </w:pPr>
      <w:r>
        <w:rPr>
          <w:rFonts w:ascii="Arial" w:cs="Arial" w:eastAsia="Arial" w:hAnsi="Arial"/>
          <w:sz w:val="16"/>
          <w:szCs w:val="16"/>
          <w:color w:val="auto"/>
        </w:rPr>
        <w:t>If you are the beneficial owner of shares held in street name, you may revoke or change your voting instructions in the manner provided by your bank, broker or other nominee, or you may vote in person at the meeting in the manner described above under the heading “How to vote at the meeting or by proxy.”</w:t>
      </w:r>
    </w:p>
    <w:p>
      <w:pPr>
        <w:spacing w:after="0" w:line="234" w:lineRule="exact"/>
        <w:rPr>
          <w:sz w:val="20"/>
          <w:szCs w:val="20"/>
          <w:color w:val="auto"/>
        </w:rPr>
      </w:pPr>
    </w:p>
    <w:p>
      <w:pPr>
        <w:ind w:left="300" w:right="779"/>
        <w:spacing w:after="0" w:line="276" w:lineRule="auto"/>
        <w:rPr>
          <w:sz w:val="20"/>
          <w:szCs w:val="20"/>
          <w:color w:val="auto"/>
        </w:rPr>
      </w:pPr>
      <w:r>
        <w:rPr>
          <w:rFonts w:ascii="Arial" w:cs="Arial" w:eastAsia="Arial" w:hAnsi="Arial"/>
          <w:sz w:val="29"/>
          <w:szCs w:val="29"/>
          <w:color w:val="342C82"/>
        </w:rPr>
        <w:t>Stockholder proposals or director nominations for 2026 annual stockholder meeting</w:t>
      </w:r>
    </w:p>
    <w:p>
      <w:pPr>
        <w:spacing w:after="0" w:line="34" w:lineRule="exact"/>
        <w:rPr>
          <w:sz w:val="20"/>
          <w:szCs w:val="20"/>
          <w:color w:val="auto"/>
        </w:rPr>
      </w:pPr>
    </w:p>
    <w:p>
      <w:pPr>
        <w:jc w:val="both"/>
        <w:ind w:left="300" w:right="679"/>
        <w:spacing w:after="0" w:line="266" w:lineRule="auto"/>
        <w:rPr>
          <w:sz w:val="20"/>
          <w:szCs w:val="20"/>
          <w:color w:val="auto"/>
        </w:rPr>
      </w:pPr>
      <w:r>
        <w:rPr>
          <w:rFonts w:ascii="Arial" w:cs="Arial" w:eastAsia="Arial" w:hAnsi="Arial"/>
          <w:sz w:val="16"/>
          <w:szCs w:val="16"/>
          <w:color w:val="auto"/>
        </w:rPr>
        <w:t>Any proposal that a stockholder wishes to submit for inclusion in Embecta’s proxy materials for Embecta’s 2026 annual stockholder meeting pursuant to SEC Rule 14a-8 must be received by Embecta not later than August 21, 2025.</w:t>
      </w:r>
    </w:p>
    <w:p>
      <w:pPr>
        <w:spacing w:after="0" w:line="117" w:lineRule="exact"/>
        <w:rPr>
          <w:sz w:val="20"/>
          <w:szCs w:val="20"/>
          <w:color w:val="auto"/>
        </w:rPr>
      </w:pPr>
    </w:p>
    <w:p>
      <w:pPr>
        <w:ind w:left="300" w:right="399"/>
        <w:spacing w:after="0" w:line="266" w:lineRule="auto"/>
        <w:rPr>
          <w:sz w:val="20"/>
          <w:szCs w:val="20"/>
          <w:color w:val="auto"/>
        </w:rPr>
      </w:pPr>
      <w:r>
        <w:rPr>
          <w:rFonts w:ascii="Arial" w:cs="Arial" w:eastAsia="Arial" w:hAnsi="Arial"/>
          <w:sz w:val="16"/>
          <w:szCs w:val="16"/>
          <w:color w:val="auto"/>
        </w:rPr>
        <w:t>A stockholder’s notice of nomination of one or more director candidates to be included in Embecta’s proxy statement and proxy card pursuant to Article II, Section 8 of our By-Laws (a “proxy access director nomination”) must be received by Embecta not earlier than July 22, 2025 and not later than August 21, 2025.</w:t>
      </w:r>
    </w:p>
    <w:p>
      <w:pPr>
        <w:spacing w:after="0" w:line="117" w:lineRule="exact"/>
        <w:rPr>
          <w:sz w:val="20"/>
          <w:szCs w:val="20"/>
          <w:color w:val="auto"/>
        </w:rPr>
      </w:pPr>
    </w:p>
    <w:p>
      <w:pPr>
        <w:ind w:left="300" w:right="419"/>
        <w:spacing w:after="0" w:line="253" w:lineRule="auto"/>
        <w:rPr>
          <w:sz w:val="20"/>
          <w:szCs w:val="20"/>
          <w:color w:val="auto"/>
        </w:rPr>
      </w:pPr>
      <w:r>
        <w:rPr>
          <w:rFonts w:ascii="Arial" w:cs="Arial" w:eastAsia="Arial" w:hAnsi="Arial"/>
          <w:sz w:val="16"/>
          <w:szCs w:val="16"/>
          <w:color w:val="auto"/>
        </w:rPr>
        <w:t>Notice of any other business or director nomination (that is, other than a matter brought pursuant to SEC Rule 14a-8 or a proxy access director nomination) that a stockholder wishes to present for consideration at the 2025 annual stockholder meeting pursuant to the advance notice requirements in Article II, Section 3 of our By-Laws must be received by Embecta not earlier than October 15, 2025 and not later than November 14, 2025. In addition to the requirements set forth in our By-Laws, stockholders who intend to solicit proxies for nominations for election to the Board other than the Company’s nominees in reliance on the universal proxy rule (Rule 14a-19 under the Exchange Act) must also comply with the additional requirements of Rule 14a-19.</w:t>
      </w:r>
    </w:p>
    <w:p>
      <w:pPr>
        <w:spacing w:after="0" w:line="127" w:lineRule="exact"/>
        <w:rPr>
          <w:sz w:val="20"/>
          <w:szCs w:val="20"/>
          <w:color w:val="auto"/>
        </w:rPr>
      </w:pPr>
    </w:p>
    <w:p>
      <w:pPr>
        <w:ind w:left="300" w:right="419"/>
        <w:spacing w:after="0" w:line="253" w:lineRule="auto"/>
        <w:rPr>
          <w:sz w:val="20"/>
          <w:szCs w:val="20"/>
          <w:color w:val="auto"/>
        </w:rPr>
      </w:pPr>
      <w:r>
        <w:rPr>
          <w:rFonts w:ascii="Arial" w:cs="Arial" w:eastAsia="Arial" w:hAnsi="Arial"/>
          <w:sz w:val="16"/>
          <w:szCs w:val="16"/>
          <w:color w:val="auto"/>
        </w:rPr>
        <w:t>Any proposal or director nomination submitted by a stockholder in connection with the 2025 annual stockholder meeting must satisfy the applicable information and other requirements specified in Embecta’s By-Laws, which are available on Embecta’s website at investors.embecta.com/corporate-governance/documents-charters. All proposals and nominations, and all supporting materials required by our By-Laws, must be addressed to: Corporate Secretary, Embecta Corp., 300 Kimball Drive, Ste 300, Parsippany, New Jersey 07054. Embecta will not consider any proposal or nomination that is not timely delivered or otherwise does not meet the By-Law and SEC requirements for submitting the proposal or nomination.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132080</wp:posOffset>
            </wp:positionV>
            <wp:extent cx="699516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3" w:name="page84"/>
    <w:bookmarkEnd w:id="8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jc w:val="right"/>
        <w:ind w:right="299"/>
        <w:spacing w:after="0"/>
        <w:rPr>
          <w:sz w:val="20"/>
          <w:szCs w:val="20"/>
          <w:color w:val="auto"/>
        </w:rPr>
      </w:pPr>
      <w:r>
        <w:rPr>
          <w:rFonts w:ascii="Arial" w:cs="Arial" w:eastAsia="Arial" w:hAnsi="Arial"/>
          <w:sz w:val="16"/>
          <w:szCs w:val="16"/>
          <w:color w:val="342C82"/>
        </w:rPr>
        <w:t>General information</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29"/>
          <w:szCs w:val="29"/>
          <w:color w:val="342C82"/>
        </w:rPr>
        <w:t>Householding</w:t>
      </w:r>
    </w:p>
    <w:p>
      <w:pPr>
        <w:spacing w:after="0" w:line="130" w:lineRule="exact"/>
        <w:rPr>
          <w:sz w:val="20"/>
          <w:szCs w:val="20"/>
          <w:color w:val="auto"/>
        </w:rPr>
      </w:pPr>
    </w:p>
    <w:p>
      <w:pPr>
        <w:ind w:left="300" w:right="319"/>
        <w:spacing w:after="0" w:line="249" w:lineRule="auto"/>
        <w:rPr>
          <w:sz w:val="20"/>
          <w:szCs w:val="20"/>
          <w:color w:val="auto"/>
        </w:rPr>
      </w:pPr>
      <w:r>
        <w:rPr>
          <w:rFonts w:ascii="Arial" w:cs="Arial" w:eastAsia="Arial" w:hAnsi="Arial"/>
          <w:sz w:val="16"/>
          <w:szCs w:val="16"/>
          <w:color w:val="auto"/>
        </w:rPr>
        <w:t>SEC rules permit companies and intermediaries such as brokers to satisfy delivery requirements for proxy statements and notices with respect to two or more stockholders sharing the same address by delivering a single proxy statement or a single notice addressed to those stockholders. This process, which is commonly referred to as “householding,” provides cost savings for companies and helps the environment by conserving natural resources. Some brokers household proxy materials, delivering a single proxy statement or notice to multiple stockholders sharing an address unless contrary instructions have been received from the affected stockholders. Once you have received notice from your broker that they will be householding materials to your address, householding will continue until you are notified otherwise or until you revoke your consent. If, at any time, you no longer wish to participate in householding and would prefer to receive a separate proxy statement or notice, or if your household is receiving multiple copies of these documents and you wish to request that future deliveries be limited to a single copy, please notify your broker. You can also request prompt delivery of a paper or electronic copy of this proxy statement and the Company’s 2024 Annual Report of Stockholders by visiting www.ProxyVote.com, by calling 1-800-579-1639, or by sending an email to sendmaterial@proxyvote.com prior to January 29, 2025.</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29"/>
          <w:szCs w:val="29"/>
          <w:color w:val="342C82"/>
        </w:rPr>
        <w:t>Other matters</w:t>
      </w:r>
    </w:p>
    <w:p>
      <w:pPr>
        <w:spacing w:after="0" w:line="130" w:lineRule="exact"/>
        <w:rPr>
          <w:sz w:val="20"/>
          <w:szCs w:val="20"/>
          <w:color w:val="auto"/>
        </w:rPr>
      </w:pPr>
    </w:p>
    <w:p>
      <w:pPr>
        <w:ind w:left="300" w:right="499"/>
        <w:spacing w:after="0" w:line="259" w:lineRule="auto"/>
        <w:rPr>
          <w:sz w:val="20"/>
          <w:szCs w:val="20"/>
          <w:color w:val="auto"/>
        </w:rPr>
      </w:pPr>
      <w:r>
        <w:rPr>
          <w:rFonts w:ascii="Arial" w:cs="Arial" w:eastAsia="Arial" w:hAnsi="Arial"/>
          <w:sz w:val="16"/>
          <w:szCs w:val="16"/>
          <w:color w:val="auto"/>
        </w:rPr>
        <w:t>The Board is not aware of any matters to be presented at the 2025 Annual Meeting other than those set forth in the accompanying notice. If any other matters properly come before the meeting (or any adjournment or postponement thereof), the persons named in the proxy card will vote on such matters in their discretion in accordance with their best judgment.</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29"/>
          <w:szCs w:val="29"/>
          <w:color w:val="342C82"/>
        </w:rPr>
        <w:t>Note about the Embecta website</w:t>
      </w:r>
    </w:p>
    <w:p>
      <w:pPr>
        <w:spacing w:after="0" w:line="130" w:lineRule="exact"/>
        <w:rPr>
          <w:sz w:val="20"/>
          <w:szCs w:val="20"/>
          <w:color w:val="auto"/>
        </w:rPr>
      </w:pPr>
    </w:p>
    <w:p>
      <w:pPr>
        <w:ind w:left="300" w:right="419"/>
        <w:spacing w:after="0" w:line="266" w:lineRule="auto"/>
        <w:rPr>
          <w:sz w:val="20"/>
          <w:szCs w:val="20"/>
          <w:color w:val="auto"/>
        </w:rPr>
      </w:pPr>
      <w:r>
        <w:rPr>
          <w:rFonts w:ascii="Arial" w:cs="Arial" w:eastAsia="Arial" w:hAnsi="Arial"/>
          <w:sz w:val="16"/>
          <w:szCs w:val="16"/>
          <w:color w:val="auto"/>
        </w:rPr>
        <w:t>Web links to the Embecta website throughout this document are provided for convenience only. Please note that information on or accessible through the Embecta website is not part of, or incorporated by reference into, this proxy statement.</w:t>
      </w:r>
    </w:p>
    <w:p>
      <w:pPr>
        <w:spacing w:after="0" w:line="275" w:lineRule="exact"/>
        <w:rPr>
          <w:sz w:val="20"/>
          <w:szCs w:val="20"/>
          <w:color w:val="auto"/>
        </w:rPr>
      </w:pPr>
    </w:p>
    <w:p>
      <w:pPr>
        <w:ind w:left="300"/>
        <w:spacing w:after="0"/>
        <w:rPr>
          <w:sz w:val="20"/>
          <w:szCs w:val="20"/>
          <w:color w:val="auto"/>
        </w:rPr>
      </w:pPr>
      <w:r>
        <w:rPr>
          <w:rFonts w:ascii="Arial" w:cs="Arial" w:eastAsia="Arial" w:hAnsi="Arial"/>
          <w:sz w:val="29"/>
          <w:szCs w:val="29"/>
          <w:color w:val="342C82"/>
        </w:rPr>
        <w:t>Cautionary note on forward-looking statements</w:t>
      </w:r>
    </w:p>
    <w:p>
      <w:pPr>
        <w:spacing w:after="0" w:line="130" w:lineRule="exact"/>
        <w:rPr>
          <w:sz w:val="20"/>
          <w:szCs w:val="20"/>
          <w:color w:val="auto"/>
        </w:rPr>
      </w:pPr>
    </w:p>
    <w:p>
      <w:pPr>
        <w:ind w:left="300" w:right="339"/>
        <w:spacing w:after="0" w:line="250" w:lineRule="auto"/>
        <w:rPr>
          <w:sz w:val="20"/>
          <w:szCs w:val="20"/>
          <w:color w:val="auto"/>
        </w:rPr>
      </w:pPr>
      <w:r>
        <w:rPr>
          <w:rFonts w:ascii="Arial" w:cs="Arial" w:eastAsia="Arial" w:hAnsi="Arial"/>
          <w:sz w:val="16"/>
          <w:szCs w:val="16"/>
          <w:color w:val="auto"/>
        </w:rPr>
        <w:t>Statements in this proxy statement relating to Embecta’s expectations, assumptions or projections about the future, such as statements regarding our growth focuses, brand transition plan and net leverage and debt reduction, are forward-looking statements under the Private Securities Litigation Reform Act of 1995 and other securities laws. Forward-looking statements are based upon our present intent, beliefs or expectations, are not guarantees of future performance and are subject to numerous risks, uncertainties, and changes in circumstances that are difficult to predict. Potential risks and uncertainties and factors that could affect our current expectations include, but are not limited to, those that can be found in our filings with the SEC, including our most recent Annual Report on Form 10-K. Any forward-looking statement speaks only as of the date on which it is made, and Embecta expressly disclaims and assumes no obligation to update or revise such statement, whether as a result of new information, future events or otherwise, except as required by applicable law. Therefore, you are cautioned not to place undue reliance on these forward-looking statements.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123825</wp:posOffset>
            </wp:positionV>
            <wp:extent cx="699516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4" w:name="page85"/>
    <w:bookmarkEnd w:id="8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6" w:lineRule="exact"/>
        <w:rPr>
          <w:sz w:val="20"/>
          <w:szCs w:val="20"/>
          <w:color w:val="auto"/>
        </w:rPr>
      </w:pPr>
    </w:p>
    <w:p>
      <w:pPr>
        <w:ind w:left="300" w:right="2939"/>
        <w:spacing w:after="0" w:line="279" w:lineRule="auto"/>
        <w:rPr>
          <w:sz w:val="20"/>
          <w:szCs w:val="20"/>
          <w:color w:val="auto"/>
        </w:rPr>
      </w:pPr>
      <w:r>
        <w:rPr>
          <w:rFonts w:ascii="Arial" w:cs="Arial" w:eastAsia="Arial" w:hAnsi="Arial"/>
          <w:sz w:val="43"/>
          <w:szCs w:val="43"/>
          <w:color w:val="342C82"/>
        </w:rPr>
        <w:t>Appendix A: Reconciliation of non-GAAP financial measures</w:t>
      </w:r>
    </w:p>
    <w:p>
      <w:pPr>
        <w:spacing w:after="0" w:line="12" w:lineRule="exact"/>
        <w:rPr>
          <w:sz w:val="20"/>
          <w:szCs w:val="20"/>
          <w:color w:val="auto"/>
        </w:rPr>
      </w:pPr>
    </w:p>
    <w:p>
      <w:pPr>
        <w:ind w:left="300" w:right="359"/>
        <w:spacing w:after="0" w:line="254" w:lineRule="auto"/>
        <w:rPr>
          <w:sz w:val="20"/>
          <w:szCs w:val="20"/>
          <w:color w:val="auto"/>
        </w:rPr>
      </w:pPr>
      <w:r>
        <w:rPr>
          <w:rFonts w:ascii="Arial" w:cs="Arial" w:eastAsia="Arial" w:hAnsi="Arial"/>
          <w:sz w:val="16"/>
          <w:szCs w:val="16"/>
          <w:color w:val="auto"/>
        </w:rPr>
        <w:t>Presented below are reconciliations of non-GAAP financial measures discussed in this proxy statement to the comparable GAAP financial measures. The presentation of these measures has limitations as an analytical tool and should not be considered in isolation, or as a substitute for the Company’s results as reported under GAAP. Because not all companies use identical calculations, the presentations of these non-GAAP measures may not be comparable to other similarly titled measures of other companies. All figures below are rounded, and totals may not add due to rounding.</w:t>
      </w:r>
    </w:p>
    <w:p>
      <w:pPr>
        <w:spacing w:after="0" w:line="128"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Reconciliation of Revenues to Adjusted Constant Currency Revenue (2024 bonus determinations)</w:t>
      </w:r>
    </w:p>
    <w:p>
      <w:pPr>
        <w:spacing w:after="0" w:line="167" w:lineRule="exact"/>
        <w:rPr>
          <w:sz w:val="20"/>
          <w:szCs w:val="20"/>
          <w:color w:val="auto"/>
        </w:rPr>
      </w:pPr>
    </w:p>
    <w:p>
      <w:pPr>
        <w:ind w:left="300" w:right="479"/>
        <w:spacing w:after="0" w:line="256" w:lineRule="auto"/>
        <w:rPr>
          <w:sz w:val="20"/>
          <w:szCs w:val="20"/>
          <w:color w:val="auto"/>
        </w:rPr>
      </w:pPr>
      <w:r>
        <w:rPr>
          <w:rFonts w:ascii="Arial" w:cs="Arial" w:eastAsia="Arial" w:hAnsi="Arial"/>
          <w:sz w:val="16"/>
          <w:szCs w:val="16"/>
          <w:color w:val="auto"/>
        </w:rPr>
        <w:t>The Company uses Adjusted Constant Currency Revenue in its decision making related to incentive compensation, including for purposes of its bonus determinations, and believes that it is useful to exclude (i) the Italian payback measure and (ii) the impact of fluctuations in foreign exchange rates from the setting of the Bonus Plan targets to actual foreign exchange rates during the 12 months ended September 30, 2024 in order to evaluate the underlying operating performance of the business.</w:t>
      </w:r>
    </w:p>
    <w:p>
      <w:pPr>
        <w:spacing w:after="0" w:line="315"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U.S. dollars in millions</w:t>
      </w:r>
    </w:p>
    <w:p>
      <w:pPr>
        <w:spacing w:after="0" w:line="100" w:lineRule="exact"/>
        <w:rPr>
          <w:sz w:val="20"/>
          <w:szCs w:val="20"/>
          <w:color w:val="auto"/>
        </w:rPr>
      </w:pPr>
    </w:p>
    <w:p>
      <w:pPr>
        <w:ind w:left="7260"/>
        <w:spacing w:after="0"/>
        <w:rPr>
          <w:sz w:val="20"/>
          <w:szCs w:val="20"/>
          <w:color w:val="auto"/>
        </w:rPr>
      </w:pPr>
      <w:r>
        <w:rPr>
          <w:rFonts w:ascii="Arial" w:cs="Arial" w:eastAsia="Arial" w:hAnsi="Arial"/>
          <w:sz w:val="16"/>
          <w:szCs w:val="16"/>
          <w:b w:val="1"/>
          <w:bCs w:val="1"/>
          <w:color w:val="auto"/>
        </w:rPr>
        <w:t>12 Months Ended</w:t>
      </w:r>
    </w:p>
    <w:p>
      <w:pPr>
        <w:spacing w:after="0" w:line="21" w:lineRule="exact"/>
        <w:rPr>
          <w:sz w:val="20"/>
          <w:szCs w:val="20"/>
          <w:color w:val="auto"/>
        </w:rPr>
      </w:pPr>
    </w:p>
    <w:p>
      <w:pPr>
        <w:ind w:left="7140"/>
        <w:spacing w:after="0"/>
        <w:rPr>
          <w:sz w:val="20"/>
          <w:szCs w:val="20"/>
          <w:color w:val="auto"/>
        </w:rPr>
      </w:pPr>
      <w:r>
        <w:rPr>
          <w:rFonts w:ascii="Arial" w:cs="Arial" w:eastAsia="Arial" w:hAnsi="Arial"/>
          <w:sz w:val="16"/>
          <w:szCs w:val="16"/>
          <w:b w:val="1"/>
          <w:bCs w:val="1"/>
          <w:color w:val="auto"/>
        </w:rPr>
        <w:t>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27940</wp:posOffset>
            </wp:positionV>
            <wp:extent cx="534924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50" w:lineRule="exact"/>
        <w:rPr>
          <w:sz w:val="20"/>
          <w:szCs w:val="20"/>
          <w:color w:val="auto"/>
        </w:rPr>
      </w:pPr>
    </w:p>
    <w:tbl>
      <w:tblPr>
        <w:tblLayout w:type="fixed"/>
        <w:tblInd w:w="300" w:type="dxa"/>
        <w:tblCellMar>
          <w:top w:w="0" w:type="dxa"/>
          <w:left w:w="0" w:type="dxa"/>
          <w:bottom w:w="0" w:type="dxa"/>
          <w:right w:w="0" w:type="dxa"/>
        </w:tblCellMar>
      </w:tblPr>
      <w:tr>
        <w:trPr>
          <w:trHeight w:val="223"/>
        </w:trPr>
        <w:tc>
          <w:tcPr>
            <w:tcW w:w="6400" w:type="dxa"/>
            <w:vAlign w:val="bottom"/>
          </w:tcPr>
          <w:p>
            <w:pPr>
              <w:ind w:left="80"/>
              <w:spacing w:after="0"/>
              <w:rPr>
                <w:sz w:val="20"/>
                <w:szCs w:val="20"/>
                <w:color w:val="auto"/>
              </w:rPr>
            </w:pPr>
            <w:r>
              <w:rPr>
                <w:rFonts w:ascii="Arial" w:cs="Arial" w:eastAsia="Arial" w:hAnsi="Arial"/>
                <w:sz w:val="16"/>
                <w:szCs w:val="16"/>
                <w:b w:val="1"/>
                <w:bCs w:val="1"/>
                <w:color w:val="auto"/>
              </w:rPr>
              <w:t>Revenues</w:t>
            </w:r>
          </w:p>
        </w:tc>
        <w:tc>
          <w:tcPr>
            <w:tcW w:w="2020" w:type="dxa"/>
            <w:vAlign w:val="bottom"/>
            <w:gridSpan w:val="2"/>
          </w:tcPr>
          <w:p>
            <w:pPr>
              <w:ind w:left="1260"/>
              <w:spacing w:after="0"/>
              <w:rPr>
                <w:sz w:val="20"/>
                <w:szCs w:val="20"/>
                <w:color w:val="auto"/>
              </w:rPr>
            </w:pPr>
            <w:r>
              <w:rPr>
                <w:rFonts w:ascii="Arial" w:cs="Arial" w:eastAsia="Arial" w:hAnsi="Arial"/>
                <w:sz w:val="16"/>
                <w:szCs w:val="16"/>
                <w:color w:val="auto"/>
              </w:rPr>
              <w:t>​1,123.1</w:t>
            </w:r>
          </w:p>
        </w:tc>
      </w:tr>
      <w:tr>
        <w:trPr>
          <w:trHeight w:val="332"/>
        </w:trPr>
        <w:tc>
          <w:tcPr>
            <w:tcW w:w="6400" w:type="dxa"/>
            <w:vAlign w:val="bottom"/>
            <w:tcBorders>
              <w:bottom w:val="single" w:sz="8" w:color="808080"/>
            </w:tcBorders>
          </w:tcPr>
          <w:p>
            <w:pPr>
              <w:ind w:left="300"/>
              <w:spacing w:after="0"/>
              <w:rPr>
                <w:sz w:val="20"/>
                <w:szCs w:val="20"/>
                <w:color w:val="auto"/>
              </w:rPr>
            </w:pPr>
            <w:r>
              <w:rPr>
                <w:rFonts w:ascii="Arial" w:cs="Arial" w:eastAsia="Arial" w:hAnsi="Arial"/>
                <w:sz w:val="16"/>
                <w:szCs w:val="16"/>
                <w:color w:val="auto"/>
              </w:rPr>
              <w:t>Italian payback measure</w:t>
            </w:r>
            <w:r>
              <w:rPr>
                <w:rFonts w:ascii="Arial" w:cs="Arial" w:eastAsia="Arial" w:hAnsi="Arial"/>
                <w:sz w:val="26"/>
                <w:szCs w:val="26"/>
                <w:color w:val="auto"/>
                <w:vertAlign w:val="superscript"/>
              </w:rPr>
              <w:t>(1)</w:t>
            </w:r>
          </w:p>
        </w:tc>
        <w:tc>
          <w:tcPr>
            <w:tcW w:w="132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jc w:val="right"/>
              <w:ind w:right="39"/>
              <w:spacing w:after="0"/>
              <w:rPr>
                <w:sz w:val="20"/>
                <w:szCs w:val="20"/>
                <w:color w:val="auto"/>
              </w:rPr>
            </w:pPr>
            <w:r>
              <w:rPr>
                <w:rFonts w:ascii="Arial" w:cs="Arial" w:eastAsia="Arial" w:hAnsi="Arial"/>
                <w:sz w:val="16"/>
                <w:szCs w:val="16"/>
                <w:color w:val="auto"/>
              </w:rPr>
              <w:t>4.1</w:t>
            </w:r>
          </w:p>
        </w:tc>
      </w:tr>
      <w:tr>
        <w:trPr>
          <w:trHeight w:val="229"/>
        </w:trPr>
        <w:tc>
          <w:tcPr>
            <w:tcW w:w="6400" w:type="dxa"/>
            <w:vAlign w:val="bottom"/>
          </w:tcPr>
          <w:p>
            <w:pPr>
              <w:ind w:left="80"/>
              <w:spacing w:after="0"/>
              <w:rPr>
                <w:sz w:val="20"/>
                <w:szCs w:val="20"/>
                <w:color w:val="auto"/>
              </w:rPr>
            </w:pPr>
            <w:r>
              <w:rPr>
                <w:rFonts w:ascii="Arial" w:cs="Arial" w:eastAsia="Arial" w:hAnsi="Arial"/>
                <w:sz w:val="16"/>
                <w:szCs w:val="16"/>
                <w:b w:val="1"/>
                <w:bCs w:val="1"/>
                <w:color w:val="auto"/>
              </w:rPr>
              <w:t>Adjusted Revenues</w:t>
            </w:r>
          </w:p>
        </w:tc>
        <w:tc>
          <w:tcPr>
            <w:tcW w:w="1320" w:type="dxa"/>
            <w:vAlign w:val="bottom"/>
          </w:tcPr>
          <w:p>
            <w:pPr>
              <w:spacing w:after="0"/>
              <w:rPr>
                <w:sz w:val="19"/>
                <w:szCs w:val="19"/>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w w:val="97"/>
              </w:rPr>
              <w:t>1,127.2</w:t>
            </w:r>
          </w:p>
        </w:tc>
      </w:tr>
      <w:tr>
        <w:trPr>
          <w:trHeight w:val="21"/>
        </w:trPr>
        <w:tc>
          <w:tcPr>
            <w:tcW w:w="6400" w:type="dxa"/>
            <w:vAlign w:val="bottom"/>
            <w:tcBorders>
              <w:bottom w:val="single" w:sz="8" w:color="808080"/>
            </w:tcBorders>
          </w:tcPr>
          <w:p>
            <w:pPr>
              <w:spacing w:after="0" w:line="20" w:lineRule="exact"/>
              <w:rPr>
                <w:sz w:val="1"/>
                <w:szCs w:val="1"/>
                <w:color w:val="auto"/>
              </w:rPr>
            </w:pPr>
          </w:p>
        </w:tc>
        <w:tc>
          <w:tcPr>
            <w:tcW w:w="1320" w:type="dxa"/>
            <w:vAlign w:val="bottom"/>
            <w:tcBorders>
              <w:bottom w:val="single" w:sz="8" w:color="808080"/>
            </w:tcBorders>
          </w:tcPr>
          <w:p>
            <w:pPr>
              <w:spacing w:after="0" w:line="20" w:lineRule="exact"/>
              <w:rPr>
                <w:sz w:val="1"/>
                <w:szCs w:val="1"/>
                <w:color w:val="auto"/>
              </w:rPr>
            </w:pPr>
          </w:p>
        </w:tc>
        <w:tc>
          <w:tcPr>
            <w:tcW w:w="700" w:type="dxa"/>
            <w:vAlign w:val="bottom"/>
            <w:tcBorders>
              <w:bottom w:val="single" w:sz="8" w:color="808080"/>
            </w:tcBorders>
          </w:tcPr>
          <w:p>
            <w:pPr>
              <w:spacing w:after="0" w:line="20" w:lineRule="exact"/>
              <w:rPr>
                <w:sz w:val="1"/>
                <w:szCs w:val="1"/>
                <w:color w:val="auto"/>
              </w:rPr>
            </w:pPr>
          </w:p>
        </w:tc>
      </w:tr>
      <w:tr>
        <w:trPr>
          <w:trHeight w:val="270"/>
        </w:trPr>
        <w:tc>
          <w:tcPr>
            <w:tcW w:w="6400" w:type="dxa"/>
            <w:vAlign w:val="bottom"/>
            <w:tcBorders>
              <w:bottom w:val="single" w:sz="8" w:color="808080"/>
            </w:tcBorders>
          </w:tcPr>
          <w:p>
            <w:pPr>
              <w:ind w:left="300"/>
              <w:spacing w:after="0" w:line="263" w:lineRule="exact"/>
              <w:rPr>
                <w:sz w:val="20"/>
                <w:szCs w:val="20"/>
                <w:color w:val="auto"/>
              </w:rPr>
            </w:pPr>
            <w:r>
              <w:rPr>
                <w:rFonts w:ascii="Arial" w:cs="Arial" w:eastAsia="Arial" w:hAnsi="Arial"/>
                <w:sz w:val="16"/>
                <w:szCs w:val="16"/>
                <w:color w:val="auto"/>
              </w:rPr>
              <w:t>FX impact</w:t>
            </w:r>
            <w:r>
              <w:rPr>
                <w:rFonts w:ascii="Arial" w:cs="Arial" w:eastAsia="Arial" w:hAnsi="Arial"/>
                <w:sz w:val="26"/>
                <w:szCs w:val="26"/>
                <w:color w:val="auto"/>
                <w:vertAlign w:val="superscript"/>
              </w:rPr>
              <w:t>(2)</w:t>
            </w:r>
          </w:p>
        </w:tc>
        <w:tc>
          <w:tcPr>
            <w:tcW w:w="1320" w:type="dxa"/>
            <w:vAlign w:val="bottom"/>
            <w:tcBorders>
              <w:bottom w:val="single" w:sz="8" w:color="auto"/>
            </w:tcBorders>
          </w:tcPr>
          <w:p>
            <w:pPr>
              <w:ind w:left="126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r>
      <w:tr>
        <w:trPr>
          <w:trHeight w:val="210"/>
        </w:trPr>
        <w:tc>
          <w:tcPr>
            <w:tcW w:w="6400" w:type="dxa"/>
            <w:vAlign w:val="bottom"/>
          </w:tcPr>
          <w:p>
            <w:pPr>
              <w:ind w:left="80"/>
              <w:spacing w:after="0"/>
              <w:rPr>
                <w:sz w:val="20"/>
                <w:szCs w:val="20"/>
                <w:color w:val="auto"/>
              </w:rPr>
            </w:pPr>
            <w:r>
              <w:rPr>
                <w:rFonts w:ascii="Arial" w:cs="Arial" w:eastAsia="Arial" w:hAnsi="Arial"/>
                <w:sz w:val="16"/>
                <w:szCs w:val="16"/>
                <w:b w:val="1"/>
                <w:bCs w:val="1"/>
                <w:color w:val="auto"/>
              </w:rPr>
              <w:t>Adjusted Constant Currency Revenue (2024 bonus determinations)</w:t>
            </w:r>
          </w:p>
        </w:tc>
        <w:tc>
          <w:tcPr>
            <w:tcW w:w="2020" w:type="dxa"/>
            <w:vAlign w:val="bottom"/>
            <w:tcBorders>
              <w:bottom w:val="single" w:sz="8" w:color="342C82"/>
            </w:tcBorders>
            <w:gridSpan w:val="2"/>
            <w:shd w:val="clear" w:color="auto" w:fill="342C82"/>
          </w:tcPr>
          <w:p>
            <w:pPr>
              <w:ind w:left="1260"/>
              <w:spacing w:after="0"/>
              <w:rPr>
                <w:sz w:val="20"/>
                <w:szCs w:val="20"/>
                <w:color w:val="auto"/>
              </w:rPr>
            </w:pPr>
            <w:r>
              <w:rPr>
                <w:rFonts w:ascii="Arial" w:cs="Arial" w:eastAsia="Arial" w:hAnsi="Arial"/>
                <w:sz w:val="16"/>
                <w:szCs w:val="16"/>
                <w:b w:val="1"/>
                <w:bCs w:val="1"/>
                <w:color w:val="FFFFFF"/>
              </w:rPr>
              <w:t>1,119.6</w:t>
            </w:r>
          </w:p>
        </w:tc>
      </w:tr>
      <w:tr>
        <w:trPr>
          <w:trHeight w:val="27"/>
        </w:trPr>
        <w:tc>
          <w:tcPr>
            <w:tcW w:w="6400" w:type="dxa"/>
            <w:vAlign w:val="bottom"/>
            <w:shd w:val="clear" w:color="auto" w:fill="80808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r>
    </w:tbl>
    <w:p>
      <w:pPr>
        <w:spacing w:after="0" w:line="202"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Reconciliation of Revenues to Adjusted Constant Currency Revenue (Pay Versus Performance)</w:t>
      </w:r>
    </w:p>
    <w:p>
      <w:pPr>
        <w:spacing w:after="0" w:line="167" w:lineRule="exact"/>
        <w:rPr>
          <w:sz w:val="20"/>
          <w:szCs w:val="20"/>
          <w:color w:val="auto"/>
        </w:rPr>
      </w:pPr>
    </w:p>
    <w:p>
      <w:pPr>
        <w:ind w:left="300" w:right="399"/>
        <w:spacing w:after="0" w:line="249" w:lineRule="auto"/>
        <w:rPr>
          <w:sz w:val="20"/>
          <w:szCs w:val="20"/>
          <w:color w:val="auto"/>
        </w:rPr>
      </w:pPr>
      <w:r>
        <w:rPr>
          <w:rFonts w:ascii="Arial" w:cs="Arial" w:eastAsia="Arial" w:hAnsi="Arial"/>
          <w:sz w:val="16"/>
          <w:szCs w:val="16"/>
          <w:color w:val="auto"/>
        </w:rPr>
        <w:t>The Company has selected Adjusted Constant Currency Revenue, which is defined as revenues excluding (i) the Italian payback measure (with respect to the 12 months ended September 30, 2024), (ii) the impact of fluctuations in foreign currency exchange rates by comparing results between periods as if exchange rates had remained constant period-over-period since October 1, 2022 and (iii) revenues derived from contract manufacturing, as the most important financial performance measure (that is not otherwise required to be disclosed in the PvP Table), because the financial metrics used to link compensation paid to the Company’s NEOs to the Company’s performance for both our Bonus Plan and PSUs are revenues-adjacent measures (as explained in the “Compensation Discussion &amp; Analysis” section of this proxy statement). The Company believes it is useful to exclude the Italian payback measure and the the impact of fluctuations in foreign currency exchange rates by comparing results between periods as if exchange rates had remained constant period-over-period since October 1, 2022 in order to evaluate the underlying operating performance of the business and to exclude revenues derived from contract manufacturing to exclude the transient impact of the manufacturing and sale of non-diabetes products to BD, in order to better reflect Embecta’s core injection business and provide a more accurate year over year measure.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132080</wp:posOffset>
            </wp:positionV>
            <wp:extent cx="699516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5" w:name="page86"/>
    <w:bookmarkEnd w:id="8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6"/>
          <w:szCs w:val="16"/>
          <w:color w:val="342C82"/>
        </w:rPr>
        <w:t>Appendix A: Reconciliation of non-GAAP financial measures</w:t>
      </w:r>
    </w:p>
    <w:p>
      <w:pPr>
        <w:spacing w:after="0" w:line="216" w:lineRule="exact"/>
        <w:rPr>
          <w:sz w:val="20"/>
          <w:szCs w:val="20"/>
          <w:color w:val="auto"/>
        </w:rPr>
      </w:pPr>
    </w:p>
    <w:tbl>
      <w:tblPr>
        <w:tblLayout w:type="fixed"/>
        <w:tblInd w:w="300" w:type="dxa"/>
        <w:tblCellMar>
          <w:top w:w="0" w:type="dxa"/>
          <w:left w:w="0" w:type="dxa"/>
          <w:bottom w:w="0" w:type="dxa"/>
          <w:right w:w="0" w:type="dxa"/>
        </w:tblCellMar>
      </w:tblPr>
      <w:tr>
        <w:trPr>
          <w:trHeight w:val="210"/>
        </w:trPr>
        <w:tc>
          <w:tcPr>
            <w:tcW w:w="2720" w:type="dxa"/>
            <w:vAlign w:val="bottom"/>
          </w:tcPr>
          <w:p>
            <w:pPr>
              <w:ind w:left="80"/>
              <w:spacing w:after="0"/>
              <w:rPr>
                <w:sz w:val="20"/>
                <w:szCs w:val="20"/>
                <w:color w:val="auto"/>
              </w:rPr>
            </w:pPr>
            <w:r>
              <w:rPr>
                <w:rFonts w:ascii="Arial" w:cs="Arial" w:eastAsia="Arial" w:hAnsi="Arial"/>
                <w:sz w:val="15"/>
                <w:szCs w:val="15"/>
                <w:b w:val="1"/>
                <w:bCs w:val="1"/>
                <w:color w:val="auto"/>
              </w:rPr>
              <w:t>U.S. dollars in millions</w:t>
            </w: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Pr>
          <w:p>
            <w:pPr>
              <w:jc w:val="right"/>
              <w:ind w:right="164"/>
              <w:spacing w:after="0"/>
              <w:rPr>
                <w:sz w:val="20"/>
                <w:szCs w:val="20"/>
                <w:color w:val="auto"/>
              </w:rPr>
            </w:pPr>
            <w:r>
              <w:rPr>
                <w:rFonts w:ascii="Arial" w:cs="Arial" w:eastAsia="Arial" w:hAnsi="Arial"/>
                <w:sz w:val="15"/>
                <w:szCs w:val="15"/>
                <w:b w:val="1"/>
                <w:bCs w:val="1"/>
                <w:color w:val="auto"/>
              </w:rPr>
              <w:t>12 Months Ended</w:t>
            </w:r>
          </w:p>
        </w:tc>
        <w:tc>
          <w:tcPr>
            <w:tcW w:w="1900" w:type="dxa"/>
            <w:vAlign w:val="bottom"/>
          </w:tcPr>
          <w:p>
            <w:pPr>
              <w:jc w:val="right"/>
              <w:ind w:right="164"/>
              <w:spacing w:after="0"/>
              <w:rPr>
                <w:sz w:val="20"/>
                <w:szCs w:val="20"/>
                <w:color w:val="auto"/>
              </w:rPr>
            </w:pPr>
            <w:r>
              <w:rPr>
                <w:rFonts w:ascii="Arial" w:cs="Arial" w:eastAsia="Arial" w:hAnsi="Arial"/>
                <w:sz w:val="15"/>
                <w:szCs w:val="15"/>
                <w:b w:val="1"/>
                <w:bCs w:val="1"/>
                <w:color w:val="auto"/>
              </w:rPr>
              <w:t>12 Months Ended</w:t>
            </w:r>
          </w:p>
        </w:tc>
        <w:tc>
          <w:tcPr>
            <w:tcW w:w="1740" w:type="dxa"/>
            <w:vAlign w:val="bottom"/>
            <w:gridSpan w:val="2"/>
          </w:tcPr>
          <w:p>
            <w:pPr>
              <w:jc w:val="right"/>
              <w:ind w:right="4"/>
              <w:spacing w:after="0"/>
              <w:rPr>
                <w:sz w:val="20"/>
                <w:szCs w:val="20"/>
                <w:color w:val="auto"/>
              </w:rPr>
            </w:pPr>
            <w:r>
              <w:rPr>
                <w:rFonts w:ascii="Arial" w:cs="Arial" w:eastAsia="Arial" w:hAnsi="Arial"/>
                <w:sz w:val="15"/>
                <w:szCs w:val="15"/>
                <w:b w:val="1"/>
                <w:bCs w:val="1"/>
                <w:color w:val="auto"/>
              </w:rPr>
              <w:t>12 Months Ended</w:t>
            </w:r>
          </w:p>
        </w:tc>
        <w:tc>
          <w:tcPr>
            <w:tcW w:w="0" w:type="dxa"/>
            <w:vAlign w:val="bottom"/>
          </w:tcPr>
          <w:p>
            <w:pPr>
              <w:spacing w:after="0"/>
              <w:rPr>
                <w:sz w:val="1"/>
                <w:szCs w:val="1"/>
                <w:color w:val="auto"/>
              </w:rPr>
            </w:pPr>
          </w:p>
        </w:tc>
      </w:tr>
      <w:tr>
        <w:trPr>
          <w:trHeight w:val="216"/>
        </w:trPr>
        <w:tc>
          <w:tcPr>
            <w:tcW w:w="2720" w:type="dxa"/>
            <w:vAlign w:val="bottom"/>
            <w:tcBorders>
              <w:bottom w:val="single" w:sz="8" w:color="342C82"/>
            </w:tcBorders>
          </w:tcPr>
          <w:p>
            <w:pPr>
              <w:spacing w:after="0"/>
              <w:rPr>
                <w:sz w:val="18"/>
                <w:szCs w:val="18"/>
                <w:color w:val="auto"/>
              </w:rPr>
            </w:pPr>
          </w:p>
        </w:tc>
        <w:tc>
          <w:tcPr>
            <w:tcW w:w="80" w:type="dxa"/>
            <w:vAlign w:val="bottom"/>
            <w:tcBorders>
              <w:bottom w:val="single" w:sz="8" w:color="342C82"/>
            </w:tcBorders>
          </w:tcPr>
          <w:p>
            <w:pPr>
              <w:spacing w:after="0"/>
              <w:rPr>
                <w:sz w:val="18"/>
                <w:szCs w:val="18"/>
                <w:color w:val="auto"/>
              </w:rPr>
            </w:pPr>
          </w:p>
        </w:tc>
        <w:tc>
          <w:tcPr>
            <w:tcW w:w="1980" w:type="dxa"/>
            <w:vAlign w:val="bottom"/>
            <w:tcBorders>
              <w:bottom w:val="single" w:sz="8" w:color="342C82"/>
            </w:tcBorders>
          </w:tcPr>
          <w:p>
            <w:pPr>
              <w:jc w:val="right"/>
              <w:ind w:right="164"/>
              <w:spacing w:after="0"/>
              <w:rPr>
                <w:sz w:val="20"/>
                <w:szCs w:val="20"/>
                <w:color w:val="auto"/>
              </w:rPr>
            </w:pPr>
            <w:r>
              <w:rPr>
                <w:rFonts w:ascii="Arial" w:cs="Arial" w:eastAsia="Arial" w:hAnsi="Arial"/>
                <w:sz w:val="15"/>
                <w:szCs w:val="15"/>
                <w:b w:val="1"/>
                <w:bCs w:val="1"/>
                <w:color w:val="auto"/>
              </w:rPr>
              <w:t>September 30, 2022</w:t>
            </w:r>
          </w:p>
        </w:tc>
        <w:tc>
          <w:tcPr>
            <w:tcW w:w="1900" w:type="dxa"/>
            <w:vAlign w:val="bottom"/>
            <w:tcBorders>
              <w:bottom w:val="single" w:sz="8" w:color="342C82"/>
            </w:tcBorders>
          </w:tcPr>
          <w:p>
            <w:pPr>
              <w:jc w:val="right"/>
              <w:ind w:right="164"/>
              <w:spacing w:after="0"/>
              <w:rPr>
                <w:sz w:val="20"/>
                <w:szCs w:val="20"/>
                <w:color w:val="auto"/>
              </w:rPr>
            </w:pPr>
            <w:r>
              <w:rPr>
                <w:rFonts w:ascii="Arial" w:cs="Arial" w:eastAsia="Arial" w:hAnsi="Arial"/>
                <w:sz w:val="15"/>
                <w:szCs w:val="15"/>
                <w:b w:val="1"/>
                <w:bCs w:val="1"/>
                <w:color w:val="auto"/>
              </w:rPr>
              <w:t>September 30, 2023</w:t>
            </w:r>
          </w:p>
        </w:tc>
        <w:tc>
          <w:tcPr>
            <w:tcW w:w="1740" w:type="dxa"/>
            <w:vAlign w:val="bottom"/>
            <w:tcBorders>
              <w:bottom w:val="single" w:sz="8" w:color="342C82"/>
            </w:tcBorders>
            <w:gridSpan w:val="2"/>
          </w:tcPr>
          <w:p>
            <w:pPr>
              <w:jc w:val="right"/>
              <w:ind w:right="4"/>
              <w:spacing w:after="0"/>
              <w:rPr>
                <w:sz w:val="20"/>
                <w:szCs w:val="20"/>
                <w:color w:val="auto"/>
              </w:rPr>
            </w:pPr>
            <w:r>
              <w:rPr>
                <w:rFonts w:ascii="Arial" w:cs="Arial" w:eastAsia="Arial" w:hAnsi="Arial"/>
                <w:sz w:val="15"/>
                <w:szCs w:val="15"/>
                <w:b w:val="1"/>
                <w:bCs w:val="1"/>
                <w:color w:val="auto"/>
              </w:rPr>
              <w:t>September 30, 2024</w:t>
            </w:r>
          </w:p>
        </w:tc>
        <w:tc>
          <w:tcPr>
            <w:tcW w:w="0" w:type="dxa"/>
            <w:vAlign w:val="bottom"/>
          </w:tcPr>
          <w:p>
            <w:pPr>
              <w:spacing w:after="0"/>
              <w:rPr>
                <w:sz w:val="1"/>
                <w:szCs w:val="1"/>
                <w:color w:val="auto"/>
              </w:rPr>
            </w:pPr>
          </w:p>
        </w:tc>
      </w:tr>
      <w:tr>
        <w:trPr>
          <w:trHeight w:val="236"/>
        </w:trPr>
        <w:tc>
          <w:tcPr>
            <w:tcW w:w="2720" w:type="dxa"/>
            <w:vAlign w:val="bottom"/>
            <w:tcBorders>
              <w:bottom w:val="single" w:sz="8" w:color="808080"/>
            </w:tcBorders>
          </w:tcPr>
          <w:p>
            <w:pPr>
              <w:ind w:left="80"/>
              <w:spacing w:after="0"/>
              <w:rPr>
                <w:sz w:val="20"/>
                <w:szCs w:val="20"/>
                <w:color w:val="auto"/>
              </w:rPr>
            </w:pPr>
            <w:r>
              <w:rPr>
                <w:rFonts w:ascii="Arial" w:cs="Arial" w:eastAsia="Arial" w:hAnsi="Arial"/>
                <w:sz w:val="15"/>
                <w:szCs w:val="15"/>
                <w:b w:val="1"/>
                <w:bCs w:val="1"/>
                <w:color w:val="auto"/>
              </w:rPr>
              <w:t>Revenues</w:t>
            </w:r>
          </w:p>
        </w:tc>
        <w:tc>
          <w:tcPr>
            <w:tcW w:w="2060" w:type="dxa"/>
            <w:vAlign w:val="bottom"/>
            <w:tcBorders>
              <w:bottom w:val="single" w:sz="8" w:color="808080"/>
            </w:tcBorders>
            <w:gridSpan w:val="2"/>
          </w:tcPr>
          <w:p>
            <w:pPr>
              <w:jc w:val="right"/>
              <w:ind w:right="244"/>
              <w:spacing w:after="0"/>
              <w:rPr>
                <w:sz w:val="20"/>
                <w:szCs w:val="20"/>
                <w:color w:val="auto"/>
              </w:rPr>
            </w:pPr>
            <w:r>
              <w:rPr>
                <w:rFonts w:ascii="Arial" w:cs="Arial" w:eastAsia="Arial" w:hAnsi="Arial"/>
                <w:sz w:val="15"/>
                <w:szCs w:val="15"/>
                <w:color w:val="auto"/>
              </w:rPr>
              <w:t>1,129.5</w:t>
            </w:r>
          </w:p>
        </w:tc>
        <w:tc>
          <w:tcPr>
            <w:tcW w:w="1900" w:type="dxa"/>
            <w:vAlign w:val="bottom"/>
            <w:tcBorders>
              <w:bottom w:val="single" w:sz="8" w:color="808080"/>
            </w:tcBorders>
          </w:tcPr>
          <w:p>
            <w:pPr>
              <w:jc w:val="right"/>
              <w:ind w:right="244"/>
              <w:spacing w:after="0"/>
              <w:rPr>
                <w:sz w:val="20"/>
                <w:szCs w:val="20"/>
                <w:color w:val="auto"/>
              </w:rPr>
            </w:pPr>
            <w:r>
              <w:rPr>
                <w:rFonts w:ascii="Arial" w:cs="Arial" w:eastAsia="Arial" w:hAnsi="Arial"/>
                <w:sz w:val="15"/>
                <w:szCs w:val="15"/>
                <w:color w:val="auto"/>
              </w:rPr>
              <w:t>1,120.8</w:t>
            </w:r>
          </w:p>
        </w:tc>
        <w:tc>
          <w:tcPr>
            <w:tcW w:w="1740" w:type="dxa"/>
            <w:vAlign w:val="bottom"/>
            <w:tcBorders>
              <w:bottom w:val="single" w:sz="8" w:color="808080"/>
            </w:tcBorders>
            <w:gridSpan w:val="2"/>
          </w:tcPr>
          <w:p>
            <w:pPr>
              <w:ind w:left="1020"/>
              <w:spacing w:after="0"/>
              <w:rPr>
                <w:sz w:val="20"/>
                <w:szCs w:val="20"/>
                <w:color w:val="auto"/>
              </w:rPr>
            </w:pPr>
            <w:r>
              <w:rPr>
                <w:rFonts w:ascii="Arial" w:cs="Arial" w:eastAsia="Arial" w:hAnsi="Arial"/>
                <w:sz w:val="15"/>
                <w:szCs w:val="15"/>
                <w:color w:val="auto"/>
              </w:rPr>
              <w:t>​1,123.1</w:t>
            </w:r>
          </w:p>
        </w:tc>
        <w:tc>
          <w:tcPr>
            <w:tcW w:w="0" w:type="dxa"/>
            <w:vAlign w:val="bottom"/>
          </w:tcPr>
          <w:p>
            <w:pPr>
              <w:spacing w:after="0"/>
              <w:rPr>
                <w:sz w:val="1"/>
                <w:szCs w:val="1"/>
                <w:color w:val="auto"/>
              </w:rPr>
            </w:pPr>
          </w:p>
        </w:tc>
      </w:tr>
      <w:tr>
        <w:trPr>
          <w:trHeight w:val="269"/>
        </w:trPr>
        <w:tc>
          <w:tcPr>
            <w:tcW w:w="2720" w:type="dxa"/>
            <w:vAlign w:val="bottom"/>
            <w:tcBorders>
              <w:bottom w:val="single" w:sz="8" w:color="808080"/>
            </w:tcBorders>
          </w:tcPr>
          <w:p>
            <w:pPr>
              <w:ind w:left="300"/>
              <w:spacing w:after="0" w:line="269" w:lineRule="exact"/>
              <w:rPr>
                <w:sz w:val="20"/>
                <w:szCs w:val="20"/>
                <w:color w:val="auto"/>
              </w:rPr>
            </w:pPr>
            <w:r>
              <w:rPr>
                <w:rFonts w:ascii="Arial" w:cs="Arial" w:eastAsia="Arial" w:hAnsi="Arial"/>
                <w:sz w:val="15"/>
                <w:szCs w:val="15"/>
                <w:color w:val="auto"/>
              </w:rPr>
              <w:t>Italian payback measure</w:t>
            </w:r>
            <w:r>
              <w:rPr>
                <w:rFonts w:ascii="Arial" w:cs="Arial" w:eastAsia="Arial" w:hAnsi="Arial"/>
                <w:sz w:val="25"/>
                <w:szCs w:val="25"/>
                <w:color w:val="auto"/>
                <w:vertAlign w:val="superscript"/>
              </w:rPr>
              <w:t>(1)</w:t>
            </w:r>
          </w:p>
        </w:tc>
        <w:tc>
          <w:tcPr>
            <w:tcW w:w="80" w:type="dxa"/>
            <w:vAlign w:val="bottom"/>
            <w:tcBorders>
              <w:bottom w:val="single" w:sz="8" w:color="808080"/>
            </w:tcBorders>
          </w:tcPr>
          <w:p>
            <w:pPr>
              <w:spacing w:after="0"/>
              <w:rPr>
                <w:sz w:val="23"/>
                <w:szCs w:val="23"/>
                <w:color w:val="auto"/>
              </w:rPr>
            </w:pPr>
          </w:p>
        </w:tc>
        <w:tc>
          <w:tcPr>
            <w:tcW w:w="1980" w:type="dxa"/>
            <w:vAlign w:val="bottom"/>
            <w:tcBorders>
              <w:bottom w:val="single" w:sz="8" w:color="808080"/>
            </w:tcBorders>
          </w:tcPr>
          <w:p>
            <w:pPr>
              <w:spacing w:after="0"/>
              <w:rPr>
                <w:sz w:val="23"/>
                <w:szCs w:val="23"/>
                <w:color w:val="auto"/>
              </w:rPr>
            </w:pPr>
          </w:p>
        </w:tc>
        <w:tc>
          <w:tcPr>
            <w:tcW w:w="1900" w:type="dxa"/>
            <w:vAlign w:val="bottom"/>
            <w:tcBorders>
              <w:bottom w:val="single" w:sz="8" w:color="808080"/>
            </w:tcBorders>
          </w:tcPr>
          <w:p>
            <w:pPr>
              <w:spacing w:after="0"/>
              <w:rPr>
                <w:sz w:val="23"/>
                <w:szCs w:val="23"/>
                <w:color w:val="auto"/>
              </w:rPr>
            </w:pPr>
          </w:p>
        </w:tc>
        <w:tc>
          <w:tcPr>
            <w:tcW w:w="1060" w:type="dxa"/>
            <w:vAlign w:val="bottom"/>
            <w:tcBorders>
              <w:bottom w:val="single" w:sz="8" w:color="808080"/>
            </w:tcBorders>
          </w:tcPr>
          <w:p>
            <w:pPr>
              <w:spacing w:after="0"/>
              <w:rPr>
                <w:sz w:val="23"/>
                <w:szCs w:val="23"/>
                <w:color w:val="auto"/>
              </w:rPr>
            </w:pPr>
          </w:p>
        </w:tc>
        <w:tc>
          <w:tcPr>
            <w:tcW w:w="680" w:type="dxa"/>
            <w:vAlign w:val="bottom"/>
            <w:tcBorders>
              <w:bottom w:val="single" w:sz="8" w:color="808080"/>
            </w:tcBorders>
          </w:tcPr>
          <w:p>
            <w:pPr>
              <w:jc w:val="right"/>
              <w:ind w:right="44"/>
              <w:spacing w:after="0"/>
              <w:rPr>
                <w:sz w:val="20"/>
                <w:szCs w:val="20"/>
                <w:color w:val="auto"/>
              </w:rPr>
            </w:pPr>
            <w:r>
              <w:rPr>
                <w:rFonts w:ascii="Arial" w:cs="Arial" w:eastAsia="Arial" w:hAnsi="Arial"/>
                <w:sz w:val="15"/>
                <w:szCs w:val="15"/>
                <w:color w:val="auto"/>
              </w:rPr>
              <w:t>4.1</w:t>
            </w:r>
          </w:p>
        </w:tc>
        <w:tc>
          <w:tcPr>
            <w:tcW w:w="0" w:type="dxa"/>
            <w:vAlign w:val="bottom"/>
          </w:tcPr>
          <w:p>
            <w:pPr>
              <w:spacing w:after="0"/>
              <w:rPr>
                <w:sz w:val="1"/>
                <w:szCs w:val="1"/>
                <w:color w:val="auto"/>
              </w:rPr>
            </w:pPr>
          </w:p>
        </w:tc>
      </w:tr>
      <w:tr>
        <w:trPr>
          <w:trHeight w:val="217"/>
        </w:trPr>
        <w:tc>
          <w:tcPr>
            <w:tcW w:w="2720" w:type="dxa"/>
            <w:vAlign w:val="bottom"/>
            <w:tcBorders>
              <w:bottom w:val="single" w:sz="8" w:color="808080"/>
            </w:tcBorders>
          </w:tcPr>
          <w:p>
            <w:pPr>
              <w:ind w:left="80"/>
              <w:spacing w:after="0"/>
              <w:rPr>
                <w:sz w:val="20"/>
                <w:szCs w:val="20"/>
                <w:color w:val="auto"/>
              </w:rPr>
            </w:pPr>
            <w:r>
              <w:rPr>
                <w:rFonts w:ascii="Arial" w:cs="Arial" w:eastAsia="Arial" w:hAnsi="Arial"/>
                <w:sz w:val="15"/>
                <w:szCs w:val="15"/>
                <w:b w:val="1"/>
                <w:bCs w:val="1"/>
                <w:color w:val="auto"/>
              </w:rPr>
              <w:t>Adjusted Revenues</w:t>
            </w:r>
          </w:p>
        </w:tc>
        <w:tc>
          <w:tcPr>
            <w:tcW w:w="80" w:type="dxa"/>
            <w:vAlign w:val="bottom"/>
            <w:tcBorders>
              <w:bottom w:val="single" w:sz="8" w:color="808080"/>
            </w:tcBorders>
          </w:tcPr>
          <w:p>
            <w:pPr>
              <w:spacing w:after="0"/>
              <w:rPr>
                <w:sz w:val="18"/>
                <w:szCs w:val="18"/>
                <w:color w:val="auto"/>
              </w:rPr>
            </w:pPr>
          </w:p>
        </w:tc>
        <w:tc>
          <w:tcPr>
            <w:tcW w:w="1980" w:type="dxa"/>
            <w:vAlign w:val="bottom"/>
            <w:tcBorders>
              <w:bottom w:val="single" w:sz="8" w:color="808080"/>
            </w:tcBorders>
          </w:tcPr>
          <w:p>
            <w:pPr>
              <w:spacing w:after="0"/>
              <w:rPr>
                <w:sz w:val="18"/>
                <w:szCs w:val="18"/>
                <w:color w:val="auto"/>
              </w:rPr>
            </w:pPr>
          </w:p>
        </w:tc>
        <w:tc>
          <w:tcPr>
            <w:tcW w:w="1900" w:type="dxa"/>
            <w:vAlign w:val="bottom"/>
            <w:tcBorders>
              <w:bottom w:val="single" w:sz="8" w:color="808080"/>
            </w:tcBorders>
          </w:tcPr>
          <w:p>
            <w:pPr>
              <w:spacing w:after="0"/>
              <w:rPr>
                <w:sz w:val="18"/>
                <w:szCs w:val="18"/>
                <w:color w:val="auto"/>
              </w:rPr>
            </w:pPr>
          </w:p>
        </w:tc>
        <w:tc>
          <w:tcPr>
            <w:tcW w:w="106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jc w:val="right"/>
              <w:ind w:right="84"/>
              <w:spacing w:after="0"/>
              <w:rPr>
                <w:sz w:val="20"/>
                <w:szCs w:val="20"/>
                <w:color w:val="auto"/>
              </w:rPr>
            </w:pPr>
            <w:r>
              <w:rPr>
                <w:rFonts w:ascii="Arial" w:cs="Arial" w:eastAsia="Arial" w:hAnsi="Arial"/>
                <w:sz w:val="15"/>
                <w:szCs w:val="15"/>
                <w:color w:val="auto"/>
                <w:w w:val="99"/>
              </w:rPr>
              <w:t>1,127.2</w:t>
            </w:r>
          </w:p>
        </w:tc>
        <w:tc>
          <w:tcPr>
            <w:tcW w:w="0" w:type="dxa"/>
            <w:vAlign w:val="bottom"/>
          </w:tcPr>
          <w:p>
            <w:pPr>
              <w:spacing w:after="0"/>
              <w:rPr>
                <w:sz w:val="1"/>
                <w:szCs w:val="1"/>
                <w:color w:val="auto"/>
              </w:rPr>
            </w:pPr>
          </w:p>
        </w:tc>
      </w:tr>
      <w:tr>
        <w:trPr>
          <w:trHeight w:val="249"/>
        </w:trPr>
        <w:tc>
          <w:tcPr>
            <w:tcW w:w="2720" w:type="dxa"/>
            <w:vAlign w:val="bottom"/>
            <w:tcBorders>
              <w:bottom w:val="single" w:sz="8" w:color="808080"/>
            </w:tcBorders>
          </w:tcPr>
          <w:p>
            <w:pPr>
              <w:ind w:left="300"/>
              <w:spacing w:after="0" w:line="242" w:lineRule="exact"/>
              <w:rPr>
                <w:sz w:val="20"/>
                <w:szCs w:val="20"/>
                <w:color w:val="auto"/>
              </w:rPr>
            </w:pPr>
            <w:r>
              <w:rPr>
                <w:rFonts w:ascii="Arial" w:cs="Arial" w:eastAsia="Arial" w:hAnsi="Arial"/>
                <w:sz w:val="15"/>
                <w:szCs w:val="15"/>
                <w:color w:val="auto"/>
              </w:rPr>
              <w:t>FX impact</w:t>
            </w:r>
            <w:r>
              <w:rPr>
                <w:rFonts w:ascii="Arial" w:cs="Arial" w:eastAsia="Arial" w:hAnsi="Arial"/>
                <w:sz w:val="25"/>
                <w:szCs w:val="25"/>
                <w:color w:val="auto"/>
                <w:vertAlign w:val="superscript"/>
              </w:rPr>
              <w:t>(3)</w:t>
            </w:r>
          </w:p>
        </w:tc>
        <w:tc>
          <w:tcPr>
            <w:tcW w:w="8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rPr>
              <w:t>26.5</w:t>
            </w:r>
          </w:p>
        </w:tc>
        <w:tc>
          <w:tcPr>
            <w:tcW w:w="1060" w:type="dxa"/>
            <w:vAlign w:val="bottom"/>
            <w:tcBorders>
              <w:bottom w:val="single" w:sz="8" w:color="auto"/>
            </w:tcBorders>
          </w:tcPr>
          <w:p>
            <w:pPr>
              <w:ind w:left="1020"/>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6.1</w:t>
            </w:r>
          </w:p>
        </w:tc>
        <w:tc>
          <w:tcPr>
            <w:tcW w:w="0" w:type="dxa"/>
            <w:vAlign w:val="bottom"/>
          </w:tcPr>
          <w:p>
            <w:pPr>
              <w:spacing w:after="0"/>
              <w:rPr>
                <w:sz w:val="1"/>
                <w:szCs w:val="1"/>
                <w:color w:val="auto"/>
              </w:rPr>
            </w:pPr>
          </w:p>
        </w:tc>
      </w:tr>
      <w:tr>
        <w:trPr>
          <w:trHeight w:val="170"/>
        </w:trPr>
        <w:tc>
          <w:tcPr>
            <w:tcW w:w="2720" w:type="dxa"/>
            <w:vAlign w:val="bottom"/>
          </w:tcPr>
          <w:p>
            <w:pPr>
              <w:ind w:left="300"/>
              <w:spacing w:after="0" w:line="170" w:lineRule="exact"/>
              <w:rPr>
                <w:sz w:val="20"/>
                <w:szCs w:val="20"/>
                <w:color w:val="auto"/>
              </w:rPr>
            </w:pPr>
            <w:r>
              <w:rPr>
                <w:rFonts w:ascii="Arial" w:cs="Arial" w:eastAsia="Arial" w:hAnsi="Arial"/>
                <w:sz w:val="15"/>
                <w:szCs w:val="15"/>
                <w:color w:val="auto"/>
              </w:rPr>
              <w:t>Revenues derived from contract</w:t>
            </w:r>
          </w:p>
        </w:tc>
        <w:tc>
          <w:tcPr>
            <w:tcW w:w="2060" w:type="dxa"/>
            <w:vAlign w:val="bottom"/>
            <w:gridSpan w:val="2"/>
            <w:vMerge w:val="restart"/>
          </w:tcPr>
          <w:p>
            <w:pPr>
              <w:jc w:val="right"/>
              <w:ind w:right="184"/>
              <w:spacing w:after="0"/>
              <w:rPr>
                <w:sz w:val="20"/>
                <w:szCs w:val="20"/>
                <w:color w:val="auto"/>
              </w:rPr>
            </w:pPr>
            <w:r>
              <w:rPr>
                <w:rFonts w:ascii="Arial" w:cs="Arial" w:eastAsia="Arial" w:hAnsi="Arial"/>
                <w:sz w:val="15"/>
                <w:szCs w:val="15"/>
                <w:color w:val="auto"/>
              </w:rPr>
              <w:t>(14.9)</w:t>
            </w:r>
          </w:p>
        </w:tc>
        <w:tc>
          <w:tcPr>
            <w:tcW w:w="1900" w:type="dxa"/>
            <w:vAlign w:val="bottom"/>
            <w:vMerge w:val="restart"/>
          </w:tcPr>
          <w:p>
            <w:pPr>
              <w:jc w:val="right"/>
              <w:ind w:right="184"/>
              <w:spacing w:after="0"/>
              <w:rPr>
                <w:sz w:val="20"/>
                <w:szCs w:val="20"/>
                <w:color w:val="auto"/>
              </w:rPr>
            </w:pPr>
            <w:r>
              <w:rPr>
                <w:rFonts w:ascii="Arial" w:cs="Arial" w:eastAsia="Arial" w:hAnsi="Arial"/>
                <w:sz w:val="15"/>
                <w:szCs w:val="15"/>
                <w:color w:val="auto"/>
              </w:rPr>
              <w:t>(13.0)</w:t>
            </w:r>
          </w:p>
        </w:tc>
        <w:tc>
          <w:tcPr>
            <w:tcW w:w="1060" w:type="dxa"/>
            <w:vAlign w:val="bottom"/>
            <w:vMerge w:val="restart"/>
          </w:tcPr>
          <w:p>
            <w:pPr>
              <w:ind w:left="1020"/>
              <w:spacing w:after="0"/>
              <w:rPr>
                <w:sz w:val="20"/>
                <w:szCs w:val="20"/>
                <w:color w:val="auto"/>
              </w:rPr>
            </w:pPr>
            <w:r>
              <w:rPr>
                <w:rFonts w:ascii="Arial" w:cs="Arial" w:eastAsia="Arial" w:hAnsi="Arial"/>
                <w:sz w:val="15"/>
                <w:szCs w:val="15"/>
                <w:color w:val="auto"/>
              </w:rPr>
              <w:t>​</w:t>
            </w:r>
          </w:p>
        </w:tc>
        <w:tc>
          <w:tcPr>
            <w:tcW w:w="680" w:type="dxa"/>
            <w:vAlign w:val="bottom"/>
            <w:vMerge w:val="restart"/>
          </w:tcPr>
          <w:p>
            <w:pPr>
              <w:jc w:val="right"/>
              <w:ind w:right="24"/>
              <w:spacing w:after="0"/>
              <w:rPr>
                <w:sz w:val="20"/>
                <w:szCs w:val="20"/>
                <w:color w:val="auto"/>
              </w:rPr>
            </w:pPr>
            <w:r>
              <w:rPr>
                <w:rFonts w:ascii="Arial" w:cs="Arial" w:eastAsia="Arial" w:hAnsi="Arial"/>
                <w:sz w:val="15"/>
                <w:szCs w:val="15"/>
                <w:color w:val="auto"/>
              </w:rPr>
              <w:t>(12.8)</w:t>
            </w:r>
          </w:p>
        </w:tc>
        <w:tc>
          <w:tcPr>
            <w:tcW w:w="0" w:type="dxa"/>
            <w:vAlign w:val="bottom"/>
          </w:tcPr>
          <w:p>
            <w:pPr>
              <w:spacing w:after="0"/>
              <w:rPr>
                <w:sz w:val="1"/>
                <w:szCs w:val="1"/>
                <w:color w:val="auto"/>
              </w:rPr>
            </w:pPr>
          </w:p>
        </w:tc>
      </w:tr>
      <w:tr>
        <w:trPr>
          <w:trHeight w:val="121"/>
        </w:trPr>
        <w:tc>
          <w:tcPr>
            <w:tcW w:w="2720" w:type="dxa"/>
            <w:vAlign w:val="bottom"/>
            <w:vMerge w:val="restart"/>
          </w:tcPr>
          <w:p>
            <w:pPr>
              <w:ind w:left="440"/>
              <w:spacing w:after="0" w:line="248" w:lineRule="exact"/>
              <w:rPr>
                <w:sz w:val="20"/>
                <w:szCs w:val="20"/>
                <w:color w:val="auto"/>
              </w:rPr>
            </w:pPr>
            <w:r>
              <w:rPr>
                <w:rFonts w:ascii="Arial" w:cs="Arial" w:eastAsia="Arial" w:hAnsi="Arial"/>
                <w:sz w:val="15"/>
                <w:szCs w:val="15"/>
                <w:color w:val="auto"/>
              </w:rPr>
              <w:t>manufacturing</w:t>
            </w:r>
            <w:r>
              <w:rPr>
                <w:rFonts w:ascii="Arial" w:cs="Arial" w:eastAsia="Arial" w:hAnsi="Arial"/>
                <w:sz w:val="25"/>
                <w:szCs w:val="25"/>
                <w:color w:val="auto"/>
                <w:vertAlign w:val="superscript"/>
              </w:rPr>
              <w:t>(4)</w:t>
            </w:r>
          </w:p>
        </w:tc>
        <w:tc>
          <w:tcPr>
            <w:tcW w:w="2060" w:type="dxa"/>
            <w:vAlign w:val="bottom"/>
            <w:gridSpan w:val="2"/>
            <w:vMerge w:val="continue"/>
          </w:tcPr>
          <w:p>
            <w:pPr>
              <w:spacing w:after="0"/>
              <w:rPr>
                <w:sz w:val="10"/>
                <w:szCs w:val="10"/>
                <w:color w:val="auto"/>
              </w:rPr>
            </w:pPr>
          </w:p>
        </w:tc>
        <w:tc>
          <w:tcPr>
            <w:tcW w:w="190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720" w:type="dxa"/>
            <w:vAlign w:val="bottom"/>
            <w:tcBorders>
              <w:bottom w:val="single" w:sz="8" w:color="808080"/>
            </w:tcBorders>
            <w:vMerge w:val="continue"/>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980" w:type="dxa"/>
            <w:vAlign w:val="bottom"/>
            <w:tcBorders>
              <w:bottom w:val="single" w:sz="8" w:color="808080"/>
            </w:tcBorders>
          </w:tcPr>
          <w:p>
            <w:pPr>
              <w:spacing w:after="0"/>
              <w:rPr>
                <w:sz w:val="11"/>
                <w:szCs w:val="11"/>
                <w:color w:val="auto"/>
              </w:rPr>
            </w:pPr>
          </w:p>
        </w:tc>
        <w:tc>
          <w:tcPr>
            <w:tcW w:w="19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720" w:type="dxa"/>
            <w:vAlign w:val="bottom"/>
          </w:tcPr>
          <w:p>
            <w:pPr>
              <w:ind w:left="80"/>
              <w:spacing w:after="0" w:line="163" w:lineRule="exact"/>
              <w:rPr>
                <w:sz w:val="20"/>
                <w:szCs w:val="20"/>
                <w:color w:val="auto"/>
              </w:rPr>
            </w:pPr>
            <w:r>
              <w:rPr>
                <w:rFonts w:ascii="Arial" w:cs="Arial" w:eastAsia="Arial" w:hAnsi="Arial"/>
                <w:sz w:val="15"/>
                <w:szCs w:val="15"/>
                <w:b w:val="1"/>
                <w:bCs w:val="1"/>
                <w:color w:val="auto"/>
              </w:rPr>
              <w:t>Adjusted Constant Currency</w:t>
            </w:r>
          </w:p>
        </w:tc>
        <w:tc>
          <w:tcPr>
            <w:tcW w:w="80" w:type="dxa"/>
            <w:vAlign w:val="bottom"/>
            <w:shd w:val="clear" w:color="auto" w:fill="342C82"/>
          </w:tcPr>
          <w:p>
            <w:pPr>
              <w:spacing w:after="0"/>
              <w:rPr>
                <w:sz w:val="14"/>
                <w:szCs w:val="14"/>
                <w:color w:val="auto"/>
              </w:rPr>
            </w:pPr>
          </w:p>
        </w:tc>
        <w:tc>
          <w:tcPr>
            <w:tcW w:w="1980" w:type="dxa"/>
            <w:vAlign w:val="bottom"/>
            <w:vMerge w:val="restart"/>
            <w:shd w:val="clear" w:color="auto" w:fill="342C82"/>
          </w:tcPr>
          <w:p>
            <w:pPr>
              <w:jc w:val="right"/>
              <w:ind w:right="304"/>
              <w:spacing w:after="0"/>
              <w:rPr>
                <w:sz w:val="20"/>
                <w:szCs w:val="20"/>
                <w:color w:val="auto"/>
              </w:rPr>
            </w:pPr>
            <w:r>
              <w:rPr>
                <w:rFonts w:ascii="Arial" w:cs="Arial" w:eastAsia="Arial" w:hAnsi="Arial"/>
                <w:sz w:val="15"/>
                <w:szCs w:val="15"/>
                <w:b w:val="1"/>
                <w:bCs w:val="1"/>
                <w:color w:val="FFFFFF"/>
              </w:rPr>
              <w:t>1,114.6</w:t>
            </w:r>
          </w:p>
        </w:tc>
        <w:tc>
          <w:tcPr>
            <w:tcW w:w="1900" w:type="dxa"/>
            <w:vAlign w:val="bottom"/>
            <w:vMerge w:val="restart"/>
            <w:shd w:val="clear" w:color="auto" w:fill="342C82"/>
          </w:tcPr>
          <w:p>
            <w:pPr>
              <w:jc w:val="right"/>
              <w:ind w:right="304"/>
              <w:spacing w:after="0"/>
              <w:rPr>
                <w:sz w:val="20"/>
                <w:szCs w:val="20"/>
                <w:color w:val="auto"/>
              </w:rPr>
            </w:pPr>
            <w:r>
              <w:rPr>
                <w:rFonts w:ascii="Arial" w:cs="Arial" w:eastAsia="Arial" w:hAnsi="Arial"/>
                <w:sz w:val="15"/>
                <w:szCs w:val="15"/>
                <w:b w:val="1"/>
                <w:bCs w:val="1"/>
                <w:color w:val="FFFFFF"/>
              </w:rPr>
              <w:t>1,134.3</w:t>
            </w:r>
          </w:p>
        </w:tc>
        <w:tc>
          <w:tcPr>
            <w:tcW w:w="1740" w:type="dxa"/>
            <w:vAlign w:val="bottom"/>
            <w:gridSpan w:val="2"/>
            <w:vMerge w:val="restart"/>
            <w:shd w:val="clear" w:color="auto" w:fill="342C82"/>
          </w:tcPr>
          <w:p>
            <w:pPr>
              <w:ind w:left="1020"/>
              <w:spacing w:after="0"/>
              <w:rPr>
                <w:sz w:val="20"/>
                <w:szCs w:val="20"/>
                <w:color w:val="auto"/>
              </w:rPr>
            </w:pPr>
            <w:r>
              <w:rPr>
                <w:rFonts w:ascii="Arial" w:cs="Arial" w:eastAsia="Arial" w:hAnsi="Arial"/>
                <w:sz w:val="15"/>
                <w:szCs w:val="15"/>
                <w:b w:val="1"/>
                <w:bCs w:val="1"/>
                <w:color w:val="FFFFFF"/>
              </w:rPr>
              <w:t>1,120.5</w:t>
            </w:r>
          </w:p>
        </w:tc>
        <w:tc>
          <w:tcPr>
            <w:tcW w:w="0" w:type="dxa"/>
            <w:vAlign w:val="bottom"/>
          </w:tcPr>
          <w:p>
            <w:pPr>
              <w:spacing w:after="0"/>
              <w:rPr>
                <w:sz w:val="1"/>
                <w:szCs w:val="1"/>
                <w:color w:val="auto"/>
              </w:rPr>
            </w:pPr>
          </w:p>
        </w:tc>
      </w:tr>
      <w:tr>
        <w:trPr>
          <w:trHeight w:val="129"/>
        </w:trPr>
        <w:tc>
          <w:tcPr>
            <w:tcW w:w="27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Revenue (PvP)</w:t>
            </w:r>
          </w:p>
        </w:tc>
        <w:tc>
          <w:tcPr>
            <w:tcW w:w="80" w:type="dxa"/>
            <w:vAlign w:val="bottom"/>
            <w:shd w:val="clear" w:color="auto" w:fill="342C82"/>
          </w:tcPr>
          <w:p>
            <w:pPr>
              <w:spacing w:after="0"/>
              <w:rPr>
                <w:sz w:val="11"/>
                <w:szCs w:val="11"/>
                <w:color w:val="auto"/>
              </w:rPr>
            </w:pPr>
          </w:p>
        </w:tc>
        <w:tc>
          <w:tcPr>
            <w:tcW w:w="1980" w:type="dxa"/>
            <w:vAlign w:val="bottom"/>
            <w:vMerge w:val="continue"/>
            <w:shd w:val="clear" w:color="auto" w:fill="342C82"/>
          </w:tcPr>
          <w:p>
            <w:pPr>
              <w:spacing w:after="0"/>
              <w:rPr>
                <w:sz w:val="11"/>
                <w:szCs w:val="11"/>
                <w:color w:val="auto"/>
              </w:rPr>
            </w:pPr>
          </w:p>
        </w:tc>
        <w:tc>
          <w:tcPr>
            <w:tcW w:w="1900" w:type="dxa"/>
            <w:vAlign w:val="bottom"/>
            <w:vMerge w:val="continue"/>
            <w:shd w:val="clear" w:color="auto" w:fill="342C82"/>
          </w:tcPr>
          <w:p>
            <w:pPr>
              <w:spacing w:after="0"/>
              <w:rPr>
                <w:sz w:val="11"/>
                <w:szCs w:val="11"/>
                <w:color w:val="auto"/>
              </w:rPr>
            </w:pPr>
          </w:p>
        </w:tc>
        <w:tc>
          <w:tcPr>
            <w:tcW w:w="1740" w:type="dxa"/>
            <w:vAlign w:val="bottom"/>
            <w:gridSpan w:val="2"/>
            <w:vMerge w:val="continue"/>
            <w:shd w:val="clear" w:color="auto" w:fill="342C82"/>
          </w:tcPr>
          <w:p>
            <w:pPr>
              <w:spacing w:after="0"/>
              <w:rPr>
                <w:sz w:val="11"/>
                <w:szCs w:val="11"/>
                <w:color w:val="auto"/>
              </w:rPr>
            </w:pPr>
          </w:p>
        </w:tc>
        <w:tc>
          <w:tcPr>
            <w:tcW w:w="0" w:type="dxa"/>
            <w:vAlign w:val="bottom"/>
          </w:tcPr>
          <w:p>
            <w:pPr>
              <w:spacing w:after="0"/>
              <w:rPr>
                <w:sz w:val="1"/>
                <w:szCs w:val="1"/>
                <w:color w:val="auto"/>
              </w:rPr>
            </w:pPr>
          </w:p>
        </w:tc>
      </w:tr>
      <w:tr>
        <w:trPr>
          <w:trHeight w:val="59"/>
        </w:trPr>
        <w:tc>
          <w:tcPr>
            <w:tcW w:w="2720" w:type="dxa"/>
            <w:vAlign w:val="bottom"/>
            <w:vMerge w:val="continue"/>
          </w:tcPr>
          <w:p>
            <w:pPr>
              <w:spacing w:after="0"/>
              <w:rPr>
                <w:sz w:val="5"/>
                <w:szCs w:val="5"/>
                <w:color w:val="auto"/>
              </w:rPr>
            </w:pPr>
          </w:p>
        </w:tc>
        <w:tc>
          <w:tcPr>
            <w:tcW w:w="80" w:type="dxa"/>
            <w:vAlign w:val="bottom"/>
            <w:tcBorders>
              <w:bottom w:val="single" w:sz="8" w:color="342C82"/>
            </w:tcBorders>
            <w:shd w:val="clear" w:color="auto" w:fill="342C82"/>
          </w:tcPr>
          <w:p>
            <w:pPr>
              <w:spacing w:after="0"/>
              <w:rPr>
                <w:sz w:val="5"/>
                <w:szCs w:val="5"/>
                <w:color w:val="auto"/>
              </w:rPr>
            </w:pPr>
          </w:p>
        </w:tc>
        <w:tc>
          <w:tcPr>
            <w:tcW w:w="1980" w:type="dxa"/>
            <w:vAlign w:val="bottom"/>
            <w:tcBorders>
              <w:bottom w:val="single" w:sz="8" w:color="342C82"/>
            </w:tcBorders>
            <w:shd w:val="clear" w:color="auto" w:fill="342C82"/>
          </w:tcPr>
          <w:p>
            <w:pPr>
              <w:spacing w:after="0"/>
              <w:rPr>
                <w:sz w:val="5"/>
                <w:szCs w:val="5"/>
                <w:color w:val="auto"/>
              </w:rPr>
            </w:pPr>
          </w:p>
        </w:tc>
        <w:tc>
          <w:tcPr>
            <w:tcW w:w="1900" w:type="dxa"/>
            <w:vAlign w:val="bottom"/>
            <w:tcBorders>
              <w:bottom w:val="single" w:sz="8" w:color="342C82"/>
            </w:tcBorders>
            <w:shd w:val="clear" w:color="auto" w:fill="342C82"/>
          </w:tcPr>
          <w:p>
            <w:pPr>
              <w:spacing w:after="0"/>
              <w:rPr>
                <w:sz w:val="5"/>
                <w:szCs w:val="5"/>
                <w:color w:val="auto"/>
              </w:rPr>
            </w:pPr>
          </w:p>
        </w:tc>
        <w:tc>
          <w:tcPr>
            <w:tcW w:w="1060" w:type="dxa"/>
            <w:vAlign w:val="bottom"/>
            <w:tcBorders>
              <w:bottom w:val="single" w:sz="8" w:color="342C82"/>
            </w:tcBorders>
            <w:shd w:val="clear" w:color="auto" w:fill="342C82"/>
          </w:tcPr>
          <w:p>
            <w:pPr>
              <w:spacing w:after="0"/>
              <w:rPr>
                <w:sz w:val="5"/>
                <w:szCs w:val="5"/>
                <w:color w:val="auto"/>
              </w:rPr>
            </w:pPr>
          </w:p>
        </w:tc>
        <w:tc>
          <w:tcPr>
            <w:tcW w:w="680" w:type="dxa"/>
            <w:vAlign w:val="bottom"/>
            <w:tcBorders>
              <w:bottom w:val="single" w:sz="8" w:color="342C82"/>
            </w:tcBorders>
            <w:shd w:val="clear" w:color="auto" w:fill="342C82"/>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2720" w:type="dxa"/>
            <w:vAlign w:val="bottom"/>
            <w:shd w:val="clear" w:color="auto" w:fill="80808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980" w:type="dxa"/>
            <w:vAlign w:val="bottom"/>
            <w:shd w:val="clear" w:color="auto" w:fill="000000"/>
          </w:tcPr>
          <w:p>
            <w:pPr>
              <w:spacing w:after="0"/>
              <w:rPr>
                <w:sz w:val="2"/>
                <w:szCs w:val="2"/>
                <w:color w:val="auto"/>
              </w:rPr>
            </w:pPr>
          </w:p>
        </w:tc>
        <w:tc>
          <w:tcPr>
            <w:tcW w:w="19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Reconciliation of Net Income to Adjusted EBITDA (2024 bonus determinations)</w:t>
      </w:r>
    </w:p>
    <w:p>
      <w:pPr>
        <w:spacing w:after="0" w:line="167" w:lineRule="exact"/>
        <w:rPr>
          <w:sz w:val="20"/>
          <w:szCs w:val="20"/>
          <w:color w:val="auto"/>
        </w:rPr>
      </w:pPr>
    </w:p>
    <w:p>
      <w:pPr>
        <w:ind w:left="300" w:right="459"/>
        <w:spacing w:after="0" w:line="254" w:lineRule="auto"/>
        <w:rPr>
          <w:sz w:val="20"/>
          <w:szCs w:val="20"/>
          <w:color w:val="auto"/>
        </w:rPr>
      </w:pPr>
      <w:r>
        <w:rPr>
          <w:rFonts w:ascii="Arial" w:cs="Arial" w:eastAsia="Arial" w:hAnsi="Arial"/>
          <w:sz w:val="16"/>
          <w:szCs w:val="16"/>
          <w:color w:val="auto"/>
        </w:rPr>
        <w:t>We believe Adjusted EBITDA provides meaningful information to assist investors, stockholders and other readers of our consolidated financial statements in making comparisons to our historical operating results and analyzing the underlying performance of our results of operations. The Company uses Adjusted EBITDA in its operational and financial decision making, including for incentive compensation purposes, and believes that it is useful to exclude certain items in order to focus on what it regards to be a meaningful alternative representation of the underlying operating performance of the business.</w:t>
      </w:r>
    </w:p>
    <w:p>
      <w:pPr>
        <w:spacing w:after="0" w:line="263"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U.S. dollars in millions</w:t>
      </w:r>
    </w:p>
    <w:p>
      <w:pPr>
        <w:spacing w:after="0" w:line="73" w:lineRule="exact"/>
        <w:rPr>
          <w:sz w:val="20"/>
          <w:szCs w:val="20"/>
          <w:color w:val="auto"/>
        </w:rPr>
      </w:pPr>
    </w:p>
    <w:p>
      <w:pPr>
        <w:ind w:left="7300"/>
        <w:spacing w:after="0"/>
        <w:rPr>
          <w:sz w:val="20"/>
          <w:szCs w:val="20"/>
          <w:color w:val="auto"/>
        </w:rPr>
      </w:pPr>
      <w:r>
        <w:rPr>
          <w:rFonts w:ascii="Arial" w:cs="Arial" w:eastAsia="Arial" w:hAnsi="Arial"/>
          <w:sz w:val="16"/>
          <w:szCs w:val="16"/>
          <w:b w:val="1"/>
          <w:bCs w:val="1"/>
          <w:color w:val="auto"/>
        </w:rPr>
        <w:t>12 Months Ended</w:t>
      </w:r>
    </w:p>
    <w:p>
      <w:pPr>
        <w:spacing w:after="0" w:line="21" w:lineRule="exact"/>
        <w:rPr>
          <w:sz w:val="20"/>
          <w:szCs w:val="20"/>
          <w:color w:val="auto"/>
        </w:rPr>
      </w:pPr>
    </w:p>
    <w:p>
      <w:pPr>
        <w:ind w:left="7140"/>
        <w:spacing w:after="0"/>
        <w:rPr>
          <w:sz w:val="20"/>
          <w:szCs w:val="20"/>
          <w:color w:val="auto"/>
        </w:rPr>
      </w:pPr>
      <w:r>
        <w:rPr>
          <w:rFonts w:ascii="Arial" w:cs="Arial" w:eastAsia="Arial" w:hAnsi="Arial"/>
          <w:sz w:val="16"/>
          <w:szCs w:val="16"/>
          <w:b w:val="1"/>
          <w:bCs w:val="1"/>
          <w:color w:val="auto"/>
        </w:rPr>
        <w:t>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19050</wp:posOffset>
            </wp:positionV>
            <wp:extent cx="534924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spacing w:after="0" w:line="43"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29210</wp:posOffset>
            </wp:positionV>
            <wp:extent cx="534924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Interest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29210</wp:posOffset>
            </wp:positionV>
            <wp:extent cx="534924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29210</wp:posOffset>
            </wp:positionV>
            <wp:extent cx="534924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5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29210</wp:posOffset>
            </wp:positionV>
            <wp:extent cx="40716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071620" cy="8255"/>
                    </a:xfrm>
                    <a:prstGeom prst="rect">
                      <a:avLst/>
                    </a:prstGeom>
                    <a:noFill/>
                  </pic:spPr>
                </pic:pic>
              </a:graphicData>
            </a:graphic>
          </wp:anchor>
        </w:drawing>
      </w:r>
    </w:p>
    <w:p>
      <w:pPr>
        <w:spacing w:after="0" w:line="39"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29210</wp:posOffset>
            </wp:positionV>
            <wp:extent cx="40716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071620" cy="8255"/>
                    </a:xfrm>
                    <a:prstGeom prst="rect">
                      <a:avLst/>
                    </a:prstGeom>
                    <a:noFill/>
                  </pic:spPr>
                </pic:pic>
              </a:graphicData>
            </a:graphic>
          </wp:anchor>
        </w:drawing>
      </w:r>
    </w:p>
    <w:p>
      <w:pPr>
        <w:spacing w:after="0" w:line="2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Stock-based compensation expense</w:t>
      </w:r>
      <w:r>
        <w:rPr>
          <w:rFonts w:ascii="Arial" w:cs="Arial" w:eastAsia="Arial" w:hAnsi="Arial"/>
          <w:sz w:val="26"/>
          <w:szCs w:val="26"/>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-15875</wp:posOffset>
            </wp:positionV>
            <wp:extent cx="534924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ind w:left="600"/>
        <w:spacing w:after="0" w:line="227" w:lineRule="auto"/>
        <w:rPr>
          <w:sz w:val="20"/>
          <w:szCs w:val="20"/>
          <w:color w:val="auto"/>
        </w:rPr>
      </w:pPr>
      <w:r>
        <w:rPr>
          <w:rFonts w:ascii="Arial" w:cs="Arial" w:eastAsia="Arial" w:hAnsi="Arial"/>
          <w:sz w:val="16"/>
          <w:szCs w:val="16"/>
          <w:color w:val="auto"/>
        </w:rPr>
        <w:t>One-time stand up costs</w:t>
      </w:r>
      <w:r>
        <w:rPr>
          <w:rFonts w:ascii="Arial" w:cs="Arial" w:eastAsia="Arial" w:hAnsi="Arial"/>
          <w:sz w:val="26"/>
          <w:szCs w:val="26"/>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-15875</wp:posOffset>
            </wp:positionV>
            <wp:extent cx="534924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ind w:left="600"/>
        <w:spacing w:after="0" w:line="228" w:lineRule="auto"/>
        <w:rPr>
          <w:sz w:val="20"/>
          <w:szCs w:val="20"/>
          <w:color w:val="auto"/>
        </w:rPr>
      </w:pPr>
      <w:r>
        <w:rPr>
          <w:rFonts w:ascii="Arial" w:cs="Arial" w:eastAsia="Arial" w:hAnsi="Arial"/>
          <w:sz w:val="16"/>
          <w:szCs w:val="16"/>
          <w:color w:val="auto"/>
        </w:rPr>
        <w:t>European regulatory initiative-related costs</w:t>
      </w:r>
      <w:r>
        <w:rPr>
          <w:rFonts w:ascii="Arial" w:cs="Arial" w:eastAsia="Arial" w:hAnsi="Arial"/>
          <w:sz w:val="26"/>
          <w:szCs w:val="26"/>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-15875</wp:posOffset>
            </wp:positionV>
            <wp:extent cx="534924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ind w:left="600"/>
        <w:spacing w:after="0" w:line="227" w:lineRule="auto"/>
        <w:rPr>
          <w:sz w:val="20"/>
          <w:szCs w:val="20"/>
          <w:color w:val="auto"/>
        </w:rPr>
      </w:pPr>
      <w:r>
        <w:rPr>
          <w:rFonts w:ascii="Arial" w:cs="Arial" w:eastAsia="Arial" w:hAnsi="Arial"/>
          <w:sz w:val="16"/>
          <w:szCs w:val="16"/>
          <w:color w:val="auto"/>
        </w:rPr>
        <w:t>Business optimization and severance related costs</w:t>
      </w:r>
      <w:r>
        <w:rPr>
          <w:rFonts w:ascii="Arial" w:cs="Arial" w:eastAsia="Arial" w:hAnsi="Arial"/>
          <w:sz w:val="26"/>
          <w:szCs w:val="26"/>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-15240</wp:posOffset>
            </wp:positionV>
            <wp:extent cx="534924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ind w:left="600"/>
        <w:spacing w:after="0" w:line="228" w:lineRule="auto"/>
        <w:rPr>
          <w:sz w:val="20"/>
          <w:szCs w:val="20"/>
          <w:color w:val="auto"/>
        </w:rPr>
      </w:pPr>
      <w:r>
        <w:rPr>
          <w:rFonts w:ascii="Arial" w:cs="Arial" w:eastAsia="Arial" w:hAnsi="Arial"/>
          <w:sz w:val="16"/>
          <w:szCs w:val="16"/>
          <w:color w:val="auto"/>
        </w:rPr>
        <w:t>Deferred jurisdiction adjustments in Other income (expense), net for taxes</w:t>
      </w:r>
      <w:r>
        <w:rPr>
          <w:rFonts w:ascii="Arial" w:cs="Arial" w:eastAsia="Arial" w:hAnsi="Arial"/>
          <w:sz w:val="26"/>
          <w:szCs w:val="26"/>
          <w:color w:val="auto"/>
          <w:vertAlign w:val="superscript"/>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-15875</wp:posOffset>
            </wp:positionV>
            <wp:extent cx="534924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ind w:left="600"/>
        <w:spacing w:after="0" w:line="227" w:lineRule="auto"/>
        <w:rPr>
          <w:sz w:val="20"/>
          <w:szCs w:val="20"/>
          <w:color w:val="auto"/>
        </w:rPr>
      </w:pPr>
      <w:r>
        <w:rPr>
          <w:rFonts w:ascii="Arial" w:cs="Arial" w:eastAsia="Arial" w:hAnsi="Arial"/>
          <w:sz w:val="16"/>
          <w:szCs w:val="16"/>
          <w:color w:val="auto"/>
        </w:rPr>
        <w:t>Amortization of cloud computing arrangements</w:t>
      </w:r>
      <w:r>
        <w:rPr>
          <w:rFonts w:ascii="Arial" w:cs="Arial" w:eastAsia="Arial" w:hAnsi="Arial"/>
          <w:sz w:val="26"/>
          <w:szCs w:val="26"/>
          <w:color w:val="auto"/>
          <w:vertAlign w:val="superscript"/>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-15240</wp:posOffset>
            </wp:positionV>
            <wp:extent cx="534924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ind w:left="600"/>
        <w:spacing w:after="0" w:line="228" w:lineRule="auto"/>
        <w:rPr>
          <w:sz w:val="20"/>
          <w:szCs w:val="20"/>
          <w:color w:val="auto"/>
        </w:rPr>
      </w:pPr>
      <w:r>
        <w:rPr>
          <w:rFonts w:ascii="Arial" w:cs="Arial" w:eastAsia="Arial" w:hAnsi="Arial"/>
          <w:sz w:val="16"/>
          <w:szCs w:val="16"/>
          <w:color w:val="auto"/>
        </w:rPr>
        <w:t>Italian payback measure</w:t>
      </w:r>
      <w:r>
        <w:rPr>
          <w:rFonts w:ascii="Arial" w:cs="Arial" w:eastAsia="Arial" w:hAnsi="Arial"/>
          <w:sz w:val="26"/>
          <w:szCs w:val="2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-15875</wp:posOffset>
            </wp:positionV>
            <wp:extent cx="534924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ind w:left="600"/>
        <w:spacing w:after="0" w:line="230" w:lineRule="auto"/>
        <w:rPr>
          <w:sz w:val="20"/>
          <w:szCs w:val="20"/>
          <w:color w:val="auto"/>
        </w:rPr>
      </w:pPr>
      <w:r>
        <w:rPr>
          <w:rFonts w:ascii="Arial" w:cs="Arial" w:eastAsia="Arial" w:hAnsi="Arial"/>
          <w:sz w:val="16"/>
          <w:szCs w:val="16"/>
          <w:color w:val="auto"/>
        </w:rPr>
        <w:t>FX Impact</w:t>
      </w:r>
      <w:r>
        <w:rPr>
          <w:rFonts w:ascii="Arial" w:cs="Arial" w:eastAsia="Arial" w:hAnsi="Arial"/>
          <w:sz w:val="26"/>
          <w:szCs w:val="26"/>
          <w:color w:val="auto"/>
          <w:vertAlign w:val="superscript"/>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-17780</wp:posOffset>
            </wp:positionV>
            <wp:extent cx="534924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6"/>
          <w:szCs w:val="16"/>
          <w:b w:val="1"/>
          <w:bCs w:val="1"/>
          <w:color w:val="auto"/>
        </w:rPr>
        <w:t>Adjusted EBITDA (2024 bonus determinations)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27940</wp:posOffset>
            </wp:positionV>
            <wp:extent cx="40716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0716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jc w:val="right"/>
        <w:ind w:right="419"/>
        <w:spacing w:after="0"/>
        <w:rPr>
          <w:sz w:val="20"/>
          <w:szCs w:val="20"/>
          <w:color w:val="auto"/>
        </w:rPr>
      </w:pPr>
      <w:r>
        <w:rPr>
          <w:rFonts w:ascii="Arial" w:cs="Arial" w:eastAsia="Arial" w:hAnsi="Arial"/>
          <w:sz w:val="16"/>
          <w:szCs w:val="16"/>
          <w:color w:val="auto"/>
        </w:rPr>
        <w:t>78.3</w:t>
      </w:r>
    </w:p>
    <w:p>
      <w:pPr>
        <w:spacing w:after="0" w:line="59" w:lineRule="exact"/>
        <w:rPr>
          <w:sz w:val="20"/>
          <w:szCs w:val="20"/>
          <w:color w:val="auto"/>
        </w:rPr>
      </w:pPr>
    </w:p>
    <w:p>
      <w:pPr>
        <w:jc w:val="right"/>
        <w:ind w:right="459"/>
        <w:spacing w:after="0"/>
        <w:rPr>
          <w:sz w:val="20"/>
          <w:szCs w:val="20"/>
          <w:color w:val="auto"/>
        </w:rPr>
      </w:pPr>
      <w:r>
        <w:rPr>
          <w:rFonts w:ascii="Arial" w:cs="Arial" w:eastAsia="Arial" w:hAnsi="Arial"/>
          <w:sz w:val="16"/>
          <w:szCs w:val="16"/>
          <w:color w:val="auto"/>
        </w:rPr>
        <w:t>112.3</w:t>
      </w:r>
    </w:p>
    <w:p>
      <w:pPr>
        <w:spacing w:after="0" w:line="59" w:lineRule="exact"/>
        <w:rPr>
          <w:sz w:val="20"/>
          <w:szCs w:val="20"/>
          <w:color w:val="auto"/>
        </w:rPr>
      </w:pPr>
    </w:p>
    <w:p>
      <w:pPr>
        <w:jc w:val="right"/>
        <w:ind w:right="399"/>
        <w:spacing w:after="0"/>
        <w:rPr>
          <w:sz w:val="20"/>
          <w:szCs w:val="20"/>
          <w:color w:val="auto"/>
        </w:rPr>
      </w:pPr>
      <w:r>
        <w:rPr>
          <w:rFonts w:ascii="Arial" w:cs="Arial" w:eastAsia="Arial" w:hAnsi="Arial"/>
          <w:sz w:val="16"/>
          <w:szCs w:val="16"/>
          <w:color w:val="auto"/>
        </w:rPr>
        <w:t>(34.1)</w:t>
      </w:r>
    </w:p>
    <w:p>
      <w:pPr>
        <w:spacing w:after="0" w:line="59" w:lineRule="exact"/>
        <w:rPr>
          <w:sz w:val="20"/>
          <w:szCs w:val="20"/>
          <w:color w:val="auto"/>
        </w:rPr>
      </w:pPr>
    </w:p>
    <w:p>
      <w:pPr>
        <w:jc w:val="right"/>
        <w:ind w:right="419"/>
        <w:spacing w:after="0"/>
        <w:rPr>
          <w:sz w:val="20"/>
          <w:szCs w:val="20"/>
          <w:color w:val="auto"/>
        </w:rPr>
      </w:pPr>
      <w:r>
        <w:rPr>
          <w:rFonts w:ascii="Arial" w:cs="Arial" w:eastAsia="Arial" w:hAnsi="Arial"/>
          <w:sz w:val="16"/>
          <w:szCs w:val="16"/>
          <w:color w:val="auto"/>
        </w:rPr>
        <w:t>36.2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-907415</wp:posOffset>
            </wp:positionH>
            <wp:positionV relativeFrom="paragraph">
              <wp:posOffset>29210</wp:posOffset>
            </wp:positionV>
            <wp:extent cx="12776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7620" cy="17145"/>
                    </a:xfrm>
                    <a:prstGeom prst="rect">
                      <a:avLst/>
                    </a:prstGeom>
                    <a:noFill/>
                  </pic:spPr>
                </pic:pic>
              </a:graphicData>
            </a:graphic>
          </wp:anchor>
        </w:drawing>
      </w:r>
    </w:p>
    <w:p>
      <w:pPr>
        <w:spacing w:after="0" w:line="39" w:lineRule="exact"/>
        <w:rPr>
          <w:sz w:val="20"/>
          <w:szCs w:val="20"/>
          <w:color w:val="auto"/>
        </w:rPr>
      </w:pPr>
    </w:p>
    <w:p>
      <w:pPr>
        <w:jc w:val="right"/>
        <w:ind w:right="479"/>
        <w:spacing w:after="0"/>
        <w:rPr>
          <w:sz w:val="20"/>
          <w:szCs w:val="20"/>
          <w:color w:val="auto"/>
        </w:rPr>
      </w:pPr>
      <w:r>
        <w:rPr>
          <w:rFonts w:ascii="Arial" w:cs="Arial" w:eastAsia="Arial" w:hAnsi="Arial"/>
          <w:sz w:val="15"/>
          <w:szCs w:val="15"/>
          <w:b w:val="1"/>
          <w:bCs w:val="1"/>
          <w:color w:val="auto"/>
        </w:rPr>
        <w:t>192.7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-907415</wp:posOffset>
            </wp:positionH>
            <wp:positionV relativeFrom="paragraph">
              <wp:posOffset>36830</wp:posOffset>
            </wp:positionV>
            <wp:extent cx="12776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7620" cy="17145"/>
                    </a:xfrm>
                    <a:prstGeom prst="rect">
                      <a:avLst/>
                    </a:prstGeom>
                    <a:noFill/>
                  </pic:spPr>
                </pic:pic>
              </a:graphicData>
            </a:graphic>
          </wp:anchor>
        </w:drawing>
      </w:r>
    </w:p>
    <w:p>
      <w:pPr>
        <w:spacing w:after="0" w:line="64" w:lineRule="exact"/>
        <w:rPr>
          <w:sz w:val="20"/>
          <w:szCs w:val="20"/>
          <w:color w:val="auto"/>
        </w:rPr>
      </w:pPr>
    </w:p>
    <w:p>
      <w:pPr>
        <w:jc w:val="right"/>
        <w:ind w:right="419"/>
        <w:spacing w:after="0"/>
        <w:rPr>
          <w:sz w:val="20"/>
          <w:szCs w:val="20"/>
          <w:color w:val="auto"/>
        </w:rPr>
      </w:pPr>
      <w:r>
        <w:rPr>
          <w:rFonts w:ascii="Arial" w:cs="Arial" w:eastAsia="Arial" w:hAnsi="Arial"/>
          <w:sz w:val="16"/>
          <w:szCs w:val="16"/>
          <w:color w:val="auto"/>
        </w:rPr>
        <w:t>26.6</w:t>
      </w:r>
    </w:p>
    <w:p>
      <w:pPr>
        <w:spacing w:after="0" w:line="100" w:lineRule="exact"/>
        <w:rPr>
          <w:sz w:val="20"/>
          <w:szCs w:val="20"/>
          <w:color w:val="auto"/>
        </w:rPr>
      </w:pPr>
    </w:p>
    <w:p>
      <w:pPr>
        <w:jc w:val="right"/>
        <w:ind w:right="459"/>
        <w:spacing w:after="0"/>
        <w:rPr>
          <w:sz w:val="20"/>
          <w:szCs w:val="20"/>
          <w:color w:val="auto"/>
        </w:rPr>
      </w:pPr>
      <w:r>
        <w:rPr>
          <w:rFonts w:ascii="Arial" w:cs="Arial" w:eastAsia="Arial" w:hAnsi="Arial"/>
          <w:sz w:val="16"/>
          <w:szCs w:val="16"/>
          <w:color w:val="auto"/>
        </w:rPr>
        <w:t>111.2</w:t>
      </w:r>
    </w:p>
    <w:p>
      <w:pPr>
        <w:spacing w:after="0" w:line="100" w:lineRule="exact"/>
        <w:rPr>
          <w:sz w:val="20"/>
          <w:szCs w:val="20"/>
          <w:color w:val="auto"/>
        </w:rPr>
      </w:pPr>
    </w:p>
    <w:p>
      <w:pPr>
        <w:jc w:val="right"/>
        <w:ind w:right="419"/>
        <w:spacing w:after="0"/>
        <w:rPr>
          <w:sz w:val="20"/>
          <w:szCs w:val="20"/>
          <w:color w:val="auto"/>
        </w:rPr>
      </w:pPr>
      <w:r>
        <w:rPr>
          <w:rFonts w:ascii="Arial" w:cs="Arial" w:eastAsia="Arial" w:hAnsi="Arial"/>
          <w:sz w:val="16"/>
          <w:szCs w:val="16"/>
          <w:color w:val="auto"/>
        </w:rPr>
        <w:t>0.5</w:t>
      </w:r>
    </w:p>
    <w:p>
      <w:pPr>
        <w:spacing w:after="0" w:line="100" w:lineRule="exact"/>
        <w:rPr>
          <w:sz w:val="20"/>
          <w:szCs w:val="20"/>
          <w:color w:val="auto"/>
        </w:rPr>
      </w:pPr>
    </w:p>
    <w:p>
      <w:pPr>
        <w:jc w:val="right"/>
        <w:ind w:right="419"/>
        <w:spacing w:after="0"/>
        <w:rPr>
          <w:sz w:val="20"/>
          <w:szCs w:val="20"/>
          <w:color w:val="auto"/>
        </w:rPr>
      </w:pPr>
      <w:r>
        <w:rPr>
          <w:rFonts w:ascii="Arial" w:cs="Arial" w:eastAsia="Arial" w:hAnsi="Arial"/>
          <w:sz w:val="16"/>
          <w:szCs w:val="16"/>
          <w:color w:val="auto"/>
        </w:rPr>
        <w:t>7.4</w:t>
      </w:r>
    </w:p>
    <w:p>
      <w:pPr>
        <w:spacing w:after="0" w:line="100" w:lineRule="exact"/>
        <w:rPr>
          <w:sz w:val="20"/>
          <w:szCs w:val="20"/>
          <w:color w:val="auto"/>
        </w:rPr>
      </w:pPr>
    </w:p>
    <w:p>
      <w:pPr>
        <w:jc w:val="right"/>
        <w:ind w:right="419"/>
        <w:spacing w:after="0"/>
        <w:rPr>
          <w:sz w:val="20"/>
          <w:szCs w:val="20"/>
          <w:color w:val="auto"/>
        </w:rPr>
      </w:pPr>
      <w:r>
        <w:rPr>
          <w:rFonts w:ascii="Arial" w:cs="Arial" w:eastAsia="Arial" w:hAnsi="Arial"/>
          <w:sz w:val="16"/>
          <w:szCs w:val="16"/>
          <w:color w:val="auto"/>
        </w:rPr>
        <w:t>4.6</w:t>
      </w:r>
    </w:p>
    <w:p>
      <w:pPr>
        <w:spacing w:after="0" w:line="100" w:lineRule="exact"/>
        <w:rPr>
          <w:sz w:val="20"/>
          <w:szCs w:val="20"/>
          <w:color w:val="auto"/>
        </w:rPr>
      </w:pPr>
    </w:p>
    <w:p>
      <w:pPr>
        <w:jc w:val="right"/>
        <w:ind w:right="419"/>
        <w:spacing w:after="0"/>
        <w:rPr>
          <w:sz w:val="20"/>
          <w:szCs w:val="20"/>
          <w:color w:val="auto"/>
        </w:rPr>
      </w:pPr>
      <w:r>
        <w:rPr>
          <w:rFonts w:ascii="Arial" w:cs="Arial" w:eastAsia="Arial" w:hAnsi="Arial"/>
          <w:sz w:val="16"/>
          <w:szCs w:val="16"/>
          <w:color w:val="auto"/>
        </w:rPr>
        <w:t>6.3</w:t>
      </w:r>
    </w:p>
    <w:p>
      <w:pPr>
        <w:spacing w:after="0" w:line="100" w:lineRule="exact"/>
        <w:rPr>
          <w:sz w:val="20"/>
          <w:szCs w:val="20"/>
          <w:color w:val="auto"/>
        </w:rPr>
      </w:pPr>
    </w:p>
    <w:p>
      <w:pPr>
        <w:jc w:val="right"/>
        <w:ind w:right="419"/>
        <w:spacing w:after="0"/>
        <w:rPr>
          <w:sz w:val="20"/>
          <w:szCs w:val="20"/>
          <w:color w:val="auto"/>
        </w:rPr>
      </w:pPr>
      <w:r>
        <w:rPr>
          <w:rFonts w:ascii="Arial" w:cs="Arial" w:eastAsia="Arial" w:hAnsi="Arial"/>
          <w:sz w:val="16"/>
          <w:szCs w:val="16"/>
          <w:color w:val="auto"/>
        </w:rPr>
        <w:t>4.1</w:t>
      </w:r>
    </w:p>
    <w:p>
      <w:pPr>
        <w:spacing w:after="0" w:line="100" w:lineRule="exact"/>
        <w:rPr>
          <w:sz w:val="20"/>
          <w:szCs w:val="20"/>
          <w:color w:val="auto"/>
        </w:rPr>
      </w:pPr>
    </w:p>
    <w:p>
      <w:pPr>
        <w:ind w:left="186" w:hanging="186"/>
        <w:spacing w:after="0"/>
        <w:tabs>
          <w:tab w:leader="none" w:pos="186" w:val="left"/>
        </w:tabs>
        <w:numPr>
          <w:ilvl w:val="0"/>
          <w:numId w:val="60"/>
        </w:numPr>
        <w:rPr>
          <w:rFonts w:ascii="Arial" w:cs="Arial" w:eastAsia="Arial" w:hAnsi="Arial"/>
          <w:sz w:val="15"/>
          <w:szCs w:val="15"/>
          <w:color w:val="auto"/>
        </w:rPr>
      </w:pPr>
      <w:r>
        <w:rPr>
          <w:rFonts w:ascii="Arial" w:cs="Arial" w:eastAsia="Arial" w:hAnsi="Arial"/>
          <w:sz w:val="15"/>
          <w:szCs w:val="15"/>
          <w:color w:val="auto"/>
        </w:rPr>
        <w:t>(7.1)</w:t>
      </w:r>
    </w:p>
    <w:p>
      <w:pPr>
        <w:spacing w:after="0" w:line="97" w:lineRule="exact"/>
        <w:rPr>
          <w:rFonts w:ascii="Arial" w:cs="Arial" w:eastAsia="Arial" w:hAnsi="Arial"/>
          <w:sz w:val="15"/>
          <w:szCs w:val="15"/>
          <w:color w:val="auto"/>
        </w:rPr>
      </w:pPr>
    </w:p>
    <w:p>
      <w:pPr>
        <w:ind w:left="6"/>
        <w:spacing w:after="0"/>
        <w:rPr>
          <w:rFonts w:ascii="Arial" w:cs="Arial" w:eastAsia="Arial" w:hAnsi="Arial"/>
          <w:sz w:val="15"/>
          <w:szCs w:val="15"/>
          <w:color w:val="auto"/>
        </w:rPr>
      </w:pPr>
      <w:r>
        <w:rPr>
          <w:rFonts w:ascii="Arial" w:cs="Arial" w:eastAsia="Arial" w:hAnsi="Arial"/>
          <w:sz w:val="16"/>
          <w:szCs w:val="16"/>
          <w:b w:val="1"/>
          <w:bCs w:val="1"/>
          <w:color w:val="FFFFFF"/>
        </w:rPr>
        <w:t>346.2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-907415</wp:posOffset>
            </wp:positionH>
            <wp:positionV relativeFrom="paragraph">
              <wp:posOffset>-115570</wp:posOffset>
            </wp:positionV>
            <wp:extent cx="1277620" cy="1625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7620" cy="162560"/>
                    </a:xfrm>
                    <a:prstGeom prst="rect">
                      <a:avLst/>
                    </a:prstGeom>
                    <a:noFill/>
                  </pic:spPr>
                </pic:pic>
              </a:graphicData>
            </a:graphic>
          </wp:anchor>
        </w:drawing>
      </w:r>
    </w:p>
    <w:p>
      <w:pPr>
        <w:spacing w:after="0" w:line="215" w:lineRule="exact"/>
        <w:rPr>
          <w:sz w:val="20"/>
          <w:szCs w:val="20"/>
          <w:color w:val="auto"/>
        </w:rPr>
      </w:pPr>
    </w:p>
    <w:p>
      <w:pPr>
        <w:sectPr>
          <w:pgSz w:w="11900" w:h="16838" w:orient="portrait"/>
          <w:cols w:equalWidth="0" w:num="2">
            <w:col w:w="7414" w:space="720"/>
            <w:col w:w="885"/>
          </w:cols>
          <w:pgMar w:left="1440" w:top="114" w:right="1440" w:bottom="1440" w:gutter="0" w:footer="0" w:header="0"/>
          <w:type w:val="continuous"/>
        </w:sectPr>
      </w:pPr>
    </w:p>
    <w:p>
      <w:pPr>
        <w:spacing w:after="0" w:line="23" w:lineRule="exact"/>
        <w:rPr>
          <w:sz w:val="20"/>
          <w:szCs w:val="20"/>
          <w:color w:val="auto"/>
        </w:rPr>
      </w:pPr>
    </w:p>
    <w:p>
      <w:pPr>
        <w:ind w:left="580" w:right="299" w:hanging="288"/>
        <w:spacing w:after="0" w:line="204" w:lineRule="auto"/>
        <w:tabs>
          <w:tab w:leader="none" w:pos="580" w:val="left"/>
        </w:tabs>
        <w:numPr>
          <w:ilvl w:val="0"/>
          <w:numId w:val="61"/>
        </w:numPr>
        <w:rPr>
          <w:rFonts w:ascii="Arial" w:cs="Arial" w:eastAsia="Arial" w:hAnsi="Arial"/>
          <w:sz w:val="22"/>
          <w:szCs w:val="22"/>
          <w:color w:val="auto"/>
          <w:vertAlign w:val="superscript"/>
        </w:rPr>
      </w:pPr>
      <w:r>
        <w:rPr>
          <w:rFonts w:ascii="Arial" w:cs="Arial" w:eastAsia="Arial" w:hAnsi="Arial"/>
          <w:sz w:val="14"/>
          <w:szCs w:val="14"/>
          <w:color w:val="auto"/>
        </w:rPr>
        <w:t>Reflects the recognition of incremental Italian payback accruals resulting from the two July 22, 2024 rulings by the Constitutional Court of Italy relating to certain prior years since 2015 recorded in Revenues.</w:t>
      </w:r>
    </w:p>
    <w:p>
      <w:pPr>
        <w:spacing w:after="0" w:line="26" w:lineRule="exact"/>
        <w:rPr>
          <w:rFonts w:ascii="Arial" w:cs="Arial" w:eastAsia="Arial" w:hAnsi="Arial"/>
          <w:sz w:val="22"/>
          <w:szCs w:val="22"/>
          <w:color w:val="auto"/>
          <w:vertAlign w:val="superscript"/>
        </w:rPr>
      </w:pPr>
    </w:p>
    <w:p>
      <w:pPr>
        <w:ind w:left="580" w:right="919" w:hanging="288"/>
        <w:spacing w:after="0" w:line="204" w:lineRule="auto"/>
        <w:tabs>
          <w:tab w:leader="none" w:pos="580" w:val="left"/>
        </w:tabs>
        <w:numPr>
          <w:ilvl w:val="0"/>
          <w:numId w:val="61"/>
        </w:numPr>
        <w:rPr>
          <w:rFonts w:ascii="Arial" w:cs="Arial" w:eastAsia="Arial" w:hAnsi="Arial"/>
          <w:sz w:val="22"/>
          <w:szCs w:val="22"/>
          <w:color w:val="auto"/>
          <w:vertAlign w:val="superscript"/>
        </w:rPr>
      </w:pPr>
      <w:r>
        <w:rPr>
          <w:rFonts w:ascii="Arial" w:cs="Arial" w:eastAsia="Arial" w:hAnsi="Arial"/>
          <w:sz w:val="14"/>
          <w:szCs w:val="14"/>
          <w:color w:val="auto"/>
        </w:rPr>
        <w:t>Represents impact of fluctuations in foreign exchange rates from the setting of the Bonus Plan targets to actual foreign exchange rates during the 12 months ended September 30, 2024.</w:t>
      </w:r>
    </w:p>
    <w:p>
      <w:pPr>
        <w:spacing w:after="0" w:line="26" w:lineRule="exact"/>
        <w:rPr>
          <w:rFonts w:ascii="Arial" w:cs="Arial" w:eastAsia="Arial" w:hAnsi="Arial"/>
          <w:sz w:val="22"/>
          <w:szCs w:val="22"/>
          <w:color w:val="auto"/>
          <w:vertAlign w:val="superscript"/>
        </w:rPr>
      </w:pPr>
    </w:p>
    <w:p>
      <w:pPr>
        <w:ind w:left="580" w:right="479" w:hanging="288"/>
        <w:spacing w:after="0" w:line="204" w:lineRule="auto"/>
        <w:tabs>
          <w:tab w:leader="none" w:pos="580" w:val="left"/>
        </w:tabs>
        <w:numPr>
          <w:ilvl w:val="0"/>
          <w:numId w:val="61"/>
        </w:numPr>
        <w:rPr>
          <w:rFonts w:ascii="Arial" w:cs="Arial" w:eastAsia="Arial" w:hAnsi="Arial"/>
          <w:sz w:val="22"/>
          <w:szCs w:val="22"/>
          <w:color w:val="auto"/>
          <w:vertAlign w:val="superscript"/>
        </w:rPr>
      </w:pPr>
      <w:r>
        <w:rPr>
          <w:rFonts w:ascii="Arial" w:cs="Arial" w:eastAsia="Arial" w:hAnsi="Arial"/>
          <w:sz w:val="14"/>
          <w:szCs w:val="14"/>
          <w:color w:val="auto"/>
        </w:rPr>
        <w:t>This adjustment excludes the impact of fluctuations in foreign currency exchange rates by comparing results between periods as if exchange rates had remained constant period-over-period since October 1, 2022.</w:t>
      </w:r>
    </w:p>
    <w:p>
      <w:pPr>
        <w:spacing w:after="0" w:line="26" w:lineRule="exact"/>
        <w:rPr>
          <w:rFonts w:ascii="Arial" w:cs="Arial" w:eastAsia="Arial" w:hAnsi="Arial"/>
          <w:sz w:val="22"/>
          <w:szCs w:val="22"/>
          <w:color w:val="auto"/>
          <w:vertAlign w:val="superscript"/>
        </w:rPr>
      </w:pPr>
    </w:p>
    <w:p>
      <w:pPr>
        <w:ind w:left="580" w:right="359" w:hanging="288"/>
        <w:spacing w:after="0" w:line="224" w:lineRule="auto"/>
        <w:tabs>
          <w:tab w:leader="none" w:pos="580" w:val="left"/>
        </w:tabs>
        <w:numPr>
          <w:ilvl w:val="0"/>
          <w:numId w:val="61"/>
        </w:numPr>
        <w:rPr>
          <w:rFonts w:ascii="Arial" w:cs="Arial" w:eastAsia="Arial" w:hAnsi="Arial"/>
          <w:sz w:val="22"/>
          <w:szCs w:val="22"/>
          <w:color w:val="auto"/>
          <w:vertAlign w:val="superscript"/>
        </w:rPr>
      </w:pPr>
      <w:r>
        <w:rPr>
          <w:rFonts w:ascii="Arial" w:cs="Arial" w:eastAsia="Arial" w:hAnsi="Arial"/>
          <w:sz w:val="14"/>
          <w:szCs w:val="14"/>
          <w:color w:val="auto"/>
        </w:rPr>
        <w:t>We have excluded revenues derived from contract manufacturing to exclude the transient impact of the manufacturing and sale of non-diabetes products to BD, in order to better reflect Embecta’s core injection business and provide a more accurate year over year measure. We believe that this measure reflects Embecta’s ability to innovate and compete in the global marketplace over a multi-year period. Due to the Separation date of April 1, 2022, our 2022 results include pre-Separation revenue for which there was no contract manufacturing revenues to be excluded.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123825</wp:posOffset>
            </wp:positionV>
            <wp:extent cx="699516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86" w:name="page87"/>
    <w:bookmarkEnd w:id="8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jc w:val="right"/>
        <w:ind w:right="299"/>
        <w:spacing w:after="0"/>
        <w:rPr>
          <w:sz w:val="20"/>
          <w:szCs w:val="20"/>
          <w:color w:val="auto"/>
        </w:rPr>
      </w:pPr>
      <w:r>
        <w:rPr>
          <w:rFonts w:ascii="Arial" w:cs="Arial" w:eastAsia="Arial" w:hAnsi="Arial"/>
          <w:sz w:val="16"/>
          <w:szCs w:val="16"/>
          <w:color w:val="342C82"/>
        </w:rPr>
        <w:t>Appendix A: Reconciliation of non-GAAP financial measures</w:t>
      </w:r>
    </w:p>
    <w:p>
      <w:pPr>
        <w:spacing w:after="0" w:line="104" w:lineRule="exact"/>
        <w:rPr>
          <w:sz w:val="20"/>
          <w:szCs w:val="20"/>
          <w:color w:val="auto"/>
        </w:rPr>
      </w:pPr>
    </w:p>
    <w:p>
      <w:pPr>
        <w:jc w:val="both"/>
        <w:ind w:left="580" w:right="399" w:hanging="288"/>
        <w:spacing w:after="0" w:line="214" w:lineRule="auto"/>
        <w:tabs>
          <w:tab w:leader="none" w:pos="580" w:val="left"/>
        </w:tabs>
        <w:numPr>
          <w:ilvl w:val="0"/>
          <w:numId w:val="62"/>
        </w:numPr>
        <w:rPr>
          <w:rFonts w:ascii="Arial" w:cs="Arial" w:eastAsia="Arial" w:hAnsi="Arial"/>
          <w:sz w:val="22"/>
          <w:szCs w:val="22"/>
          <w:color w:val="auto"/>
          <w:vertAlign w:val="superscript"/>
        </w:rPr>
      </w:pPr>
      <w:r>
        <w:rPr>
          <w:rFonts w:ascii="Arial" w:cs="Arial" w:eastAsia="Arial" w:hAnsi="Arial"/>
          <w:sz w:val="14"/>
          <w:szCs w:val="14"/>
          <w:color w:val="auto"/>
        </w:rPr>
        <w:t>Represents stock-based compensation expense incurred during the 12 months ended September 30, 2024. For the 12 months ended September 30, 2024, $21.4 million is recorded in Selling and administrative expense, $3.0 million is recorded in Cost of products sold, and $2.2 million is recorded in Research and development expense.</w:t>
      </w:r>
    </w:p>
    <w:p>
      <w:pPr>
        <w:spacing w:after="0" w:line="27" w:lineRule="exact"/>
        <w:rPr>
          <w:rFonts w:ascii="Arial" w:cs="Arial" w:eastAsia="Arial" w:hAnsi="Arial"/>
          <w:sz w:val="22"/>
          <w:szCs w:val="22"/>
          <w:color w:val="auto"/>
          <w:vertAlign w:val="superscript"/>
        </w:rPr>
      </w:pPr>
    </w:p>
    <w:p>
      <w:pPr>
        <w:ind w:left="580" w:right="399" w:hanging="288"/>
        <w:spacing w:after="0" w:line="224" w:lineRule="auto"/>
        <w:tabs>
          <w:tab w:leader="none" w:pos="580" w:val="left"/>
        </w:tabs>
        <w:numPr>
          <w:ilvl w:val="0"/>
          <w:numId w:val="62"/>
        </w:numPr>
        <w:rPr>
          <w:rFonts w:ascii="Arial" w:cs="Arial" w:eastAsia="Arial" w:hAnsi="Arial"/>
          <w:sz w:val="22"/>
          <w:szCs w:val="22"/>
          <w:color w:val="auto"/>
          <w:vertAlign w:val="superscript"/>
        </w:rPr>
      </w:pPr>
      <w:r>
        <w:rPr>
          <w:rFonts w:ascii="Arial" w:cs="Arial" w:eastAsia="Arial" w:hAnsi="Arial"/>
          <w:sz w:val="14"/>
          <w:szCs w:val="14"/>
          <w:color w:val="auto"/>
        </w:rPr>
        <w:t>One-time stand-up costs incurred primarily include: (i) product registration and labeling costs; (ii) warehousing and distribution set-up costs; (iii) legal costs associated with patents and trademark work; (iv) temporary headcount resources within accounting, tax, finance, human resources, regulatory and IT; and (v) one-time business integration and IT related costs primarily associated with our global ERP implementation. For the twelve months ended September 30, 2024, approximately $109.9 million and $1.3 million are recorded in Other operating expenses and Selling and administrative expense, respectively.</w:t>
      </w:r>
    </w:p>
    <w:p>
      <w:pPr>
        <w:spacing w:after="0" w:line="26" w:lineRule="exact"/>
        <w:rPr>
          <w:rFonts w:ascii="Arial" w:cs="Arial" w:eastAsia="Arial" w:hAnsi="Arial"/>
          <w:sz w:val="22"/>
          <w:szCs w:val="22"/>
          <w:color w:val="auto"/>
          <w:vertAlign w:val="superscript"/>
        </w:rPr>
      </w:pPr>
    </w:p>
    <w:p>
      <w:pPr>
        <w:ind w:left="580" w:right="439" w:hanging="288"/>
        <w:spacing w:after="0" w:line="220" w:lineRule="auto"/>
        <w:tabs>
          <w:tab w:leader="none" w:pos="580" w:val="left"/>
        </w:tabs>
        <w:numPr>
          <w:ilvl w:val="0"/>
          <w:numId w:val="62"/>
        </w:numPr>
        <w:rPr>
          <w:rFonts w:ascii="Arial" w:cs="Arial" w:eastAsia="Arial" w:hAnsi="Arial"/>
          <w:sz w:val="22"/>
          <w:szCs w:val="22"/>
          <w:color w:val="auto"/>
          <w:vertAlign w:val="superscript"/>
        </w:rPr>
      </w:pPr>
      <w:r>
        <w:rPr>
          <w:rFonts w:ascii="Arial" w:cs="Arial" w:eastAsia="Arial" w:hAnsi="Arial"/>
          <w:sz w:val="14"/>
          <w:szCs w:val="14"/>
          <w:color w:val="auto"/>
        </w:rPr>
        <w:t>Represents costs required to develop processes and systems to comply with regulations such as the European Union Medical Device Regulation and General Data Protection Regulation which represent a significant, unusual change to the existing regulatory framework. We consider these costs to be duplicative of previously incurred costs and/or one-off costs, which are limited to a specific period of time. These costs were recorded in Research and development expense.</w:t>
      </w:r>
    </w:p>
    <w:p>
      <w:pPr>
        <w:spacing w:after="0" w:line="27" w:lineRule="exact"/>
        <w:rPr>
          <w:rFonts w:ascii="Arial" w:cs="Arial" w:eastAsia="Arial" w:hAnsi="Arial"/>
          <w:sz w:val="22"/>
          <w:szCs w:val="22"/>
          <w:color w:val="auto"/>
          <w:vertAlign w:val="superscript"/>
        </w:rPr>
      </w:pPr>
    </w:p>
    <w:p>
      <w:pPr>
        <w:ind w:left="580" w:right="419" w:hanging="288"/>
        <w:spacing w:after="0" w:line="204" w:lineRule="auto"/>
        <w:tabs>
          <w:tab w:leader="none" w:pos="580" w:val="left"/>
        </w:tabs>
        <w:numPr>
          <w:ilvl w:val="0"/>
          <w:numId w:val="62"/>
        </w:numPr>
        <w:rPr>
          <w:rFonts w:ascii="Arial" w:cs="Arial" w:eastAsia="Arial" w:hAnsi="Arial"/>
          <w:sz w:val="22"/>
          <w:szCs w:val="22"/>
          <w:color w:val="auto"/>
          <w:vertAlign w:val="superscript"/>
        </w:rPr>
      </w:pPr>
      <w:r>
        <w:rPr>
          <w:rFonts w:ascii="Arial" w:cs="Arial" w:eastAsia="Arial" w:hAnsi="Arial"/>
          <w:sz w:val="14"/>
          <w:szCs w:val="14"/>
          <w:color w:val="auto"/>
        </w:rPr>
        <w:t>Represents business optimization and severance related costs associated with standing up the organization recorded in Other operating expenses.</w:t>
      </w:r>
    </w:p>
    <w:p>
      <w:pPr>
        <w:spacing w:after="0" w:line="26" w:lineRule="exact"/>
        <w:rPr>
          <w:rFonts w:ascii="Arial" w:cs="Arial" w:eastAsia="Arial" w:hAnsi="Arial"/>
          <w:sz w:val="22"/>
          <w:szCs w:val="22"/>
          <w:color w:val="auto"/>
          <w:vertAlign w:val="superscript"/>
        </w:rPr>
      </w:pPr>
    </w:p>
    <w:p>
      <w:pPr>
        <w:ind w:left="580" w:right="519" w:hanging="288"/>
        <w:spacing w:after="0" w:line="204" w:lineRule="auto"/>
        <w:tabs>
          <w:tab w:leader="none" w:pos="580" w:val="left"/>
        </w:tabs>
        <w:numPr>
          <w:ilvl w:val="0"/>
          <w:numId w:val="62"/>
        </w:numPr>
        <w:rPr>
          <w:rFonts w:ascii="Arial" w:cs="Arial" w:eastAsia="Arial" w:hAnsi="Arial"/>
          <w:sz w:val="22"/>
          <w:szCs w:val="22"/>
          <w:color w:val="auto"/>
          <w:vertAlign w:val="superscript"/>
        </w:rPr>
      </w:pPr>
      <w:r>
        <w:rPr>
          <w:rFonts w:ascii="Arial" w:cs="Arial" w:eastAsia="Arial" w:hAnsi="Arial"/>
          <w:sz w:val="14"/>
          <w:szCs w:val="14"/>
          <w:color w:val="auto"/>
        </w:rPr>
        <w:t>Represents amounts due to BD for tax liabilities incurred in deferred closing jurisdictions where BD is considered the primary obligor.</w:t>
      </w:r>
    </w:p>
    <w:p>
      <w:pPr>
        <w:spacing w:after="0" w:line="26" w:lineRule="exact"/>
        <w:rPr>
          <w:rFonts w:ascii="Arial" w:cs="Arial" w:eastAsia="Arial" w:hAnsi="Arial"/>
          <w:sz w:val="22"/>
          <w:szCs w:val="22"/>
          <w:color w:val="auto"/>
          <w:vertAlign w:val="superscript"/>
        </w:rPr>
      </w:pPr>
    </w:p>
    <w:p>
      <w:pPr>
        <w:ind w:left="580" w:right="499" w:hanging="288"/>
        <w:spacing w:after="0" w:line="204" w:lineRule="auto"/>
        <w:tabs>
          <w:tab w:leader="none" w:pos="580" w:val="left"/>
        </w:tabs>
        <w:numPr>
          <w:ilvl w:val="0"/>
          <w:numId w:val="62"/>
        </w:numPr>
        <w:rPr>
          <w:rFonts w:ascii="Arial" w:cs="Arial" w:eastAsia="Arial" w:hAnsi="Arial"/>
          <w:sz w:val="22"/>
          <w:szCs w:val="22"/>
          <w:color w:val="auto"/>
          <w:vertAlign w:val="superscript"/>
        </w:rPr>
      </w:pPr>
      <w:r>
        <w:rPr>
          <w:rFonts w:ascii="Arial" w:cs="Arial" w:eastAsia="Arial" w:hAnsi="Arial"/>
          <w:sz w:val="14"/>
          <w:szCs w:val="14"/>
          <w:color w:val="auto"/>
        </w:rPr>
        <w:t>Represents amortization of implementation costs associated with cloud computing arrangements recorded in Other operating expenses.</w:t>
      </w:r>
    </w:p>
    <w:p>
      <w:pPr>
        <w:spacing w:after="0" w:line="26" w:lineRule="exact"/>
        <w:rPr>
          <w:rFonts w:ascii="Arial" w:cs="Arial" w:eastAsia="Arial" w:hAnsi="Arial"/>
          <w:sz w:val="22"/>
          <w:szCs w:val="22"/>
          <w:color w:val="auto"/>
          <w:vertAlign w:val="superscript"/>
        </w:rPr>
      </w:pPr>
    </w:p>
    <w:p>
      <w:pPr>
        <w:ind w:left="580" w:right="359" w:hanging="288"/>
        <w:spacing w:after="0" w:line="220" w:lineRule="auto"/>
        <w:tabs>
          <w:tab w:leader="none" w:pos="580" w:val="left"/>
        </w:tabs>
        <w:numPr>
          <w:ilvl w:val="0"/>
          <w:numId w:val="62"/>
        </w:numPr>
        <w:rPr>
          <w:rFonts w:ascii="Arial" w:cs="Arial" w:eastAsia="Arial" w:hAnsi="Arial"/>
          <w:sz w:val="22"/>
          <w:szCs w:val="22"/>
          <w:color w:val="auto"/>
          <w:vertAlign w:val="superscript"/>
        </w:rPr>
      </w:pPr>
      <w:r>
        <w:rPr>
          <w:rFonts w:ascii="Arial" w:cs="Arial" w:eastAsia="Arial" w:hAnsi="Arial"/>
          <w:sz w:val="14"/>
          <w:szCs w:val="14"/>
          <w:color w:val="auto"/>
        </w:rPr>
        <w:t>Represents impact of fluctuations in foreign exchange rates from the setting of the Bonus Plan targets to actual foreign exchange rates during the 12 months ended September 30, 2024. The impact of fluctuations in foreign exchange rates are not presented as an adjustment to arrive at Adjusted EBITDA reported in our earnings release for the quarter and fiscal year ended September 30, 2024 furnished with the SEC on November 26, 2024.</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123825</wp:posOffset>
            </wp:positionV>
            <wp:extent cx="699516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7" w:name="page88"/>
    <w:bookmarkEnd w:id="8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1462405</wp:posOffset>
            </wp:positionH>
            <wp:positionV relativeFrom="paragraph">
              <wp:posOffset>102870</wp:posOffset>
            </wp:positionV>
            <wp:extent cx="2794635" cy="113157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794635" cy="1131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300 Kimball Drive, Ste 300, Parsippany, New Jersey 07054</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201-847-6880</w:t>
      </w:r>
    </w:p>
    <w:p>
      <w:pPr>
        <w:spacing w:after="0" w:line="228" w:lineRule="exact"/>
        <w:rPr>
          <w:sz w:val="20"/>
          <w:szCs w:val="20"/>
          <w:color w:val="auto"/>
        </w:rPr>
      </w:pPr>
    </w:p>
    <w:p>
      <w:pPr>
        <w:ind w:left="300"/>
        <w:spacing w:after="0"/>
        <w:rPr>
          <w:sz w:val="20"/>
          <w:szCs w:val="20"/>
          <w:color w:val="auto"/>
        </w:rPr>
      </w:pPr>
      <w:r>
        <w:rPr>
          <w:rFonts w:ascii="Arial" w:cs="Arial" w:eastAsia="Arial" w:hAnsi="Arial"/>
          <w:sz w:val="29"/>
          <w:szCs w:val="29"/>
          <w:color w:val="auto"/>
        </w:rPr>
        <w:t>Embecta.com</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Embecta and the Embecta logo are trademarks of Embecta Corp.</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All other trademarks are the property of their respective owners. ©2024 Embecta. 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113665</wp:posOffset>
            </wp:positionV>
            <wp:extent cx="699516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102870</wp:posOffset>
            </wp:positionV>
            <wp:extent cx="6292215" cy="814387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123825</wp:posOffset>
            </wp:positionV>
            <wp:extent cx="699516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102870</wp:posOffset>
            </wp:positionV>
            <wp:extent cx="6292215" cy="814387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 </w:t>
      </w:r>
    </w:p>
    <w:sectPr>
      <w:pgSz w:w="11900" w:h="16838" w:orient="portrait"/>
      <w:cols w:equalWidth="0" w:num="1">
        <w:col w:w="10039"/>
      </w:cols>
      <w:pgMar w:left="420" w:top="1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lvl w:ilvl="1">
      <w:lvlJc w:val="left"/>
      <w:lvlText w:val="☐"/>
      <w:numFmt w:val="bullet"/>
      <w:start w:val="1"/>
    </w:lvl>
  </w:abstractNum>
  <w:abstractNum w:abstractNumId="1">
    <w:nsid w:val="6CEAF087"/>
    <w:multiLevelType w:val="hybridMultilevel"/>
    <w:lvl w:ilvl="0">
      <w:lvlJc w:val="left"/>
      <w:lvlText w:val="☑"/>
      <w:numFmt w:val="bullet"/>
      <w:start w:val="1"/>
    </w:lvl>
    <w:lvl w:ilvl="1">
      <w:lvlJc w:val="left"/>
      <w:lvlText w:val="☐"/>
      <w:numFmt w:val="bullet"/>
      <w:start w:val="1"/>
    </w:lvl>
  </w:abstractNum>
  <w:abstractNum w:abstractNumId="2">
    <w:nsid w:val="22221A70"/>
    <w:multiLevelType w:val="hybridMultilevel"/>
    <w:lvl w:ilvl="0">
      <w:lvlJc w:val="left"/>
      <w:lvlText w:val="%1."/>
      <w:numFmt w:val="decimal"/>
      <w:start w:val="1"/>
    </w:lvl>
  </w:abstractNum>
  <w:abstractNum w:abstractNumId="3">
    <w:nsid w:val="4516DDE9"/>
    <w:multiLevelType w:val="hybridMultilevel"/>
    <w:lvl w:ilvl="0">
      <w:lvlJc w:val="left"/>
      <w:lvlText w:val="%1."/>
      <w:numFmt w:val="decimal"/>
      <w:start w:val="1"/>
    </w:lvl>
  </w:abstractNum>
  <w:abstractNum w:abstractNumId="4">
    <w:nsid w:val="3006C83E"/>
    <w:multiLevelType w:val="hybridMultilevel"/>
    <w:lvl w:ilvl="0">
      <w:lvlJc w:val="left"/>
      <w:lvlText w:val="1"/>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2"/>
      <w:numFmt w:val="bullet"/>
      <w:start w:val="1"/>
    </w:lvl>
  </w:abstractNum>
  <w:abstractNum w:abstractNumId="7">
    <w:nsid w:val="5577F8E1"/>
    <w:multiLevelType w:val="hybridMultilevel"/>
    <w:lvl w:ilvl="0">
      <w:lvlJc w:val="left"/>
      <w:lvlText w:val="3"/>
      <w:numFmt w:val="bullet"/>
      <w:start w:val="1"/>
    </w:lvl>
  </w:abstractNum>
  <w:abstractNum w:abstractNumId="8">
    <w:nsid w:val="440BADFC"/>
    <w:multiLevelType w:val="hybridMultilevel"/>
    <w:lvl w:ilvl="0">
      <w:lvlJc w:val="left"/>
      <w:lvlText w:val="&amp;"/>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1)"/>
      <w:numFmt w:val="lowerRoman"/>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1)"/>
      <w:numFmt w:val="decimal"/>
      <w:start w:val="1"/>
    </w:lvl>
  </w:abstractNum>
  <w:abstractNum w:abstractNumId="14">
    <w:nsid w:val="2463B9EA"/>
    <w:multiLevelType w:val="hybridMultilevel"/>
    <w:lvl w:ilvl="0">
      <w:lvlJc w:val="left"/>
      <w:lvlText w:val=" "/>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
      <w:numFmt w:val="bullet"/>
      <w:start w:val="1"/>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
      <w:numFmt w:val="bullet"/>
      <w:start w:val="1"/>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
      <w:numFmt w:val="bullet"/>
      <w:start w:val="1"/>
    </w:lvl>
    <w:lvl w:ilvl="1">
      <w:lvlJc w:val="left"/>
      <w:lvlText w:val="•"/>
      <w:numFmt w:val="bullet"/>
      <w:start w:val="1"/>
    </w:lvl>
  </w:abstractNum>
  <w:abstractNum w:abstractNumId="30">
    <w:nsid w:val="542289EC"/>
    <w:multiLevelType w:val="hybridMultilevel"/>
    <w:lvl w:ilvl="0">
      <w:lvlJc w:val="left"/>
      <w:lvlText w:val="*"/>
      <w:numFmt w:val="bullet"/>
      <w:start w:val="1"/>
    </w:lvl>
  </w:abstractNum>
  <w:abstractNum w:abstractNumId="31">
    <w:nsid w:val="6DE91B18"/>
    <w:multiLevelType w:val="hybridMultilevel"/>
    <w:lvl w:ilvl="0">
      <w:lvlJc w:val="left"/>
      <w:lvlText w:val="•"/>
      <w:numFmt w:val="bullet"/>
      <w:start w:val="1"/>
    </w:lvl>
  </w:abstractNum>
  <w:abstractNum w:abstractNumId="32">
    <w:nsid w:val="38437FDB"/>
    <w:multiLevelType w:val="hybridMultilevel"/>
    <w:lvl w:ilvl="0">
      <w:lvlJc w:val="left"/>
      <w:lvlText w:val="(%1)"/>
      <w:numFmt w:val="lowerRoman"/>
      <w:start w:val="2"/>
    </w:lvl>
  </w:abstractNum>
  <w:abstractNum w:abstractNumId="33">
    <w:nsid w:val="7644A45C"/>
    <w:multiLevelType w:val="hybridMultilevel"/>
    <w:lvl w:ilvl="0">
      <w:lvlJc w:val="left"/>
      <w:lvlText w:val="(%1)"/>
      <w:numFmt w:val="lowerRoman"/>
      <w:start w:val="4"/>
    </w:lvl>
  </w:abstractNum>
  <w:abstractNum w:abstractNumId="34">
    <w:nsid w:val="32FFF902"/>
    <w:multiLevelType w:val="hybridMultilevel"/>
    <w:lvl w:ilvl="0">
      <w:lvlJc w:val="left"/>
      <w:lvlText w:val="•"/>
      <w:numFmt w:val="bullet"/>
      <w:start w:val="1"/>
    </w:lvl>
  </w:abstractNum>
  <w:abstractNum w:abstractNumId="35">
    <w:nsid w:val="684A481A"/>
    <w:multiLevelType w:val="hybridMultilevel"/>
    <w:lvl w:ilvl="0">
      <w:lvlJc w:val="left"/>
      <w:lvlText w:val="(%1)"/>
      <w:numFmt w:val="decimal"/>
      <w:start w:val="1"/>
    </w:lvl>
  </w:abstractNum>
  <w:abstractNum w:abstractNumId="36">
    <w:nsid w:val="579478FE"/>
    <w:multiLevelType w:val="hybridMultilevel"/>
    <w:lvl w:ilvl="0">
      <w:lvlJc w:val="left"/>
      <w:lvlText w:val="(%1)"/>
      <w:numFmt w:val="decimal"/>
      <w:start w:val="4"/>
    </w:lvl>
  </w:abstractNum>
  <w:abstractNum w:abstractNumId="37">
    <w:nsid w:val="749ABB43"/>
    <w:multiLevelType w:val="hybridMultilevel"/>
    <w:lvl w:ilvl="0">
      <w:lvlJc w:val="left"/>
      <w:lvlText w:val="(%1)"/>
      <w:numFmt w:val="decimal"/>
      <w:start w:val="4"/>
    </w:lvl>
    <w:lvl w:ilvl="1">
      <w:lvlJc w:val="left"/>
      <w:lvlText w:val="•"/>
      <w:numFmt w:val="bullet"/>
      <w:start w:val="1"/>
    </w:lvl>
  </w:abstractNum>
  <w:abstractNum w:abstractNumId="38">
    <w:nsid w:val="3DC240FB"/>
    <w:multiLevelType w:val="hybridMultilevel"/>
    <w:lvl w:ilvl="0">
      <w:lvlJc w:val="left"/>
      <w:lvlText w:val="(%1)"/>
      <w:numFmt w:val="decimal"/>
      <w:start w:val="1"/>
    </w:lvl>
  </w:abstractNum>
  <w:abstractNum w:abstractNumId="39">
    <w:nsid w:val="1BA026FA"/>
    <w:multiLevelType w:val="hybridMultilevel"/>
    <w:lvl w:ilvl="0">
      <w:lvlJc w:val="left"/>
      <w:lvlText w:val="(%1)"/>
      <w:numFmt w:val="decimal"/>
      <w:start w:val="1"/>
    </w:lvl>
  </w:abstractNum>
  <w:abstractNum w:abstractNumId="40">
    <w:nsid w:val="79A1DEAA"/>
    <w:multiLevelType w:val="hybridMultilevel"/>
    <w:lvl w:ilvl="0">
      <w:lvlJc w:val="left"/>
      <w:lvlText w:val="(%1)"/>
      <w:numFmt w:val="decimal"/>
      <w:start w:val="2"/>
    </w:lvl>
  </w:abstractNum>
  <w:abstractNum w:abstractNumId="41">
    <w:nsid w:val="75C6C33A"/>
    <w:multiLevelType w:val="hybridMultilevel"/>
    <w:lvl w:ilvl="0">
      <w:lvlJc w:val="left"/>
      <w:lvlText w:val="(%1)"/>
      <w:numFmt w:val="decimal"/>
      <w:start w:val="1"/>
    </w:lvl>
  </w:abstractNum>
  <w:abstractNum w:abstractNumId="42">
    <w:nsid w:val="12E685FB"/>
    <w:multiLevelType w:val="hybridMultilevel"/>
    <w:lvl w:ilvl="0">
      <w:lvlJc w:val="left"/>
      <w:lvlText w:val="(%1)"/>
      <w:numFmt w:val="decimal"/>
      <w:start w:val="1"/>
    </w:lvl>
  </w:abstractNum>
  <w:abstractNum w:abstractNumId="43">
    <w:nsid w:val="70C6A529"/>
    <w:multiLevelType w:val="hybridMultilevel"/>
    <w:lvl w:ilvl="0">
      <w:lvlJc w:val="left"/>
      <w:lvlText w:val="(%1)"/>
      <w:numFmt w:val="decimal"/>
      <w:start w:val="1"/>
    </w:lvl>
  </w:abstractNum>
  <w:abstractNum w:abstractNumId="44">
    <w:nsid w:val="520EEDD1"/>
    <w:multiLevelType w:val="hybridMultilevel"/>
    <w:lvl w:ilvl="0">
      <w:lvlJc w:val="left"/>
      <w:lvlText w:val="(%1)"/>
      <w:numFmt w:val="decimal"/>
      <w:start w:val="1"/>
    </w:lvl>
  </w:abstractNum>
  <w:abstractNum w:abstractNumId="45">
    <w:nsid w:val="374A3FE6"/>
    <w:multiLevelType w:val="hybridMultilevel"/>
    <w:lvl w:ilvl="0">
      <w:lvlJc w:val="left"/>
      <w:lvlText w:val="(%1)"/>
      <w:numFmt w:val="decimal"/>
      <w:start w:val="3"/>
    </w:lvl>
  </w:abstractNum>
  <w:abstractNum w:abstractNumId="46">
    <w:nsid w:val="4F4EF005"/>
    <w:multiLevelType w:val="hybridMultilevel"/>
    <w:lvl w:ilvl="0">
      <w:lvlJc w:val="left"/>
      <w:lvlText w:val="(%1)"/>
      <w:numFmt w:val="decimal"/>
      <w:start w:val="4"/>
    </w:lvl>
  </w:abstractNum>
  <w:abstractNum w:abstractNumId="47">
    <w:nsid w:val="23F9C13C"/>
    <w:multiLevelType w:val="hybridMultilevel"/>
    <w:lvl w:ilvl="0">
      <w:lvlJc w:val="left"/>
      <w:lvlText w:val="%1."/>
      <w:numFmt w:val="decimal"/>
      <w:start w:val="1"/>
    </w:lvl>
  </w:abstractNum>
  <w:abstractNum w:abstractNumId="48">
    <w:nsid w:val="649BB77C"/>
    <w:multiLevelType w:val="hybridMultilevel"/>
    <w:lvl w:ilvl="0">
      <w:lvlJc w:val="left"/>
      <w:lvlText w:val="%1."/>
      <w:numFmt w:val="decimal"/>
      <w:start w:val="2"/>
    </w:lvl>
  </w:abstractNum>
  <w:abstractNum w:abstractNumId="49">
    <w:nsid w:val="275AC794"/>
    <w:multiLevelType w:val="hybridMultilevel"/>
    <w:lvl w:ilvl="0">
      <w:lvlJc w:val="left"/>
      <w:lvlText w:val="%1."/>
      <w:numFmt w:val="decimal"/>
      <w:start w:val="3"/>
    </w:lvl>
  </w:abstractNum>
  <w:abstractNum w:abstractNumId="50">
    <w:nsid w:val="39386575"/>
    <w:multiLevelType w:val="hybridMultilevel"/>
    <w:lvl w:ilvl="0">
      <w:lvlJc w:val="left"/>
      <w:lvlText w:val="%1."/>
      <w:numFmt w:val="decimal"/>
      <w:start w:val="4"/>
    </w:lvl>
  </w:abstractNum>
  <w:abstractNum w:abstractNumId="51">
    <w:nsid w:val="1CF10FD8"/>
    <w:multiLevelType w:val="hybridMultilevel"/>
    <w:lvl w:ilvl="0">
      <w:lvlJc w:val="left"/>
      <w:lvlText w:val="*"/>
      <w:numFmt w:val="bullet"/>
      <w:start w:val="1"/>
    </w:lvl>
  </w:abstractNum>
  <w:abstractNum w:abstractNumId="52">
    <w:nsid w:val="180115BE"/>
    <w:multiLevelType w:val="hybridMultilevel"/>
    <w:lvl w:ilvl="0">
      <w:lvlJc w:val="left"/>
      <w:lvlText w:val="(%1)"/>
      <w:numFmt w:val="decimal"/>
      <w:start w:val="1"/>
    </w:lvl>
  </w:abstractNum>
  <w:abstractNum w:abstractNumId="53">
    <w:nsid w:val="235BA861"/>
    <w:multiLevelType w:val="hybridMultilevel"/>
    <w:lvl w:ilvl="0">
      <w:lvlJc w:val="left"/>
      <w:lvlText w:val="(%1)"/>
      <w:numFmt w:val="decimal"/>
      <w:start w:val="1"/>
    </w:lvl>
  </w:abstractNum>
  <w:abstractNum w:abstractNumId="54">
    <w:nsid w:val="47398C89"/>
    <w:multiLevelType w:val="hybridMultilevel"/>
    <w:lvl w:ilvl="0">
      <w:lvlJc w:val="left"/>
      <w:lvlText w:val="*"/>
      <w:numFmt w:val="bullet"/>
      <w:start w:val="1"/>
    </w:lvl>
  </w:abstractNum>
  <w:abstractNum w:abstractNumId="55">
    <w:nsid w:val="354FE9F9"/>
    <w:multiLevelType w:val="hybridMultilevel"/>
    <w:lvl w:ilvl="0">
      <w:lvlJc w:val="left"/>
      <w:lvlText w:val="(%1)"/>
      <w:numFmt w:val="decimal"/>
      <w:start w:val="1"/>
    </w:lvl>
  </w:abstractNum>
  <w:abstractNum w:abstractNumId="56">
    <w:nsid w:val="15B5AF5C"/>
    <w:multiLevelType w:val="hybridMultilevel"/>
    <w:lvl w:ilvl="0">
      <w:lvlJc w:val="left"/>
      <w:lvlText w:val="(%1)"/>
      <w:numFmt w:val="decimal"/>
      <w:start w:val="1"/>
    </w:lvl>
  </w:abstractNum>
  <w:abstractNum w:abstractNumId="57">
    <w:nsid w:val="741226BB"/>
    <w:multiLevelType w:val="hybridMultilevel"/>
    <w:lvl w:ilvl="0">
      <w:lvlJc w:val="left"/>
      <w:lvlText w:val="•"/>
      <w:numFmt w:val="bullet"/>
      <w:start w:val="1"/>
    </w:lvl>
  </w:abstractNum>
  <w:abstractNum w:abstractNumId="58">
    <w:nsid w:val="D34B6A8"/>
    <w:multiLevelType w:val="hybridMultilevel"/>
    <w:lvl w:ilvl="0">
      <w:lvlJc w:val="left"/>
      <w:lvlText w:val="•"/>
      <w:numFmt w:val="bullet"/>
      <w:start w:val="1"/>
    </w:lvl>
  </w:abstractNum>
  <w:abstractNum w:abstractNumId="59">
    <w:nsid w:val="10233C99"/>
    <w:multiLevelType w:val="hybridMultilevel"/>
    <w:lvl w:ilvl="0">
      <w:lvlJc w:val="left"/>
      <w:lvlText w:val="​"/>
      <w:numFmt w:val="bullet"/>
      <w:start w:val="1"/>
    </w:lvl>
  </w:abstractNum>
  <w:abstractNum w:abstractNumId="60">
    <w:nsid w:val="3F6AB60F"/>
    <w:multiLevelType w:val="hybridMultilevel"/>
    <w:lvl w:ilvl="0">
      <w:lvlJc w:val="left"/>
      <w:lvlText w:val="(%1)"/>
      <w:numFmt w:val="decimal"/>
      <w:start w:val="1"/>
    </w:lvl>
  </w:abstractNum>
  <w:abstractNum w:abstractNumId="61">
    <w:nsid w:val="61574095"/>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2024-12-19T15:34:59Z</dcterms:created>
  <dcterms:modified xsi:type="dcterms:W3CDTF">2024-12-19T15:34:59Z</dcterms:modified>
</cp:coreProperties>
</file>