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1065530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82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180975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0"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05890"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57467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842645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82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178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78"/>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0"/>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3420" w:type="dxa"/>
            <w:vAlign w:val="bottom"/>
          </w:tcPr>
          <w:p>
            <w:pPr>
              <w:jc w:val="right"/>
              <w:ind w:right="200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50"/>
        </w:trPr>
        <w:tc>
          <w:tcPr>
            <w:tcW w:w="6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(862) 401-0000</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60"/>
        </w:trPr>
        <w:tc>
          <w:tcPr>
            <w:tcW w:w="7820" w:type="dxa"/>
            <w:vAlign w:val="bottom"/>
            <w:gridSpan w:val="3"/>
          </w:tcPr>
          <w:p>
            <w:pPr>
              <w:jc w:val="center"/>
              <w:ind w:left="3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20" w:type="dxa"/>
            <w:vAlign w:val="bottom"/>
          </w:tcPr>
          <w:p>
            <w:pPr>
              <w:spacing w:after="0"/>
              <w:rPr>
                <w:sz w:val="22"/>
                <w:szCs w:val="22"/>
                <w:color w:val="auto"/>
              </w:rPr>
            </w:pPr>
          </w:p>
        </w:tc>
      </w:tr>
      <w:tr>
        <w:trPr>
          <w:trHeight w:val="199"/>
        </w:trPr>
        <w:tc>
          <w:tcPr>
            <w:tcW w:w="4460" w:type="dxa"/>
            <w:vAlign w:val="bottom"/>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054"/>
        </w:trPr>
        <w:tc>
          <w:tcPr>
            <w:tcW w:w="4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306"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Embecta Corp. common stock outstanding as of August 2, 2024 was 57,701,830 shares,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480" w:type="dxa"/>
            <w:vAlign w:val="bottom"/>
            <w:gridSpan w:val="16"/>
            <w:vMerge w:val="continue"/>
          </w:tcPr>
          <w:p>
            <w:pPr>
              <w:spacing w:after="0"/>
              <w:rPr>
                <w:sz w:val="15"/>
                <w:szCs w:val="15"/>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60" w:type="dxa"/>
            <w:vAlign w:val="bottom"/>
            <w:gridSpan w:val="8"/>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420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2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2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8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2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4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60" w:type="dxa"/>
            <w:vAlign w:val="bottom"/>
            <w:tcBorders>
              <w:bottom w:val="single" w:sz="8" w:color="auto"/>
            </w:tcBorders>
          </w:tcPr>
          <w:p>
            <w:pPr>
              <w:spacing w:after="0"/>
              <w:rPr>
                <w:sz w:val="18"/>
                <w:szCs w:val="18"/>
                <w:color w:val="auto"/>
              </w:rPr>
            </w:pPr>
          </w:p>
        </w:tc>
      </w:tr>
      <w:tr>
        <w:trPr>
          <w:trHeight w:val="208"/>
        </w:trPr>
        <w:tc>
          <w:tcPr>
            <w:tcW w:w="46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4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4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838.9</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0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04"/>
        </w:trPr>
        <w:tc>
          <w:tcPr>
            <w:tcW w:w="4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0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372.4</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04"/>
        </w:trPr>
        <w:tc>
          <w:tcPr>
            <w:tcW w:w="46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4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46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r>
      <w:tr>
        <w:trPr>
          <w:trHeight w:val="208"/>
        </w:trPr>
        <w:tc>
          <w:tcPr>
            <w:tcW w:w="4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33"/>
        </w:trPr>
        <w:tc>
          <w:tcPr>
            <w:tcW w:w="4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209"/>
        </w:trPr>
        <w:tc>
          <w:tcPr>
            <w:tcW w:w="7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and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Trade receivables, net (net of allowance for doubtful accounts of $2.4 million and $1.0 million as of</w:t>
            </w:r>
          </w:p>
        </w:tc>
        <w:tc>
          <w:tcPr>
            <w:tcW w:w="28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June 30, 2024 and September 30, 2023, respectively)</w:t>
            </w:r>
          </w:p>
        </w:tc>
        <w:tc>
          <w:tcPr>
            <w:tcW w:w="28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Materials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Work in process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Finished products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Inventories</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Amounts due to Becton, Dickinson and Company</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1,593.9</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Authorized - 250,000,000</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Issued and outstanding - 57,676,467 as of June 30, 2024 and 57,333,353 as of September 30, 2023</w:t>
            </w:r>
          </w:p>
        </w:tc>
        <w:tc>
          <w:tcPr>
            <w:tcW w:w="28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(821.7)</w:t>
            </w:r>
          </w:p>
        </w:tc>
        <w:tc>
          <w:tcPr>
            <w:tcW w:w="0" w:type="dxa"/>
            <w:vAlign w:val="bottom"/>
          </w:tcPr>
          <w:p>
            <w:pPr>
              <w:spacing w:after="0"/>
              <w:rPr>
                <w:sz w:val="1"/>
                <w:szCs w:val="1"/>
                <w:color w:val="auto"/>
              </w:rPr>
            </w:pP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1,267.5</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3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Capital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(Loss) Income</w:t>
            </w:r>
          </w:p>
        </w:tc>
        <w:tc>
          <w:tcPr>
            <w:tcW w:w="24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1, 2023</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57,287,537</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14,519</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57,302,056</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(809.4)</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1, 2024</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57,661,433</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15,034</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57,676,467</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(Loss) Income</w:t>
            </w: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57,055,327</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declared ($0.45 per share)</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246,729</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57,302,056</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(809.4)</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57,333,353</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($0.45 per share)</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343,114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57,676,467</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4"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8890</wp:posOffset>
            </wp:positionV>
            <wp:extent cx="2091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10"/>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Deferred income taxes</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Trade receivables, net</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Inventories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Due from/due to Becton, Dickinson and Company</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33"/>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Capital expenditures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33"/>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19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31"/>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Dividend payments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33"/>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10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Change in Cash and equivalents and restricted cash</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0"/>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Opening Cash and equivalents and restricted cash</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r>
      <w:tr>
        <w:trPr>
          <w:trHeight w:val="33"/>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1"/>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Closing Cash and equivalents and restricted cash</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which are complemented by a proprietary digital application designed to assist people with managing their diabetes. The Company primarily sells products to wholesalers and distributors that sell to retail and institutional channels who in turn sell to patients or use the products to deliver insulin injections to patients.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in accordance with U.S. Generally Accepted Accounting Principles (“GAAP”) and with the instructions to Form 10-Q and Article 10 of Regulation S-X. Accordingly, certain information and disclosures required by GAAP for complete consolidated financial statements are not included herein. The results of operations of any interim period are not necessarily indicative of the results of operations for the full year. In the Company's opinion, all adjustments necessary for a fair statement of these interim statements have been included and are of a normal and recurring nature. All intercompany transactions and accounts within Embecta have been eliminated. These interim statements should be read in conjunction with the audited financial statements and notes thereto included in Embecta's Annual Report on Form 10-K for the year ended September 30,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or assumptions affect reported assets, liabilities, revenues and expenses, depreciable and amortizable lives, sales returns and allowances, rebate accruals, inventory reserves and taxes on income as reflected in the Condensed Consolidated Financial Statements. Actual results could differ from these estimates.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new material accounting standards adopted in the third quarter of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2023, the Financial Account Standard Board issued Accounting Standards Update ASU 2023-07, Segment Reporting (Topic 280): Improvements to Reportable Segment Disclosures, which modifies the disclosure and presentation requirements of reportable segments. This update is effective for the Company beginning with its fiscal year 2025 reporting and for interim reporting beginning with its fiscal year 2026. While this accounting standard will increase disclosures, it will not have a material impact on the Company’s Consolidated Financial Statement results.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2023-09, Income Taxes (Topic 740): Improvements to Income Tax Disclosures, to enhance the transparency and decision usefulness of income tax disclosures. This update is effective for the Company beginning with its fiscal year 2026 reporting. While this accounting standard will increase disclosures, it will not have a material impact on the Company’s Consolidated Financial Statement results.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year presentation.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Third Party Arrangements and Related Party Disclosures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On April 1, 2022, Embecta and Becton, Dickinson and Company ("BD") entered into a Separation and Distribution Agreement (the "Separation and Distribution Agreement"). Pursuant to the Separation and Distribution Agreement, BD agreed to spin off its diabetes care business (the "Diabetes Care Business") into Embecta, a new, publicly traded company (the "Separation").</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Agreements that Embecta entered into with BD that govern aspects of Embecta's relationship with BD following the Separation include, but are not limited to the Transition Services Agreements ("TSA"), </w:t>
      </w:r>
      <w:r>
        <w:rPr>
          <w:rFonts w:ascii="Times New Roman" w:cs="Times New Roman" w:eastAsia="Times New Roman" w:hAnsi="Times New Roman"/>
          <w:sz w:val="18"/>
          <w:szCs w:val="18"/>
          <w:color w:val="2B2A29"/>
        </w:rPr>
        <w:t>Trade Receivables Factoring Agreements ("Factoring Agreements"),</w:t>
      </w:r>
      <w:r>
        <w:rPr>
          <w:rFonts w:ascii="Times New Roman" w:cs="Times New Roman" w:eastAsia="Times New Roman" w:hAnsi="Times New Roman"/>
          <w:sz w:val="18"/>
          <w:szCs w:val="18"/>
          <w:color w:val="auto"/>
        </w:rPr>
        <w:t xml:space="preserve"> Distribution Agreements, Cannula Supply Agreement, Tax Matters Agreement, Logistics Services Agreement ("LSA"), employee matters agreement, an intellectual property matters agreement, local support services agreements, certain other manufacturing arrangements and a process services agreement and lease agreement for a manufacturing facility located in Holdrege, Nebraska. For details on the rights and responsibilities of the parties under these agreements refer to Note 4 to the audited Consolidated Financial Statements in Embecta’s Annual Report on Form 10-K for the year ended September 30, 2023 filed with the Securities and Exchange Commission on November 29, 2023 (the “2023 Form 10-K”).</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March 28, 2024, the Company entered into (i) a second amendment (the “TSA Amendment”) to the TSA, dated as of March 31, 2022 and previously amended as of July 1, 2022 by and between Embecta and BD, and (ii) a second amendment (the “LSA Amendment”) to the LSA, dated January 1, 2022 and previously amended as of November 20, 2023, by and between Embecta and BD. Pursuant to the TSA and the LSA, originally entered into in connection with the Separation, Embecta and BD and their respective affiliates provide each other, on an interim, transitional basis, the Business Continuity Processes. Under the TSA Amendment and the LSA Amendment, BD granted Embecta, among other things, a limited extension until November 1, 2024 of certain services in a limited set of markets to support the Business Continuity Processes.</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March 31, 2024, all Factoring Agreements between Embecta and BD had expired and terminated as a result of the Company's implementation and onboarding of certain systems and services, including, but not limited to, information technology, procurement, quality and regulatory affairs, medical affairs, tax and treasury services, distribution logistics, and shared services infrastructure support for order-to-cash, source-to-pay, and record-to-report, which, for clarity, includes enterprise resource planning (“ERP”) systems (“Business Continuity Processes”) in North America, and certain jurisdictions in Europe and Asia.</w:t>
      </w:r>
    </w:p>
    <w:p>
      <w:pPr>
        <w:spacing w:after="0" w:line="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amount due from BD under the above agreements was $71.6 million at June 30, 2024 and is included in </w:t>
      </w:r>
      <w:r>
        <w:rPr>
          <w:rFonts w:ascii="Times New Roman" w:cs="Times New Roman" w:eastAsia="Times New Roman" w:hAnsi="Times New Roman"/>
          <w:sz w:val="18"/>
          <w:szCs w:val="18"/>
          <w:i w:val="1"/>
          <w:iCs w:val="1"/>
          <w:color w:val="auto"/>
        </w:rPr>
        <w:t>Amounts due from Becton, Dickinson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amount due to BD under these agreements was $51.7 million at June 30, 2024 and is included in</w:t>
      </w:r>
      <w:r>
        <w:rPr>
          <w:rFonts w:ascii="Times New Roman" w:cs="Times New Roman" w:eastAsia="Times New Roman" w:hAnsi="Times New Roman"/>
          <w:sz w:val="18"/>
          <w:szCs w:val="18"/>
          <w:i w:val="1"/>
          <w:iCs w:val="1"/>
          <w:color w:val="auto"/>
        </w:rPr>
        <w:t xml:space="preserve"> Amounts due to Becton, Dickinson and Company</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closing of the transfers of certain assets and liabilities related to the Diabetes Care Business in certain jurisdictions, including Mexico, India, Brazil, and Colombia as contemplated by the Separation and Distribution Agreement did not occur at Separation. The transfers of the relevant local assets and liabilities in these certain jurisdictions are expected to close at a future date. As of June 30, 2024, the Company estimates that amounts due from BD related to certain assets and liabilities in these certain jurisdictions are $4.5 million and are reflected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As of June 30, 2024, the Company estimates that amounts due to BD related to certain assets and liabilities in these certain jurisdictions is $3.5 million and are reflected in </w:t>
      </w:r>
      <w:r>
        <w:rPr>
          <w:rFonts w:ascii="Times New Roman" w:cs="Times New Roman" w:eastAsia="Times New Roman" w:hAnsi="Times New Roman"/>
          <w:sz w:val="18"/>
          <w:szCs w:val="18"/>
          <w:i w:val="1"/>
          <w:iCs w:val="1"/>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Collaboration Agreement</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March 2023, the Company entered into a collaboration agreement with a third-party to develop and commercialize an interoperable automated glycemic controller ("iAGC") to complement the Company's insulin patch pump currently in development. The Company believes that both parties are active participants in the operating activities of the collaboration and exposed to certain risks and rewards depending on commercial success. The transaction included an upfront payment of $2.5 million for project costs, which was expensed to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during the nine month period ended June 30, 2023. Upon successful commercialization of the iAGC, the Company will be responsible for the sales and marketing effort and would pay a royalty to the third-party based on future product sales to customers. The Company expects that it will be the principal in the end customer sale and 100% of product sales will be included in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and any royalty payments and continued project costs after commercialization will be included in </w:t>
      </w:r>
      <w:r>
        <w:rPr>
          <w:rFonts w:ascii="Times New Roman" w:cs="Times New Roman" w:eastAsia="Times New Roman" w:hAnsi="Times New Roman"/>
          <w:sz w:val="18"/>
          <w:szCs w:val="18"/>
          <w:i w:val="1"/>
          <w:iCs w:val="1"/>
          <w:color w:val="auto"/>
        </w:rPr>
        <w:t>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products sold </w:t>
      </w:r>
      <w:r>
        <w:rPr>
          <w:rFonts w:ascii="Times New Roman" w:cs="Times New Roman" w:eastAsia="Times New Roman" w:hAnsi="Times New Roman"/>
          <w:sz w:val="18"/>
          <w:szCs w:val="18"/>
          <w:color w:val="auto"/>
        </w:rPr>
        <w:t>as they are incurred.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Operating Expenses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Separation, the Company incurred separation and stand-up costs of approximately $25.8 million and $89.6 million during the three and nine months ended June 30, 2024, respectively, and incurred separation and stand-up costs of approximately $27.0 million and $64.1 million during the three and nine months ended June 30, 2023, respectively. The costs incurred primarily consist of costs associated with accounting, auditing, legal services, marketing, supply chain, employee retention, the implementation of the Company's new ERP system, and certain other costs to</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 certain Business Continuity Processes and stand-alone functions to assist with the transition to being a stand-alone entity.</w:t>
      </w:r>
    </w:p>
    <w:p>
      <w:pPr>
        <w:spacing w:after="0" w:line="1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June 30, 2024, the Company recognized $2.2 million and $3.8 million of costs associated with the amortization of cloud computing arrangements. For the three and nine months ended June 30, 2023 there were no amortization of implementation costs associated with cloud computing arrangements due to the timing of when these projects were placed into service.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Contingencies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at June 30, 2024 or September 30, 2023, nor is it a party to any material legal proceedings as of the date of issuance of these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policies for recognizing revenue have not changed from those described in the 2023 Form 10-K. The Company sells syringes, pen needles and other products used in the management of diabetes which are primarily sold to wholesalers and distributors that sell to retail and institutional channels who in turn sell to patients or use the products to deliver insulin injections to patients. End-users of the Company’s products include healthcare institutions, physicians, life science researchers, clinical laboratories, the pharmaceutical industry, and the general public.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Revenues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Consolidated Financial Statements.</w:t>
      </w:r>
    </w:p>
    <w:p>
      <w:pPr>
        <w:spacing w:after="0" w:line="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Company’s gross revenues are subject to a variety of gross-to-net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liability attributed to variable consideration at June 30, 2024 and September 30, 2023 was $190.4 million and $36.4 million, respectively. Sales deductions recorded as a reduction of gross revenues for the three months ended June 30, 2024 and 2023 were $124.5 million and $106.2 million, respectively. Sales deductions recorded as a reduction of gross revenues for the nine months ended June 30, 2024 and 2023 were $389.7 million and $294.0 million,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by geographic region is provided within Note 8.</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in the Condensed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 balance was $1.2 million as of both June 30, 2024 and September 30,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and Geographical Data</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in which discrete financial information is available for evaluation by the chief operating decision-maker (“CODM”) in making decisions regarding assessing business performance and allocating resources and capital. Management has concluded that the Company operates in one segment</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980"/>
        <w:spacing w:after="0" w:line="352" w:lineRule="auto"/>
        <w:rPr>
          <w:sz w:val="20"/>
          <w:szCs w:val="20"/>
          <w:color w:val="auto"/>
        </w:rPr>
      </w:pPr>
      <w:r>
        <w:rPr>
          <w:rFonts w:ascii="Times New Roman" w:cs="Times New Roman" w:eastAsia="Times New Roman" w:hAnsi="Times New Roman"/>
          <w:sz w:val="18"/>
          <w:szCs w:val="18"/>
          <w:color w:val="auto"/>
        </w:rPr>
        <w:t xml:space="preserve">based upon the information used by the CODM in evaluating the performance of the Company’s business and allocating resources and capital. </w:t>
      </w:r>
      <w:r>
        <w:rPr>
          <w:rFonts w:ascii="Times New Roman" w:cs="Times New Roman" w:eastAsia="Times New Roman" w:hAnsi="Times New Roman"/>
          <w:sz w:val="18"/>
          <w:szCs w:val="18"/>
          <w:i w:val="1"/>
          <w:iCs w:val="1"/>
          <w:color w:val="auto"/>
        </w:rPr>
        <w:t>Disaggregation of Revenues</w:t>
      </w: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large and small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Asia, the Company has distribution agreements, and in China the Company relies on its own commercial team to support sales execution. In Latin America, the Company maintains distribution agreements and direct sales representatives.</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by geography as management believes this category best depicts how the nature, amount, and timing of revenues and cash flows are affected by economic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74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r>
      <w:tr>
        <w:trPr>
          <w:trHeight w:val="33"/>
        </w:trPr>
        <w:tc>
          <w:tcPr>
            <w:tcW w:w="12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12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w:t>
            </w:r>
          </w:p>
        </w:tc>
      </w:tr>
      <w:tr>
        <w:trPr>
          <w:trHeight w:val="243"/>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389.3</w:t>
            </w:r>
          </w:p>
        </w:tc>
      </w:tr>
      <w:tr>
        <w:trPr>
          <w:trHeight w:val="262"/>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838.9</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1220" w:type="dxa"/>
            <w:vAlign w:val="bottom"/>
            <w:tcBorders>
              <w:bottom w:val="single" w:sz="8" w:color="auto"/>
            </w:tcBorders>
          </w:tcPr>
          <w:p>
            <w:pPr>
              <w:spacing w:after="0"/>
              <w:rPr>
                <w:sz w:val="22"/>
                <w:szCs w:val="22"/>
                <w:color w:val="auto"/>
              </w:rPr>
            </w:pPr>
          </w:p>
        </w:tc>
        <w:tc>
          <w:tcPr>
            <w:tcW w:w="3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175" w:lineRule="exact"/>
        <w:rPr>
          <w:sz w:val="20"/>
          <w:szCs w:val="20"/>
          <w:color w:val="auto"/>
        </w:rPr>
      </w:pPr>
    </w:p>
    <w:p>
      <w:pPr>
        <w:ind w:left="340" w:right="20" w:hanging="332"/>
        <w:spacing w:after="0" w:line="225" w:lineRule="auto"/>
        <w:tabs>
          <w:tab w:leader="none" w:pos="32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and nine months ended June 30, 2024 and 2023, no individual country outside of the United States generated net revenues that represented more than 10.0% of total revenues.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for the three and nine months ended June 30, 2024 and 2023 and the respective income tax benefits recognized by the Company in the Condensed Consolidated Statements of Income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40" w:type="dxa"/>
            <w:vAlign w:val="bottom"/>
          </w:tcPr>
          <w:p>
            <w:pPr>
              <w:spacing w:after="0"/>
              <w:rPr>
                <w:sz w:val="18"/>
                <w:szCs w:val="18"/>
                <w:color w:val="auto"/>
              </w:rPr>
            </w:pPr>
          </w:p>
        </w:tc>
        <w:tc>
          <w:tcPr>
            <w:tcW w:w="276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r>
      <w:tr>
        <w:trPr>
          <w:trHeight w:val="33"/>
        </w:trPr>
        <w:tc>
          <w:tcPr>
            <w:tcW w:w="4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6"/>
        </w:trPr>
        <w:tc>
          <w:tcPr>
            <w:tcW w:w="47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47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33"/>
        </w:trPr>
        <w:tc>
          <w:tcPr>
            <w:tcW w:w="4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33"/>
        </w:trPr>
        <w:tc>
          <w:tcPr>
            <w:tcW w:w="47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1"/>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associated with stock-based compensation costs recognized</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classification of award for the three and nine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82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r>
      <w:tr>
        <w:trPr>
          <w:trHeight w:val="33"/>
        </w:trPr>
        <w:tc>
          <w:tcPr>
            <w:tcW w:w="46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4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Awards</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4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0"/>
        </w:trPr>
        <w:tc>
          <w:tcPr>
            <w:tcW w:w="4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award type for the three and nine months ended June 30,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78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c>
          <w:tcPr>
            <w:tcW w:w="4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6"/>
        </w:trPr>
        <w:tc>
          <w:tcPr>
            <w:tcW w:w="47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Pr>
          <w:p>
            <w:pPr>
              <w:spacing w:after="0"/>
              <w:rPr>
                <w:sz w:val="17"/>
                <w:szCs w:val="17"/>
                <w:color w:val="auto"/>
              </w:rPr>
            </w:pPr>
          </w:p>
        </w:tc>
      </w:tr>
      <w:tr>
        <w:trPr>
          <w:trHeight w:val="31"/>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Time-Vested Restricted Stock Units (TVUs)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Performance-Based Restricted Stock Units (PSUs)</w:t>
            </w: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Appreciation Rights (SARs)</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4"/>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33"/>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Time Vested Restricted Stock Units ("TVUs")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During the nine </w:t>
      </w:r>
      <w:r>
        <w:rPr>
          <w:rFonts w:ascii="Times New Roman" w:cs="Times New Roman" w:eastAsia="Times New Roman" w:hAnsi="Times New Roman"/>
          <w:sz w:val="18"/>
          <w:szCs w:val="18"/>
          <w:color w:val="000000"/>
        </w:rPr>
        <w:t>months ended June 30, 2024</w:t>
      </w:r>
      <w:r>
        <w:rPr>
          <w:rFonts w:ascii="Times New Roman" w:cs="Times New Roman" w:eastAsia="Times New Roman" w:hAnsi="Times New Roman"/>
          <w:sz w:val="18"/>
          <w:szCs w:val="18"/>
          <w:color w:val="2B2A29"/>
        </w:rPr>
        <w:t>, Embecta granted 1,420,364 restricted stock units ("RSUs") in the form of TVUs to employees. TVUs vest on a graded basis over a period of three years. The related stock-based compensation expense is recorded over the requisite service period, which is the vesting period or is based on retirement eligibility. These awards accumulate dividend equivalents, which are provided as additional units and are subject to the same vesting requirements as the underlying grant.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TVUs outstanding as of June 30, 2024 and changes during the nine months ended June 30, 2024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TVUs (in thousands)</w:t>
            </w:r>
          </w:p>
        </w:tc>
        <w:tc>
          <w:tcPr>
            <w:tcW w:w="22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June 30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June 30</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1,900.9</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*Includes accumulated nonvested dividend equivalents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TVUs distributed include shares withheld for taxes that are not formally issued to the market.</w:t>
      </w:r>
    </w:p>
    <w:p>
      <w:pPr>
        <w:spacing w:after="0" w:line="2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TVUs granted during the nine months ended June 30, 2024 is $17.36 and the total fair value of TVUs vested during the nine months ended June 30, 2024 is $14.6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 weighted average remaining vesting term of TVUs is 1.9 years.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Performance Based Restricted Stock Units ("PSUs")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nine months ended June 30, 2024</w:t>
      </w:r>
      <w:r>
        <w:rPr>
          <w:rFonts w:ascii="Times New Roman" w:cs="Times New Roman" w:eastAsia="Times New Roman" w:hAnsi="Times New Roman"/>
          <w:sz w:val="18"/>
          <w:szCs w:val="18"/>
          <w:color w:val="2B2A29"/>
        </w:rPr>
        <w:t xml:space="preserve">, Embecta awarded 548,252 RSUs in the form of PSUs to certain executive officers and employees which cliff vest after three years, subject to continued employment of the recipients and the achievement of certain performance metric targets. The Company has identified certain performance metrics associated with these awards and certain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for each separately-vesting tranche over the requisite service period based on the fair value at each reporting date. The requisite service period is equal to the vesting period or is based on retirement eligibility. These awards accumulate dividend equivalents, which are provided as additional units and are subject to the same vesting requirements as the underlying grant. As of </w:t>
      </w:r>
      <w:r>
        <w:rPr>
          <w:rFonts w:ascii="Times New Roman" w:cs="Times New Roman" w:eastAsia="Times New Roman" w:hAnsi="Times New Roman"/>
          <w:sz w:val="18"/>
          <w:szCs w:val="18"/>
          <w:color w:val="000000"/>
        </w:rPr>
        <w:t>June 30, 2024</w:t>
      </w:r>
      <w:r>
        <w:rPr>
          <w:rFonts w:ascii="Times New Roman" w:cs="Times New Roman" w:eastAsia="Times New Roman" w:hAnsi="Times New Roman"/>
          <w:sz w:val="18"/>
          <w:szCs w:val="18"/>
          <w:color w:val="2B2A29"/>
        </w:rPr>
        <w:t>, there were 728,811 RSUs in the form of PSUs that have been awarded, inclusive of accumulated dividend equivalents, for which a grant date has not yet been established.</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PSUs outstanding as of June 30, 2024 and changes during the nine months ended June 30,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Stock Units (in</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7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6"/>
                <w:szCs w:val="16"/>
                <w:color w:val="auto"/>
              </w:rPr>
            </w:pPr>
          </w:p>
        </w:tc>
        <w:tc>
          <w:tcPr>
            <w:tcW w:w="13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w:t>
            </w:r>
          </w:p>
        </w:tc>
        <w:tc>
          <w:tcPr>
            <w:tcW w:w="16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Expected to vest at June 30</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 weighted average remaining vesting term of PSUs is 1.9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appreciation rights ("SARs") outstanding as of June 30, 2024 and changes during the nine months ended June 30, 2024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4"/>
                <w:szCs w:val="14"/>
                <w:color w:val="auto"/>
              </w:rPr>
            </w:pPr>
          </w:p>
        </w:tc>
        <w:tc>
          <w:tcPr>
            <w:tcW w:w="14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SARs (in thousands)</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60" w:type="dxa"/>
            <w:vAlign w:val="bottom"/>
          </w:tcPr>
          <w:p>
            <w:pPr>
              <w:spacing w:after="0"/>
              <w:rPr>
                <w:sz w:val="16"/>
                <w:szCs w:val="16"/>
                <w:color w:val="auto"/>
              </w:rPr>
            </w:pPr>
          </w:p>
        </w:tc>
        <w:tc>
          <w:tcPr>
            <w:tcW w:w="14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1,786.4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June 30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June 30</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SARs were exercised during the nine months ended June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Stock-Based Compensation Expense and Other Stock Plans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unrecognized compensation expense for all non-vested stock-based awards granted as of June 30, 2024, is approximately $34.9 million which is expected to be recognized over a weighted-average remaining life of approximately 1.9 years. At June 30, 2024, 2.6 million shares were authorized for future grants under the Company's 2022 Employee and Director Equity Based Compensation Plan.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Intangible Assets, and Cloud Computing Arrangements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3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0"/>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 net</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4"/>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1500" w:type="dxa"/>
            <w:vAlign w:val="bottom"/>
            <w:tcBorders>
              <w:top w:val="single" w:sz="8" w:color="auto"/>
            </w:tcBorders>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4"/>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1500" w:type="dxa"/>
            <w:vAlign w:val="bottom"/>
            <w:tcBorders>
              <w:top w:val="single" w:sz="8" w:color="auto"/>
            </w:tcBorders>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5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capitalizes costs associated with the development of cloud computing arrangements in a manner consistent with internally developed software. Capitalized costs are included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Capitalized costs to implement cloud computing arrangements at cost and accumulated amortization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portion</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portion</w:t>
            </w:r>
          </w:p>
        </w:tc>
        <w:tc>
          <w:tcPr>
            <w:tcW w:w="150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0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 net</w:t>
            </w:r>
          </w:p>
        </w:tc>
        <w:tc>
          <w:tcPr>
            <w:tcW w:w="1500" w:type="dxa"/>
            <w:vAlign w:val="bottom"/>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33"/>
        </w:trPr>
        <w:tc>
          <w:tcPr>
            <w:tcW w:w="7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Costs amortized during the three and nine months ended June 30, 2024 were $2.2 million and $3.8 million, respectively, and are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For the three and nine months ended June 30, 2023 there were no costs recognized related to the implementation of these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computing arrangements due to the timing of when these projects were placed into service. As of June 30, 2024, cloud computing arrangement assets in-service have useful lives which range from approximately three to nine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providing for:</w:t>
      </w:r>
    </w:p>
    <w:p>
      <w:pPr>
        <w:spacing w:after="0" w:line="104" w:lineRule="exact"/>
        <w:rPr>
          <w:sz w:val="20"/>
          <w:szCs w:val="20"/>
          <w:color w:val="auto"/>
        </w:rPr>
      </w:pPr>
    </w:p>
    <w:p>
      <w:pPr>
        <w:jc w:val="both"/>
        <w:ind w:left="900" w:hanging="568"/>
        <w:spacing w:after="0" w:line="250" w:lineRule="auto"/>
        <w:tabs>
          <w:tab w:leader="none" w:pos="895" w:val="left"/>
        </w:tabs>
        <w:numPr>
          <w:ilvl w:val="0"/>
          <w:numId w:val="4"/>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Term Loan B Facility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color w:val="2B2A29"/>
        </w:rPr>
        <w:t>term that matures in March 2029. The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rate is 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w:t>
      </w:r>
      <w:r>
        <w:rPr>
          <w:rFonts w:ascii="Times New Roman" w:cs="Times New Roman" w:eastAsia="Times New Roman" w:hAnsi="Times New Roman"/>
          <w:sz w:val="18"/>
          <w:szCs w:val="18"/>
          <w:color w:val="000000"/>
        </w:rPr>
        <w:t>and</w:t>
      </w:r>
    </w:p>
    <w:p>
      <w:pPr>
        <w:spacing w:after="0" w:line="69" w:lineRule="exact"/>
        <w:rPr>
          <w:rFonts w:ascii="Times New Roman" w:cs="Times New Roman" w:eastAsia="Times New Roman" w:hAnsi="Times New Roman"/>
          <w:sz w:val="18"/>
          <w:szCs w:val="18"/>
          <w:color w:val="2B2A29"/>
        </w:rPr>
      </w:pPr>
    </w:p>
    <w:p>
      <w:pPr>
        <w:jc w:val="both"/>
        <w:ind w:left="900" w:hanging="568"/>
        <w:spacing w:after="0" w:line="250" w:lineRule="auto"/>
        <w:tabs>
          <w:tab w:leader="none" w:pos="895" w:val="left"/>
        </w:tabs>
        <w:numPr>
          <w:ilvl w:val="0"/>
          <w:numId w:val="4"/>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8"/>
          <w:szCs w:val="18"/>
          <w:color w:val="2B2A29"/>
        </w:rPr>
        <w:t>five</w:t>
      </w:r>
      <w:r>
        <w:rPr>
          <w:rFonts w:ascii="Times New Roman" w:cs="Times New Roman" w:eastAsia="Times New Roman" w:hAnsi="Times New Roman"/>
          <w:sz w:val="18"/>
          <w:szCs w:val="18"/>
          <w:color w:val="auto"/>
        </w:rPr>
        <w:t xml:space="preserve">-year term that matures in 2027. </w:t>
      </w:r>
      <w:r>
        <w:rPr>
          <w:rFonts w:ascii="Times New Roman" w:cs="Times New Roman" w:eastAsia="Times New Roman" w:hAnsi="Times New Roman"/>
          <w:sz w:val="18"/>
          <w:szCs w:val="18"/>
          <w:color w:val="2B2A29"/>
        </w:rPr>
        <w:t>Borrowings under the Revolving Credit Facility bear interest, at Embecta’s option, at an annual rate equal to (a)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8"/>
          <w:szCs w:val="18"/>
          <w:color w:val="000000"/>
        </w:rPr>
        <w:t>As of June 30, 2024, no amount has been drawn on the Revolving Credit Facility.</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Credit Agreement and the indentures for Embecta's outstanding 5.00% senior secured notes due February 2030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senior secured notes due February 2030 (the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Times New Roman" w:cs="Times New Roman" w:eastAsia="Times New Roman" w:hAnsi="Times New Roman"/>
          <w:sz w:val="18"/>
          <w:szCs w:val="18"/>
          <w:color w:val="2B2A29"/>
        </w:rPr>
        <w:t xml:space="preserve">6.75% </w:t>
      </w:r>
      <w:r>
        <w:rPr>
          <w:rFonts w:ascii="Times New Roman" w:cs="Times New Roman" w:eastAsia="Times New Roman" w:hAnsi="Times New Roman"/>
          <w:sz w:val="18"/>
          <w:szCs w:val="18"/>
          <w:color w:val="000000"/>
        </w:rPr>
        <w:t>Notes. In addition, the Credit Agreement contains covenants that will limit, among other things, Embecta’s ability to prepay, redeem or repurchase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its subordinated and junior lien debt, incur additional debt, make acquisitions, merge with other entities, pay dividends or distributions, redeem or repurchase equity interests, and create or become subject to liens.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March 2029</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928.6</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 due February 2030</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7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B2A29"/>
              </w:rPr>
              <w:t xml:space="preserve">6.75% </w:t>
            </w:r>
            <w:r>
              <w:rPr>
                <w:rFonts w:ascii="Times New Roman" w:cs="Times New Roman" w:eastAsia="Times New Roman" w:hAnsi="Times New Roman"/>
                <w:sz w:val="16"/>
                <w:szCs w:val="16"/>
                <w:color w:val="000000"/>
              </w:rPr>
              <w:t>Notes due February 2030</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1,628.6</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1,590.8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B2A29"/>
        </w:rPr>
        <w:t xml:space="preserve">The debt issuance costs on the Term Loan,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B2A29"/>
        </w:rPr>
        <w:t xml:space="preserve"> Notes,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and the discount on the Term Loan are reported in</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2B2A29"/>
        </w:rPr>
        <w:t xml:space="preserve">the Condensed Consolidated Balance Sheets as a reduction of debt and are amortized as a component of </w:t>
      </w:r>
      <w:r>
        <w:rPr>
          <w:rFonts w:ascii="Times New Roman" w:cs="Times New Roman" w:eastAsia="Times New Roman" w:hAnsi="Times New Roman"/>
          <w:sz w:val="18"/>
          <w:szCs w:val="18"/>
          <w:i w:val="1"/>
          <w:iCs w:val="1"/>
          <w:color w:val="2B2A29"/>
        </w:rPr>
        <w:t>Interest expense, net</w:t>
      </w:r>
      <w:r>
        <w:rPr>
          <w:rFonts w:ascii="Times New Roman" w:cs="Times New Roman" w:eastAsia="Times New Roman" w:hAnsi="Times New Roman"/>
          <w:sz w:val="18"/>
          <w:szCs w:val="18"/>
          <w:color w:val="2B2A29"/>
        </w:rPr>
        <w:t xml:space="preserve"> over the term of the related debt using the effective interest method.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fiscal years and thereafter is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50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50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50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1,588.2</w:t>
            </w:r>
          </w:p>
        </w:tc>
      </w:tr>
    </w:tbl>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estimated fair value of long-term debt (including current portion) at June 30, 2024 was $1,454.6 million compared with a carrying value (which includes a reduction for unamortized debt issuance costs and discounts) of $1,600.3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calculation of earnings per basic and diluted common share for the </w:t>
      </w:r>
      <w:r>
        <w:rPr>
          <w:rFonts w:ascii="Times New Roman" w:cs="Times New Roman" w:eastAsia="Times New Roman" w:hAnsi="Times New Roman"/>
          <w:sz w:val="18"/>
          <w:szCs w:val="18"/>
          <w:color w:val="2B2A29"/>
        </w:rPr>
        <w:t>three and nine months ended June 30, 2024 and 2023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290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4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r>
      <w:tr>
        <w:trPr>
          <w:trHeight w:val="235"/>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 in millions and shares in thousands, except per share amounts)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Embecta</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162"/>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57,641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57,223</w:t>
            </w:r>
          </w:p>
        </w:tc>
      </w:tr>
      <w:tr>
        <w:trPr>
          <w:trHeight w:val="24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4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58,143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57,714</w:t>
            </w:r>
          </w:p>
        </w:tc>
      </w:tr>
      <w:tr>
        <w:trPr>
          <w:trHeight w:val="162"/>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 - Basic</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3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 - 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bl>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Earnings per diluted share is computed by giving effect to all potentially dilutive stock awards that are outstanding. The computation of earnings per diluted share excludes the effect of the potential exercise of stock-based awards, when the effect of the potential exercise would be anti-dilutive. For the three </w:t>
      </w:r>
      <w:r>
        <w:rPr>
          <w:rFonts w:ascii="Times New Roman" w:cs="Times New Roman" w:eastAsia="Times New Roman" w:hAnsi="Times New Roman"/>
          <w:sz w:val="18"/>
          <w:szCs w:val="18"/>
          <w:color w:val="2B2A29"/>
        </w:rPr>
        <w:t xml:space="preserve">months ended June 30, 2024 </w:t>
      </w:r>
      <w:r>
        <w:rPr>
          <w:rFonts w:ascii="Times New Roman" w:cs="Times New Roman" w:eastAsia="Times New Roman" w:hAnsi="Times New Roman"/>
          <w:sz w:val="18"/>
          <w:szCs w:val="18"/>
          <w:color w:val="000000"/>
        </w:rPr>
        <w:t>and 2023, 4.3 million and 2.1 million, respectively, and for the nine months ended</w:t>
      </w:r>
      <w:r>
        <w:rPr>
          <w:rFonts w:ascii="Times New Roman" w:cs="Times New Roman" w:eastAsia="Times New Roman" w:hAnsi="Times New Roman"/>
          <w:sz w:val="18"/>
          <w:szCs w:val="18"/>
          <w:color w:val="2B2A29"/>
        </w:rPr>
        <w:t xml:space="preserve"> June 30, 2024 </w:t>
      </w:r>
      <w:r>
        <w:rPr>
          <w:rFonts w:ascii="Times New Roman" w:cs="Times New Roman" w:eastAsia="Times New Roman" w:hAnsi="Times New Roman"/>
          <w:sz w:val="18"/>
          <w:szCs w:val="18"/>
          <w:color w:val="000000"/>
        </w:rPr>
        <w:t>and 2023, 2.8 million and</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1.9 million, respectively, of dilutive share equivalents issuable under stock-based compensation plans were excluded from the diluted shares outstanding calculation because the result would have been antidilutive.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 in the various jurisdictions in which it operates. A significant portion of the Company's earnings are taxed in jurisdictions with tax rates that are lower than the statutory tax rate of the United States. The effective tax rate can change from quarter to quarter because of variability in global pretax income or geographical mix of the Company's earnings, changes in tax laws and matters related to tax audits.</w:t>
      </w:r>
    </w:p>
    <w:p>
      <w:pPr>
        <w:spacing w:after="0" w:line="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were 45.6% and 24.4% for the three months ended June 30, 2024 and 2023, respectively. The increase in the Company’s effective tax rate from the prior comparative period is primarily due to an increase in non-deductible interest expense in the United States and higher U.S. tax on foreign earnings. This was partially offset by lower tax expense due to a change in the mix of earnings among tax jurisdictions.</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effective tax rates were (24.4)% and 36.0% for the nine months ended June 30, 2024 and 2023, respectively. The decrease in the Company’s effective tax rate from the prior comparative period is attributable to lower withholding taxes on undistributed foreign earnings which reflects a tax benefit of approximately $18.8 million related to Swiss withholding taxes from prior years. Also contributing to the decrease was the recognition of a tax benefit of approximately $17.1 million for the establishment of a deferred tax asset as a result of a higher Swiss cantonal tax rate that contributed to an increased tax basis that is amortizable for income tax purposes over a period of seven years. The decrease in the</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effective tax rate was also impacted by lower tax expense due to a change in the mix of earnings among tax jurisdictions. This was partially offset by an increase in non-deductible interest expense in the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Financial Instruments and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reconciles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reported within the Condensed Consolidated Balance Sheets as of June 30, 2024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to the total amounts shown in the Condensed Consolidated Statements of 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 and restricted cash</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Cash and equivalents as of June 30, 2024 includes cash held in money market funds and other cash equivalents. All cash and equivalents are Level 1 in the fair value hierarchy. Interest income on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was $3.1 million and $2.9 million for the three months ended June 30, 2024 and 2023, respectively, and $9.4 million and $6.7 million for the nine months ended June 30, 2024 and 2023, respectively, and is included as a component of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net</w:t>
      </w:r>
      <w:r>
        <w:rPr>
          <w:rFonts w:ascii="Times New Roman" w:cs="Times New Roman" w:eastAsia="Times New Roman" w:hAnsi="Times New Roman"/>
          <w:sz w:val="18"/>
          <w:szCs w:val="18"/>
          <w:color w:val="auto"/>
        </w:rPr>
        <w:t>. Restricted cash consists of cash not readily available for use in the Company's operating activities. The Company's restricted cash balance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pledged as collateral for bank guarantees related to certain customer performance guarantees and property leases internationally.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Risks and Related Strategies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foreign currency exposures throughout Europe,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notional amounts of the Company’s foreign currency-related derivative instruments were as follows as of June 30, 2024 and September 30, 2023, 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26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 (a)</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Undesignated</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bl>
    <w:p>
      <w:pPr>
        <w:spacing w:after="0" w:line="225" w:lineRule="exact"/>
        <w:rPr>
          <w:sz w:val="20"/>
          <w:szCs w:val="20"/>
          <w:color w:val="auto"/>
        </w:rPr>
      </w:pPr>
    </w:p>
    <w:p>
      <w:pPr>
        <w:jc w:val="both"/>
        <w:ind w:left="660" w:hanging="328"/>
        <w:spacing w:after="0" w:line="250"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 hedges of transactional foreign exchange exposures resulting primarily from intercompany payables and receivables. Gains and losses on these instruments are recognized immediately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These gains and losses are largely offset by gains and losses on the underlying hedged items, as well as the hedging costs associated with the derivative instruments. Gains and losses recognized to date on these instruments were not material to the Company's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Three of the Company’s customers represented at least 10.0% of total gross revenues individually and, in the aggregate, represented approximately 39.2% for the three months ended June 30, 2024, and three of the Company's customers represented at least 10.0% of total gross revenues individually and, in the aggregate, represented approximately 41.1% of total revenues for the nine months ended June 30, 2024.</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of the Company's customers represented at least 10.0% of total gross trade receivables individually and, in the aggregate, represented approximately 38.0% as of June 30, 2024.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Property, Plant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r>
      <w:tr>
        <w:trPr>
          <w:trHeight w:val="33"/>
        </w:trPr>
        <w:tc>
          <w:tcPr>
            <w:tcW w:w="6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17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33"/>
        </w:trPr>
        <w:tc>
          <w:tcPr>
            <w:tcW w:w="6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04"/>
        </w:trPr>
        <w:tc>
          <w:tcPr>
            <w:tcW w:w="6400" w:type="dxa"/>
            <w:vAlign w:val="bottom"/>
          </w:tcPr>
          <w:p>
            <w:pPr>
              <w:spacing w:after="0"/>
              <w:rPr>
                <w:sz w:val="17"/>
                <w:szCs w:val="17"/>
                <w:color w:val="auto"/>
              </w:rPr>
            </w:pPr>
          </w:p>
        </w:tc>
        <w:tc>
          <w:tcPr>
            <w:tcW w:w="1760" w:type="dxa"/>
            <w:vAlign w:val="bottom"/>
            <w:tcBorders>
              <w:top w:val="single" w:sz="8" w:color="auto"/>
            </w:tcBorders>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747.9</w:t>
            </w:r>
          </w:p>
        </w:tc>
      </w:tr>
      <w:tr>
        <w:trPr>
          <w:trHeight w:val="33"/>
        </w:trPr>
        <w:tc>
          <w:tcPr>
            <w:tcW w:w="6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r>
      <w:tr>
        <w:trPr>
          <w:trHeight w:val="204"/>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1760" w:type="dxa"/>
            <w:vAlign w:val="bottom"/>
            <w:tcBorders>
              <w:top w:val="single" w:sz="8" w:color="auto"/>
            </w:tcBorders>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w:t>
            </w:r>
          </w:p>
        </w:tc>
      </w:tr>
      <w:tr>
        <w:trPr>
          <w:trHeight w:val="33"/>
        </w:trPr>
        <w:tc>
          <w:tcPr>
            <w:tcW w:w="64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
        </w:trPr>
        <w:tc>
          <w:tcPr>
            <w:tcW w:w="6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finance lease assets and liabilities are attributed to its manufacturing site in Holdrege, Nebraska, which has an initial term of ten years and an option for the Company to extend the lease term for an additional period of up to five years. This lease is classified as a finance lease because the present value of the sum of the lease payments associated with the lease exceeds substantially all of the fair value of the manufacturing site.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primarily relate to its real estate leases that are not classified as finance leases.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leases are included in its Condensed Consolidated Balance Sheets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06"/>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20" w:type="dxa"/>
            <w:vAlign w:val="bottom"/>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r>
      <w:tr>
        <w:trPr>
          <w:trHeight w:val="33"/>
        </w:trPr>
        <w:tc>
          <w:tcPr>
            <w:tcW w:w="62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2"/>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1820" w:type="dxa"/>
            <w:vAlign w:val="bottom"/>
            <w:tcBorders>
              <w:bottom w:val="single" w:sz="8" w:color="CCEEFF"/>
            </w:tcBorders>
            <w:shd w:val="clear" w:color="auto" w:fill="CCEEFF"/>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62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20" w:type="dxa"/>
            <w:vAlign w:val="bottom"/>
          </w:tcPr>
          <w:p>
            <w:pPr>
              <w:spacing w:after="0"/>
              <w:rPr>
                <w:sz w:val="4"/>
                <w:szCs w:val="4"/>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820" w:type="dxa"/>
            <w:vAlign w:val="bottom"/>
            <w:tcBorders>
              <w:bottom w:val="single" w:sz="8" w:color="CCEEFF"/>
            </w:tcBorders>
            <w:shd w:val="clear" w:color="auto" w:fill="CCEEFF"/>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8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31.5</w:t>
            </w:r>
          </w:p>
        </w:tc>
      </w:tr>
      <w:tr>
        <w:trPr>
          <w:trHeight w:val="33"/>
        </w:trPr>
        <w:tc>
          <w:tcPr>
            <w:tcW w:w="62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1"/>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1820" w:type="dxa"/>
            <w:vAlign w:val="bottom"/>
            <w:tcBorders>
              <w:bottom w:val="single" w:sz="8" w:color="CCEEFF"/>
            </w:tcBorders>
            <w:shd w:val="clear" w:color="auto" w:fill="CCEEFF"/>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8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33"/>
        </w:trPr>
        <w:tc>
          <w:tcPr>
            <w:tcW w:w="6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08"/>
        </w:trPr>
        <w:tc>
          <w:tcPr>
            <w:tcW w:w="620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120" w:type="dxa"/>
            <w:vAlign w:val="bottom"/>
            <w:shd w:val="clear" w:color="auto" w:fill="CCEEFF"/>
          </w:tcPr>
          <w:p>
            <w:pPr>
              <w:spacing w:after="0"/>
              <w:rPr>
                <w:sz w:val="9"/>
                <w:szCs w:val="9"/>
                <w:color w:val="auto"/>
              </w:rPr>
            </w:pPr>
          </w:p>
        </w:tc>
      </w:tr>
      <w:tr>
        <w:trPr>
          <w:trHeight w:val="21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31"/>
        </w:trPr>
        <w:tc>
          <w:tcPr>
            <w:tcW w:w="6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20" w:type="dxa"/>
            <w:vAlign w:val="bottom"/>
            <w:tcBorders>
              <w:bottom w:val="single" w:sz="8" w:color="CCEEFF"/>
            </w:tcBorders>
            <w:shd w:val="clear" w:color="auto" w:fill="CCEEFF"/>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1820" w:type="dxa"/>
            <w:vAlign w:val="bottom"/>
            <w:tcBorders>
              <w:top w:val="single" w:sz="8" w:color="auto"/>
            </w:tcBorders>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23.0</w:t>
            </w:r>
          </w:p>
        </w:tc>
      </w:tr>
      <w:tr>
        <w:trPr>
          <w:trHeight w:val="33"/>
        </w:trPr>
        <w:tc>
          <w:tcPr>
            <w:tcW w:w="6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820" w:type="dxa"/>
            <w:vAlign w:val="bottom"/>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r>
      <w:tr>
        <w:trPr>
          <w:trHeight w:val="33"/>
        </w:trPr>
        <w:tc>
          <w:tcPr>
            <w:tcW w:w="6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8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820" w:type="dxa"/>
            <w:vAlign w:val="bottom"/>
            <w:tcBorders>
              <w:top w:val="single" w:sz="8" w:color="auto"/>
            </w:tcBorders>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21.3</w:t>
            </w:r>
          </w:p>
        </w:tc>
      </w:tr>
      <w:tr>
        <w:trPr>
          <w:trHeight w:val="33"/>
        </w:trPr>
        <w:tc>
          <w:tcPr>
            <w:tcW w:w="6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82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r>
      <w:tr>
        <w:trPr>
          <w:trHeight w:val="33"/>
        </w:trPr>
        <w:tc>
          <w:tcPr>
            <w:tcW w:w="6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33"/>
        </w:trPr>
        <w:tc>
          <w:tcPr>
            <w:tcW w:w="62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nine months ended June 30, 2024 and 2023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1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Right of use assets obtained in exchange for lease liabilities</w:t>
            </w:r>
          </w:p>
        </w:tc>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33"/>
        </w:trPr>
        <w:tc>
          <w:tcPr>
            <w:tcW w:w="6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880" w:type="dxa"/>
            <w:vAlign w:val="bottom"/>
            <w:tcBorders>
              <w:bottom w:val="single" w:sz="8" w:color="CCEEFF"/>
            </w:tcBorders>
            <w:shd w:val="clear" w:color="auto" w:fill="CCEEFF"/>
          </w:tcPr>
          <w:p>
            <w:pPr>
              <w:jc w:val="right"/>
              <w:ind w:right="16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521"/>
        </w:trPr>
        <w:tc>
          <w:tcPr>
            <w:tcW w:w="6400" w:type="dxa"/>
            <w:vAlign w:val="bottom"/>
          </w:tcPr>
          <w:p>
            <w:pPr>
              <w:spacing w:after="0"/>
              <w:rPr>
                <w:sz w:val="24"/>
                <w:szCs w:val="24"/>
                <w:color w:val="auto"/>
              </w:rPr>
            </w:pPr>
          </w:p>
        </w:tc>
        <w:tc>
          <w:tcPr>
            <w:tcW w:w="1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for amounts included in the measurement of lease liabilities</w:t>
            </w:r>
          </w:p>
        </w:tc>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33"/>
        </w:trPr>
        <w:tc>
          <w:tcPr>
            <w:tcW w:w="6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880" w:type="dxa"/>
            <w:vAlign w:val="bottom"/>
            <w:tcBorders>
              <w:bottom w:val="single" w:sz="8" w:color="CCEEFF"/>
            </w:tcBorders>
            <w:shd w:val="clear" w:color="auto" w:fill="CCEEFF"/>
          </w:tcPr>
          <w:p>
            <w:pPr>
              <w:jc w:val="right"/>
              <w:ind w:right="16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w:t>
            </w:r>
          </w:p>
        </w:tc>
        <w:tc>
          <w:tcPr>
            <w:tcW w:w="1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6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w:t>
            </w:r>
          </w:p>
        </w:tc>
        <w:tc>
          <w:tcPr>
            <w:tcW w:w="1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4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finance and operating lease liabilities as of June 30, 2024 by fiscal year are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00" w:type="dxa"/>
            <w:vAlign w:val="bottom"/>
          </w:tcPr>
          <w:p>
            <w:pPr>
              <w:spacing w:after="0"/>
              <w:rPr>
                <w:sz w:val="18"/>
                <w:szCs w:val="18"/>
                <w:color w:val="auto"/>
              </w:rPr>
            </w:pPr>
          </w:p>
        </w:tc>
        <w:tc>
          <w:tcPr>
            <w:tcW w:w="17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780" w:type="dxa"/>
            <w:vAlign w:val="bottom"/>
            <w:tcBorders>
              <w:top w:val="single" w:sz="8" w:color="auto"/>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6"/>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204"/>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1"/>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Factors Affecting Forward-Looking Statements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Condensed Consolidated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In the 100-year history of our business, we believe that our products have become some of the most widely recognized and respected brands in diabetes management in the world. We estimate that our products are used by approximately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w:t>
      </w:r>
    </w:p>
    <w:p>
      <w:pPr>
        <w:spacing w:after="0" w:line="1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which are complemented by our proprietary digital application designed to assist people with managing their diabetes.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shield that can be activated with one-hand after the injection to help prevent needlestick exposure and injury during injection and disposal.</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primarily sell our products to wholesalers and distributors that sell to retail and institutional channels who in turn sell to patients or use the products to deliver insulin injections to patients.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Results of Operations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Pricing Pressures. We face significant pricing pressures from competitors in the pen needle and insulin syringe categories who not only can provide competitive products at lower costs, but also provide payors and customers with more choices for formulary partners in these categories. In addition, the increased scrutiny by regulators on healthcare spending, which accelerated in light of the COVID-19 pandemic, along with a shift towards volume-based procurement and group purchasing organizations, which generally values lower cost over product features, benefits and quality, have placed significant pressure on Embecta to lower price in both developed and emerging markets. These trends may reduce our operating margins, which are only partially offset by our ability to differentiate our products and sell at higher prices</w:t>
      </w:r>
      <w:r>
        <w:rPr>
          <w:rFonts w:ascii="Times New Roman" w:cs="Times New Roman" w:eastAsia="Times New Roman" w:hAnsi="Times New Roman"/>
          <w:sz w:val="18"/>
          <w:szCs w:val="18"/>
          <w:color w:val="70AD47"/>
        </w:rPr>
        <w:t>.</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Changes in Clinical Practice. Introduction of new drugs and increased penetration of oral anti-diabetic drugs (e.g., SGLT-2s), GLP-1s and GLP-1 combination products have delayed initiation of insulin therapy and contributed to less demand for our products. New drug therapies, including weekly insulin, are targeted to challenge the current diabetes treatment paradigm, including the frequency insulin is dosed (weekly vs. daily injections) and amount of insulin used. Additionally, insulin therapy in developed markets continues to transition to infusion pumps.</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physicians and longer wait times for patients. Healthcare delivery for non-emergency diabetes care is expected to continue shifting outside of hospitals to primary care providers, which could have a material impact on our results of operations.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we submitted our first 510(k) premarket filing to the U.S. Food and Drug Administration ("FDA") for our proprietary disposable insulin delivery system.</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March 28, 2024, we entered into (i) a second amendment (the “TSA Amendment”) to the Transition Services Agreements ("TSA"), dated as of March 31, 2022 and previously amended as of July 1, 2022 by and between Embecta and BD, and (ii) a second amendment (the “LSA Amendment”) to the Logistics Services Agreements ("LSA"), dated January 1, 2022 and previously amended as of November 20, 2023, by and between Embecta and BD. Pursuant to the TSA and the LSA, originally entered into in connection with the Separation, Embecta and BD and their respective affiliates provide each other, on an interim, transitional basis, the Business Continuity Processes. Under the TSA Amendment and the LSA Amendment, BD granted Embecta, among other things, a limited extension until November 1, 2024 of certain services in a limited set of markets to support the Business Continuity Processes.</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continue to monitor the conflict in Ukraine and the associated sanctions and other restrictions. We also are monitoring the Israel-Hamas war and Houthi attacks on commercial shipping vessels and other naval vessels. As of August 9, 2024, there is no material impact to our business operations and financial performance as a result of the aforementioned conflicts. However, the full impact of the conflicts on our business operations and financial performance remains uncertain and will depend on future developments, including the severity and duration of the conflicts and their impact on regional and global economic conditions. We will continue to monitor these conflicts and assess the related restrictions and other effects on our business.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our revenues and results of operations have been affected by various fluctuations in macroeconomic conditions and regulatory and policy changes, both on a global level and in particular markets, which include inflation and slowing economic growth and contractions, a rising interest rate environment, supply chain interruptions, tariff policy changes, volatility in capital markets and the availability of credit, tax rates and the rate of exchange between the United States dollar and foreign currencies. The nature and extent of the impact of these factors among others varies by region and remains uncertain and unpredictable and may affect our business.</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unaudited Condensed Consolidated Statements of Income are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c>
          <w:tcPr>
            <w:tcW w:w="920" w:type="dxa"/>
            <w:vAlign w:val="bottom"/>
            <w:tcBorders>
              <w:bottom w:val="single" w:sz="8" w:color="auto"/>
            </w:tcBorders>
          </w:tcPr>
          <w:p>
            <w:pPr>
              <w:spacing w:after="0"/>
              <w:rPr>
                <w:sz w:val="18"/>
                <w:szCs w:val="18"/>
                <w:color w:val="auto"/>
              </w:rPr>
            </w:pPr>
          </w:p>
        </w:tc>
      </w:tr>
      <w:tr>
        <w:trPr>
          <w:trHeight w:val="209"/>
        </w:trPr>
        <w:tc>
          <w:tcPr>
            <w:tcW w:w="30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30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272.5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0"/>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r>
      <w:tr>
        <w:trPr>
          <w:trHeight w:val="33"/>
        </w:trPr>
        <w:tc>
          <w:tcPr>
            <w:tcW w:w="30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7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190.1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7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r>
      <w:tr>
        <w:trPr>
          <w:trHeight w:val="210"/>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r>
      <w:tr>
        <w:trPr>
          <w:trHeight w:val="33"/>
        </w:trPr>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43.8</w:t>
            </w:r>
          </w:p>
        </w:tc>
      </w:tr>
      <w:tr>
        <w:trPr>
          <w:trHeight w:val="204"/>
        </w:trPr>
        <w:tc>
          <w:tcPr>
            <w:tcW w:w="3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7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134.2</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r>
      <w:tr>
        <w:trPr>
          <w:trHeight w:val="33"/>
        </w:trPr>
        <w:tc>
          <w:tcPr>
            <w:tcW w:w="30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7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(28.2)</w:t>
            </w:r>
          </w:p>
        </w:tc>
      </w:tr>
      <w:tr>
        <w:trPr>
          <w:trHeight w:val="210"/>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(60.9)</w:t>
            </w: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7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(49.2)</w:t>
            </w:r>
          </w:p>
        </w:tc>
      </w:tr>
      <w:tr>
        <w:trPr>
          <w:trHeight w:val="33"/>
        </w:trPr>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(134.4)</w:t>
            </w: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30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30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0"/>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3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Summary (on a comparative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three months ended June 30, 2024 were as follows:</w:t>
      </w:r>
    </w:p>
    <w:p>
      <w:pPr>
        <w:spacing w:after="0" w:line="144"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$13.6 million to $272.5 million from $286.1 million;</w:t>
      </w:r>
    </w:p>
    <w:p>
      <w:pPr>
        <w:spacing w:after="0" w:line="14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by $0.6 million to $190.1 million from $189.5 million. Gross profit as a percent of revenue was 69.8%, as compared to 66.2% in the prior year comparative period;</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by $4.6 million to $55.9 million from $51.3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by $0.5 million to $14.7 million from $15.2 million.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June 30, 2024 Summary (on a comparative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nine months ended June 30, 2024 were as follows:</w:t>
      </w:r>
    </w:p>
    <w:p>
      <w:pPr>
        <w:spacing w:after="0" w:line="144"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$1.9 million to $837.0 million from $838.9 million;</w:t>
      </w:r>
    </w:p>
    <w:p>
      <w:pPr>
        <w:spacing w:after="0" w:line="144"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$6.7 million to $561.4 million, compared to $568.1 million. Gross profit as a percent of revenue was 67.1%, as compared to 67.7% in the prior year comparative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by $55.1 million to $140.6 million from $195.7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by $0.7 million to $63.7 million from $64.4 million.</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revenues decreased by $13.6 million, or 4.8%, to $272.5 million for the three months ended June 30, 2024 as compared to revenues of $286.1 million for the three months ended June 30, 2023. Changes in revenues are driven by the volume of goods that the Company sells, the prices it negotiates with customers, and changes in foreign exchange rates. The decrease in revenues was driven by $24.4 million of unfavorable changes in volume and $2.5 million associated with the negative impact of foreign currency translation primarily due to the strengthening of the U.S. dollar. This was partially offset by $7.8 million of favorable gross-to-net adjustments resulting from changes in estimates, $4.9 million of favorable changes in price, and a $0.6 million increase in contract manufacturing revenues related to sales of non-diabetes products to BD.</w:t>
      </w:r>
    </w:p>
    <w:p>
      <w:pPr>
        <w:spacing w:after="0" w:line="1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revenues decreased by $1.9 million, or 0.2%, to $837.0 million for the nine months ended June 30, 2024 as compared to revenues of $838.9 million for the nine months ended June 30, 2023. The decrease in revenues was driven by $11.4 million of unfavorable changes in volume, $2.7 million associated with the negative impact of foreign currency translation primarily due to the strengthening of the U.S. dollar, and a $2.5 million decrease in contract manufacturing revenues related to sales of non-diabetes products to BD. This was partially offset by $14.0 million of favorable changes in price and $0.7 million of favorable gross-to-net adjustments resulting from changes in estimates.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74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r>
      <w:tr>
        <w:trPr>
          <w:trHeight w:val="33"/>
        </w:trPr>
        <w:tc>
          <w:tcPr>
            <w:tcW w:w="4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Cost of products sold decreased by $14.2 million, or 14.7%, to $82.4 million for the three months ended June 30, 2024 as compared to $96.6 million for the three months ended June 30, 2023. Cost of products sold as a percentage of revenues was 30.2% for the three months ended June 30, 2024 as compared to 33.8% for the three months ended June 30, 2023. The decrease in cost of products sold for the three month comparative period was primarily driven by lower net revenues and the impact of favorable profit in inventory adjustments as a result of inventory that was sold to external customers that was manufactured in anticipation of our ERP system and other Business Continuity Processes that went live during fiscal 2024. We are not expecting to record a favorable profit in inventory adjustment in the fourth quarter of fiscal 2024. This was partially offset by inflation on the costs of certain raw materials (including freight), direct labor, and overhead, and unfavorable impacts due to foreign exchange rates. We intend to continue to work to improve productivity to help partially offset the impact of these increased costs.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Cost of products sold increased by $4.8 million, or 1.8%, to $275.6 million for the nine months ended June 30, 2024 as compared to $270.8 million for the nine months ended June 30, 2023. Cost of products sold as a percentage of revenues was 32.9% for the nine months ended June 30, 2024 as compared to 32.3% in the nine months ended June 30, 2023. The increase in cost of products sold for the nine month comparative period was primarily driven by the impact of inflation on the costs of certain raw materials (including freight), direct labor, and overhead, the impact of negative year-over-year manufacturing variances primarily attributable to the planned temporary shutdown of our Suzhou, China facility as it relates to production for the domestic Chinese market, and unfavorable impacts due to foreign exchange rates. We intend to continue to work to improve productivity to help partially offset these increased costs. This was partially offset by the impact of profit in inventory adjustments as a result of inventory that was sold to external customers that was manufactured in anticipation of our ERP system and other Business Continuity Processes that went live during fiscal 2024, as well as lower net revenues.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and administrative expenses decreased by $1.9 million, or 2.2%, to $85.7 million for the three months ended June 30, 2024 as compared to $87.6 million for the three months ended June 30, 2023. The decrease for the three month comparative period was primarily driven by actions taken in the current period to reduce headcount and marketing expense in addition to lower TSA and LSA costs with BD. This was offset by increased outbound freight and warehousing costs.</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and administrative expenses increased by $22.7 million, or 9.2%, to $268.3 million for the nine months ended June 30, 2024 as compared to $245.6 million for the nine months ended June 30, 2023. The increase for the nine month comparative period was primarily driven by an increase in compensation and benefit costs due to increased headcount on average in the current period in addition to increased outbound freight and warehousing costs. This was partially offset primarily by lower TSA and LSA costs with BD incurred in the current year period.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decreased by $2.2 million, or 9.7%, to $20.4 million for the three months ended June 30, 2024 as compared to $22.6 million for the three months ended June 30, 2023. Research and development expenses decreased by $2.6 million, or 4.2%, to $59.0 million for the nine months ended June 30, 2024 as compared to $61.6 million for the nine months ended June 30, 2023. The decrease for the three and nine month comparative periods were primarily driven by timing of payments made in connection with our insulin patch pump platform.</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operating expenses incurred primarily relate to accounting, auditing, legal services, marketing, supply chain, employee retention, costs associated with the implementation of our new ERP system and other Business Continuity Processes, and certain other costs to establish certain stand-alone functions to assist with the transition to being a stand-alone entity. As we continue to stand-up various corporate functions as a stand-alone publicly-traded company, we expect to incur similar costs associated with the same type of activities in the current year.</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June 30, 2024, we recognized costs associated with the amortization of cloud computing arrangements. For the three and nine months ended June 30, 2023 there were no amortization of implementation costs associated with cloud computing arrangements due to the timing of when these projects were placed into service.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7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r>
      <w:tr>
        <w:trPr>
          <w:trHeight w:val="33"/>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
        </w:trPr>
        <w:tc>
          <w:tcPr>
            <w:tcW w:w="4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33"/>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4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Interest expense, net increased by $0.8 million to $27.8 million for the three months ended June 30, 2024 as compared to $27.0 million for the three months ended June 30, 2023. Interest expense, net increased by $3.9 million to $83.3 million for the nine months ended June 30, 2024 as compared to $79.4 million for the nine months ended June 30, 2023. The increases for both comparative periods were primarily a result of higher interest rates on our variable rate debt which is attributable to increases in SOFR that impacted our Term Loan. This was partially offset by an increase in interest income from amounts held in interest bearing accounts and money market funds. It remains unclear whether the United States Federal Reserve will increase or decrease the benchmark interest rate during the remainder of fiscal 2024. An increase in the benchmark interest rate would result in an increase in interest expense on our variable rate debt and a decrease in the benchmark interest rate would result in a decrease in interest expense on our variable rate debt.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 (expense), net, was $(1.1) million and $(4.2) million for the three months ended June 30, 2024 and 2023, respectively. Other income (expense), net, was $(6.1) million and $(15.6) million for the nine months ended June 30, 2024 and 2023, respectively. The costs incurred for all periods primarily relate to amounts due to BD for income taxes payable incurred in deferred jurisdictions where BD is considered the primary obligor. We do not expect to incur any additional amounts where BD is considered the primary obligor.</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were 45.6% and 24.4% for the three months ended June 30, 2024 and 2023, respectively. The increase in the Company’s effective tax rate from the prior comparative period is primarily due to an increase in non-deductible interest expense in the United States and higher U.S. tax on foreign earnings. This was partially offset by lower tax expense due to a change in the mix of earnings among tax jurisdictions.</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effective tax rates were (24.4)% and 36.0% for the nine months ended June 30, 2024 and 2023, respectively. The decrease in the Company’s effective tax rate from the prior comparative period is attributable to lower withholding taxes on undistributed foreign earnings which reflects a tax benefit of approximately $18.8 million related to Swiss withholding taxes from prior years. Also contributing to the decrease was the recognition of a tax benefit of approximately $17.1 million for the establishment of a deferred tax asset as a result of a higher Swiss cantonal tax rate that contributed to an increased tax basis that is amortizable for income tax purposes over a period of seven years. The decrease in the effective tax rate was also impacted by lower tax expense due to a change in the mix of earnings among tax jurisdictions. This was partially offset by an increase in non-deductible interest expense in the U.S.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believe that our cash and our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share repurchases and additional growth opportunities for the foreseeable future. However, should it become necessary, we believe that our credit profile should provide us with access to additional financing in order to fund normal business operations, make interest payments, fund growth opportunities and satisfy upcoming debt maturities.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928.6</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w:t>
            </w: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1,628.6</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1,590.8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years and thereafter is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0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1,588.2</w:t>
            </w:r>
          </w:p>
        </w:tc>
      </w:tr>
    </w:tbl>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June 30, 2024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1,600.3</w:t>
            </w:r>
          </w:p>
        </w:tc>
      </w:tr>
      <w:tr>
        <w:trPr>
          <w:trHeight w:val="148"/>
        </w:trPr>
        <w:tc>
          <w:tcPr>
            <w:tcW w:w="62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7"/>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r>
    </w:tbl>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indentures governing the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June 30, 2024, we were in compliance with all of such covenants. The credit agreement and the senior secured are secured by substantially all assets of Embecta and each subsidiary guarantor, subject to certain exceptions.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related to the Company's debt related activities, refer to Note 11 within the </w:t>
      </w:r>
      <w:r>
        <w:rPr>
          <w:rFonts w:ascii="Times New Roman" w:cs="Times New Roman" w:eastAsia="Times New Roman" w:hAnsi="Times New Roman"/>
          <w:sz w:val="18"/>
          <w:szCs w:val="18"/>
          <w:i w:val="1"/>
          <w:iCs w:val="1"/>
          <w:color w:val="auto"/>
        </w:rPr>
        <w:t>Notes to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within this Form 10-Q.</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lease and operating lease liabilities as of June 30, 2024 by fiscal year are as follows: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20" w:type="dxa"/>
            <w:vAlign w:val="bottom"/>
          </w:tcPr>
          <w:p>
            <w:pPr>
              <w:spacing w:after="0"/>
              <w:rPr>
                <w:sz w:val="18"/>
                <w:szCs w:val="18"/>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760" w:type="dxa"/>
            <w:vAlign w:val="bottom"/>
            <w:tcBorders>
              <w:top w:val="single" w:sz="8" w:color="auto"/>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33"/>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20"/>
        </w:trPr>
        <w:tc>
          <w:tcPr>
            <w:tcW w:w="4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42" w:lineRule="exact"/>
        <w:rPr>
          <w:sz w:val="20"/>
          <w:szCs w:val="20"/>
          <w:color w:val="auto"/>
        </w:rPr>
      </w:pPr>
    </w:p>
    <w:p>
      <w:pPr>
        <w:ind w:right="380"/>
        <w:spacing w:after="0" w:line="408"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leases, refer to Note 16 within the </w:t>
      </w:r>
      <w:r>
        <w:rPr>
          <w:rFonts w:ascii="Times New Roman" w:cs="Times New Roman" w:eastAsia="Times New Roman" w:hAnsi="Times New Roman"/>
          <w:sz w:val="18"/>
          <w:szCs w:val="18"/>
          <w:i w:val="1"/>
          <w:iCs w:val="1"/>
          <w:color w:val="auto"/>
        </w:rPr>
        <w:t>Notes to Condensed Consolidated Financial Statements</w:t>
      </w:r>
      <w:r>
        <w:rPr>
          <w:rFonts w:ascii="Times New Roman" w:cs="Times New Roman" w:eastAsia="Times New Roman" w:hAnsi="Times New Roman"/>
          <w:sz w:val="18"/>
          <w:szCs w:val="18"/>
          <w:color w:val="auto"/>
        </w:rPr>
        <w:t xml:space="preserve"> of this Form 10-Q. </w:t>
      </w:r>
      <w:r>
        <w:rPr>
          <w:rFonts w:ascii="Times New Roman" w:cs="Times New Roman" w:eastAsia="Times New Roman" w:hAnsi="Times New Roman"/>
          <w:sz w:val="18"/>
          <w:szCs w:val="18"/>
          <w:b w:val="1"/>
          <w:bCs w:val="1"/>
          <w:i w:val="1"/>
          <w:iCs w:val="1"/>
          <w:color w:val="auto"/>
        </w:rPr>
        <w:t>Factoring Agreements</w:t>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conjunction with the Separation, we entered into the Factoring Agreements with BD. Embecta owed BD a service fee calculated as 0.1% of annual revenues related to countries subject to the Factoring Agreements, in exchange for the services provided by BD pursuant to the Factoring Agreements.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all Factoring Agreements between Embecta and BD had expired and terminated as a result of our implementation and onboarding of certain Business Continuity Processes in North America, and certain jurisdictions in Europe and Asia.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Credit Ratings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2024 and June 2024, Moody’s Investor Services and Standard &amp; Poor’s Ratings Services published updates to our credit ratings. Our Moody's Investors Services credit rating is B1 and our Standard &amp; Poor's Rating Services credit rating is B+.</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equivalents and restricted cash were $281.8 million as of June 30, 2024 as compared to $326.5 million as of September 30,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sources and uses of cash that contributed to the $44.7 million decrease were: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2023 Cash and equivalents and restricted cash balance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for investing activities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financing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2024 Cash and equivalents and restricted cash balance</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281.8</w:t>
            </w:r>
          </w:p>
        </w:tc>
      </w:tr>
      <w:tr>
        <w:trPr>
          <w:trHeight w:val="21"/>
        </w:trPr>
        <w:tc>
          <w:tcPr>
            <w:tcW w:w="9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was primarily attributable to:</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adjustments related to depreciation and amortization, stock-based compensation, and deferred income taxes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accounts payable and accrued expenses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trade receivables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inventories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amounts due from/due to Becton, Dickinson and Company</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prepaid expenses and other</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income and other net taxes payable</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other assets and liabilities, net</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
        </w:trPr>
        <w:tc>
          <w:tcPr>
            <w:tcW w:w="9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change in accounts payable and accrued expenses is primarily due to timing attributable to payments to vendors during the nine month period ending June 30, 2024.</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of the implementation of certain Business Continuity Processes, including our ERP system that went live in November 2023 for our North America business operations and in March 2024 for our EMEA and Greater Asia business operations as well as the expiration and termination of the Factoring Agreements between Embecta and BD, we are now responsible for the collection of any outstanding trade receivables in those respective regions. The increase in trade receivables is a direct result of this impact, and we expect to convert these outstanding trade receivables into cash in line with contractual customer payment terms.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change in inventories is driven by actions taken to increase raw material purchases and finished goods in the current year in anticipation of our ERP system and other Business Continuity Processes that went live during fiscal 2024. We expect inventory levels to decrease during the remainder of fiscal 2024.</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amounts due from/due to Becton, Dickinson and Company primarily relates to the expiration and termination of the Factoring Agreement between Embecta and BD as we are now responsible for the collection of any outstanding trade receivables on a global basis.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change in prepaid expenses and other are primarily driven by a reduction in payments to BD for future payments made to third parties on our behalf as a result of our implementation of certain Business Continuity Processes, including our ERP system, that went live in fiscal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income and other net taxes payable was primarily due to the timing of required tax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assets and liabilities, net is primarily due to costs capitalized during fiscal 2024 associated with the implementation of our ERP system.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movements related to working capital were due to timing of payments and receipts of cash in the ordinary course of business.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was comprised of capital expenditures of $15.8 million for the nine months ended June 30, 2024 to support further expansion of our business and operations.</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financing activities was primarily attributable to:</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payments</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contractual obligations as of June 30, 2024,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material costs associated with operating and maintaining our information technology infrastructure. Lease obligations include lease agreements for which a contract has been signed even if the lease has not yet commenced. Refer to "Item 7. Management's Discussion and Analysis of Financial Condition and Results of Operations" in the 2023 Form 10-K for further details. As of June 30, 2024, there have been no material changes to our contractual obligations outside the ordinary course of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significant accounting policies, which include management’s best estimates and judgments, are included in Note 3 to the Consolidated Financial Statements included in the 2023 Form 10-K. A discussion of accounting estimates considered critical because of the potential for a significant impact on the financial statements due to the inherent uncertainty in such estimates are disclosed in the Critical Accounting Policies section of Management’s Discussion and Analysis of Financial Condition and Results of Operations included in the 2023 Form 10-K. There have been no changes to our critical accounting policies as of June 30, 2024.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future product development, anticipated product and regulatory clearances, approvals, and launches,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125" w:lineRule="exact"/>
        <w:rPr>
          <w:sz w:val="20"/>
          <w:szCs w:val="20"/>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Embecta is unable to replace the services, including the Business Continuity Processes, that BD currently provides to it on substantially similar terms as the terms on which BD is providing these services under the TSA, the LSA, and other transaction agreements or that BD terminates such services.</w:t>
      </w:r>
    </w:p>
    <w:p>
      <w:pPr>
        <w:spacing w:after="0" w:line="10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BD to perform its obligations under the various separation agreements entered into in connection with the Separation and distribution, including the cannula supply agreement.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that adversely affect the sale or profitability of one of Embecta’s key products or the revenue delivered from sales to its key customers.</w:t>
      </w:r>
    </w:p>
    <w:p>
      <w:pPr>
        <w:spacing w:after="0" w:line="155" w:lineRule="exact"/>
        <w:rPr>
          <w:rFonts w:ascii="Times New Roman" w:cs="Times New Roman" w:eastAsia="Times New Roman" w:hAnsi="Times New Roman"/>
          <w:sz w:val="17"/>
          <w:szCs w:val="17"/>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fluctuations in the cost and availability of oil-based resins, other raw materials, and energy as well as certain components, used in its products, the ability to maintain favorable supplier</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arrangements and relationships, and the potential adverse effects of any disruption in the availability of such items.</w:t>
      </w:r>
    </w:p>
    <w:p>
      <w:pPr>
        <w:spacing w:after="0" w:line="104" w:lineRule="exact"/>
        <w:rPr>
          <w:sz w:val="20"/>
          <w:szCs w:val="20"/>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obtain clearance from the FDA of any product, to market and sell such products successfully, to anticipate the needs of people with diabetes, and future business decisions by Embecta and its competitors.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practices of governments or private payers or other cost containment measures.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United States,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10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impact of the COVID-19 pandemic or geopolitical instability on Embecta’s business, including disruptions in its operations and supply chains.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10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Separation from BD.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indebtedness and our use of indebtedness available to us.</w:t>
      </w:r>
    </w:p>
    <w:p>
      <w:pPr>
        <w:spacing w:after="0" w:line="14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will exceed Embecta's estimates.</w:t>
      </w:r>
    </w:p>
    <w:p>
      <w:pPr>
        <w:spacing w:after="0" w:line="94" w:lineRule="exact"/>
        <w:rPr>
          <w:rFonts w:ascii="Times New Roman" w:cs="Times New Roman" w:eastAsia="Times New Roman" w:hAnsi="Times New Roman"/>
          <w:sz w:val="18"/>
          <w:szCs w:val="18"/>
          <w:color w:val="auto"/>
        </w:rPr>
      </w:pPr>
    </w:p>
    <w:p>
      <w:pPr>
        <w:jc w:val="both"/>
        <w:ind w:left="660" w:right="2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Embecta's businesses and the risk that the Separation may be more difficult, time-consuming or costly than expected, including the impact on its resources, systems, including ERP, procedures and controls, diversion of management’s attention and the impact on relationships with customers, suppliers, employees and other business counterparties.</w:t>
      </w:r>
    </w:p>
    <w:p>
      <w:pPr>
        <w:spacing w:after="0" w:line="10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“Risk Factors,” included within the 2023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information reported since the filing of the 2023 Form 10-K except as follows: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w:t>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14,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of the Notes to Condensed Consolidated Financial Statements for further information.</w:t>
      </w: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relates primarily to our Term Loan. The interest rate is set at 300 basis points over SOFR, with a 0.50% SOFR floor.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outstanding borrowings at June 30, 2024, a 100 basis points change in interest rates would have impacted interest expense on the Term Loan by $9.3 million on an annualized basis. To the extent we borrow on our revolving credit facility, we will be subject to risks related to changes in SOFR.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evaluation was carried out by Embecta’s management, with the participation of Embecta’s Chief Executive Officer and Chief Financial Officer, of the effectiveness of the design and operation of Embecta’s disclosure controls and procedures (as defined in Rule 13a-15(e) under the Securities Exchange Act of 1934) as of June 30, 2024. Based upon that evaluation, the Chief Executive Officer and Chief Financial Officer concluded that the design and operation of these disclosure controls and procedures were, as of the end of the period covered by this report, effective and designed to ensure that material information relating to Embecta and its consolidated subsidiaries would be made known to them by others within these entities.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2022, the Company commenced the process of implementing a new ERP system and other Business Continuity Processes to replace the existing systems provided by BD. The ERP system is designed to accurately maintain the Company's financial records used to report operating results. The implementation of the ERP system and other Business Continuity Processes is highly complex and will occur in phases across our geographies. The first phase of the implementation began in the fourth quarter of fiscal year 2023. The second phase began in the first quarter of fiscal year 2024 and will continue thorough the fiscal year with the remaining phases expected to be completed in fiscal year 2025. A standardized internal control framework was implemented with each phase as we move away from relying on BD’s systems and controls.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continues to evaluate the design and effectiveness of certain controls, including, but not limited to, the information technology controls supporting the recently implemented ERP system and certain controls supporting the Business Continuity Processes, which will continue through the end of this fiscal year and into fiscal year 2025 for Latin America and India.</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 until the second phase of the implementation of the Business Continuity Processes discussed previously, we relied on certain material processes and internal controls over financial reporting performed by BD. Subsequent to the second phase of this implementation, we have and will continue to rely on certain processes and internal controls over financial reporting performed by BD for Latin America and India.</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set forth above, there were no changes in our internal controls over financial reporting during the fiscal quarter ended June 30, 2024, that have materially affected, or are reasonably likely to materially affect, Embecta's internal controls over financial reporting.</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Embecta’s risk factors from those described in “Risk Factors” included within the 2023 Form 10-K and Embecta’s Quarterly Report on Form 10-Q for the quarter ended December 31, 2023 filed with the Securities and Exchange Commission on February 9,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4"/>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800" w:type="dxa"/>
            <w:vAlign w:val="bottom"/>
            <w:gridSpan w:val="5"/>
          </w:tcPr>
          <w:p>
            <w:pPr>
              <w:ind w:left="4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45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5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w:t>
            </w:r>
          </w:p>
        </w:tc>
        <w:tc>
          <w:tcPr>
            <w:tcW w:w="4500" w:type="dxa"/>
            <w:vAlign w:val="bottom"/>
            <w:gridSpan w:val="3"/>
          </w:tcPr>
          <w:p>
            <w:pPr>
              <w:spacing w:after="0"/>
              <w:rPr>
                <w:sz w:val="24"/>
                <w:szCs w:val="24"/>
                <w:color w:val="auto"/>
              </w:rPr>
            </w:pPr>
          </w:p>
        </w:tc>
      </w:tr>
      <w:tr>
        <w:trPr>
          <w:trHeight w:val="5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 Rule 13a–14(a)</w:t>
            </w: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13a–14(b) and Section 1350 of Chapter 63 of Title 18 of the U.S. Code</w:t>
            </w: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13a–14(b) and Section 1350 of Chapter 63 of Title 18 of the U.S. Code</w:t>
            </w:r>
          </w:p>
        </w:tc>
        <w:tc>
          <w:tcPr>
            <w:tcW w:w="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r>
      <w:tr>
        <w:trPr>
          <w:trHeight w:val="51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materials from this report, formatted in iXBRL (Inline eXtensible Business Reporting Language): (i) the Condensed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Consolidated Statements of Income, (ii) the Condensed Consolidated Statements of Comprehensive Income, (iii) the Condensed</w:t>
            </w: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Consolidated Balance Sheets, (iv) the Condensed Consolidated Statements of Equity, (v) the Condensed Consolidated Statements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Flows, and (vi) Notes to Condensed Consolidated Financial Statements.</w:t>
            </w:r>
          </w:p>
        </w:tc>
      </w:tr>
      <w:tr>
        <w:trPr>
          <w:trHeight w:val="52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52" w:lineRule="exact"/>
        <w:rPr>
          <w:sz w:val="20"/>
          <w:szCs w:val="20"/>
          <w:color w:val="auto"/>
        </w:rPr>
      </w:pPr>
    </w:p>
    <w:p>
      <w:pPr>
        <w:ind w:left="560" w:hanging="534"/>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60" w:hanging="534"/>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Devdatt Kurdikar</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Devdatt Kurdikar</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Elguicze</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Brian Capone</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Capone</w:t>
            </w:r>
          </w:p>
        </w:tc>
      </w:tr>
      <w:tr>
        <w:trPr>
          <w:trHeight w:val="25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40"/>
          </w:cols>
          <w:pgMar w:left="320" w:top="226"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Devdatt Kurdikar, certify that:</w:t>
      </w:r>
    </w:p>
    <w:p>
      <w:pPr>
        <w:spacing w:after="0" w:line="144"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Times New Roman" w:cs="Times New Roman" w:eastAsia="Times New Roman" w:hAnsi="Times New Roman"/>
          <w:sz w:val="18"/>
          <w:szCs w:val="18"/>
          <w:color w:val="auto"/>
        </w:rPr>
      </w:pPr>
    </w:p>
    <w:p>
      <w:pPr>
        <w:ind w:left="660" w:right="60" w:hanging="328"/>
        <w:spacing w:after="0" w:line="242"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60" w:right="80" w:hanging="328"/>
        <w:spacing w:after="0" w:line="258"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2024</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Elguicze, certify that:</w:t>
      </w:r>
    </w:p>
    <w:p>
      <w:pPr>
        <w:spacing w:after="0" w:line="144"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60" w:right="80" w:hanging="328"/>
        <w:spacing w:after="0" w:line="250"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2024</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June 30, 2024 as filed with the Securities and Exchange Commission (the “Report”).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Devdatt Kurdikar, the Chief Executive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2024</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June 30, 2024 as filed with the Securities and Exchange Commission (the “Report”).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Jacob Elguicze, the Chief Financial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2024</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2024-08-09T11:56:37Z</dcterms:created>
  <dcterms:modified xsi:type="dcterms:W3CDTF">2024-08-09T11:56:37Z</dcterms:modified>
</cp:coreProperties>
</file>