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642620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828675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144145</wp:posOffset>
            </wp:positionV>
            <wp:extent cx="1489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183515</wp:posOffset>
            </wp:positionV>
            <wp:extent cx="14897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0" w:lineRule="exact"/>
        <w:rPr>
          <w:sz w:val="24"/>
          <w:szCs w:val="24"/>
          <w:color w:val="auto"/>
        </w:rPr>
      </w:pPr>
    </w:p>
    <w:p>
      <w:pPr>
        <w:ind w:left="460" w:hanging="436"/>
        <w:spacing w:after="0"/>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3" w:lineRule="exact"/>
        <w:rPr>
          <w:sz w:val="24"/>
          <w:szCs w:val="24"/>
          <w:color w:val="auto"/>
        </w:rPr>
      </w:pPr>
    </w:p>
    <w:p>
      <w:pPr>
        <w:ind w:left="460" w:hanging="436"/>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2881630</wp:posOffset>
            </wp:positionH>
            <wp:positionV relativeFrom="paragraph">
              <wp:posOffset>76200</wp:posOffset>
            </wp:positionV>
            <wp:extent cx="1388110" cy="567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110" cy="567055"/>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829310</wp:posOffset>
            </wp:positionV>
            <wp:extent cx="1489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135255</wp:posOffset>
            </wp:positionV>
            <wp:extent cx="1489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right"/>
              <w:ind w:right="1782"/>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5"/>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45"/>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300 Kimball Drive, Suite 300, Parsippany, New Jersey</w:t>
            </w:r>
          </w:p>
        </w:tc>
        <w:tc>
          <w:tcPr>
            <w:tcW w:w="3420" w:type="dxa"/>
            <w:vAlign w:val="bottom"/>
          </w:tcPr>
          <w:p>
            <w:pPr>
              <w:jc w:val="right"/>
              <w:ind w:right="2002"/>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1"/>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45"/>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55"/>
        </w:trPr>
        <w:tc>
          <w:tcPr>
            <w:tcW w:w="7820" w:type="dxa"/>
            <w:vAlign w:val="bottom"/>
            <w:gridSpan w:val="3"/>
          </w:tcPr>
          <w:p>
            <w:pPr>
              <w:jc w:val="center"/>
              <w:ind w:left="334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8"/>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39"/>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5"/>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0"/>
        </w:trPr>
        <w:tc>
          <w:tcPr>
            <w:tcW w:w="472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Common Stock, par value $0.01 per share</w:t>
            </w:r>
          </w:p>
        </w:tc>
        <w:tc>
          <w:tcPr>
            <w:tcW w:w="2120" w:type="dxa"/>
            <w:vAlign w:val="bottom"/>
            <w:gridSpan w:val="2"/>
          </w:tcPr>
          <w:p>
            <w:pPr>
              <w:jc w:val="center"/>
              <w:ind w:right="120"/>
              <w:spacing w:after="0" w:line="200" w:lineRule="exact"/>
              <w:rPr>
                <w:sz w:val="20"/>
                <w:szCs w:val="20"/>
                <w:color w:val="auto"/>
              </w:rPr>
            </w:pPr>
            <w:r>
              <w:rPr>
                <w:rFonts w:ascii="Times New Roman" w:cs="Times New Roman" w:eastAsia="Times New Roman" w:hAnsi="Times New Roman"/>
                <w:sz w:val="18"/>
                <w:szCs w:val="18"/>
                <w:b w:val="1"/>
                <w:bCs w:val="1"/>
                <w:color w:val="auto"/>
                <w:w w:val="96"/>
              </w:rPr>
              <w:t>EMBC</w:t>
            </w:r>
          </w:p>
        </w:tc>
        <w:tc>
          <w:tcPr>
            <w:tcW w:w="43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The Nasdaq Stock Market LLC (Nasdaq Global Select</w:t>
            </w: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7"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6"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February 1, 2023 was 57,273,185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984885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328930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2040" w:type="dxa"/>
            <w:vAlign w:val="bottom"/>
            <w:gridSpan w:val="4"/>
            <w:vMerge w:val="restart"/>
          </w:tcPr>
          <w:p>
            <w:pPr>
              <w:spacing w:after="0" w:line="205" w:lineRule="exact"/>
              <w:rPr>
                <w:sz w:val="20"/>
                <w:szCs w:val="20"/>
                <w:color w:val="auto"/>
              </w:rPr>
            </w:pPr>
            <w:r>
              <w:rPr>
                <w:rFonts w:ascii="Times New Roman" w:cs="Times New Roman" w:eastAsia="Times New Roman" w:hAnsi="Times New Roman"/>
                <w:sz w:val="18"/>
                <w:szCs w:val="18"/>
                <w:color w:val="0000FF"/>
                <w:w w:val="98"/>
              </w:rPr>
              <w:t>Part I. Financial Information</w:t>
            </w:r>
          </w:p>
        </w:tc>
        <w:tc>
          <w:tcPr>
            <w:tcW w:w="8440" w:type="dxa"/>
            <w:vAlign w:val="bottom"/>
            <w:gridSpan w:val="12"/>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40" w:type="dxa"/>
            <w:vAlign w:val="bottom"/>
            <w:tcBorders>
              <w:bottom w:val="single" w:sz="8" w:color="0000FF"/>
            </w:tcBorders>
            <w:gridSpan w:val="4"/>
            <w:vMerge w:val="continue"/>
          </w:tcPr>
          <w:p>
            <w:pPr>
              <w:spacing w:after="0"/>
              <w:rPr>
                <w:sz w:val="15"/>
                <w:szCs w:val="15"/>
                <w:color w:val="auto"/>
              </w:rPr>
            </w:pPr>
          </w:p>
        </w:tc>
        <w:tc>
          <w:tcPr>
            <w:tcW w:w="8440" w:type="dxa"/>
            <w:vAlign w:val="bottom"/>
            <w:gridSpan w:val="12"/>
            <w:vMerge w:val="continue"/>
          </w:tcPr>
          <w:p>
            <w:pPr>
              <w:spacing w:after="0"/>
              <w:rPr>
                <w:sz w:val="15"/>
                <w:szCs w:val="15"/>
                <w:color w:val="auto"/>
              </w:rPr>
            </w:pPr>
          </w:p>
        </w:tc>
        <w:tc>
          <w:tcPr>
            <w:tcW w:w="740" w:type="dxa"/>
            <w:vAlign w:val="bottom"/>
          </w:tcPr>
          <w:p>
            <w:pPr>
              <w:jc w:val="right"/>
              <w:spacing w:after="0" w:line="167"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4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Statements and Supplementary Data (Unaudited)</w:t>
            </w:r>
          </w:p>
        </w:tc>
        <w:tc>
          <w:tcPr>
            <w:tcW w:w="4600" w:type="dxa"/>
            <w:vAlign w:val="bottom"/>
            <w:gridSpan w:val="4"/>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1620" w:type="dxa"/>
            <w:vAlign w:val="bottom"/>
            <w:tcBorders>
              <w:top w:val="single" w:sz="8" w:color="0000FF"/>
            </w:tcBorders>
            <w:gridSpan w:val="6"/>
          </w:tcPr>
          <w:p>
            <w:pPr>
              <w:spacing w:after="0"/>
              <w:rPr>
                <w:sz w:val="20"/>
                <w:szCs w:val="20"/>
                <w:color w:val="auto"/>
              </w:rPr>
            </w:pPr>
          </w:p>
        </w:tc>
        <w:tc>
          <w:tcPr>
            <w:tcW w:w="428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3"/>
        </w:trPr>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3"/>
        </w:trPr>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50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640" w:type="dxa"/>
            <w:vAlign w:val="bottom"/>
            <w:gridSpan w:val="1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3"/>
        </w:trPr>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0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3"/>
        </w:trPr>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3"/>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92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0"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0"/>
        </w:trPr>
        <w:tc>
          <w:tcPr>
            <w:tcW w:w="7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r>
      <w:tr>
        <w:trPr>
          <w:trHeight w:val="24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products sold</w:t>
            </w:r>
            <w:r>
              <w:rPr>
                <w:rFonts w:ascii="Times New Roman" w:cs="Times New Roman" w:eastAsia="Times New Roman" w:hAnsi="Times New Roman"/>
                <w:sz w:val="20"/>
                <w:szCs w:val="20"/>
                <w:color w:val="auto"/>
                <w:vertAlign w:val="superscript"/>
              </w:rPr>
              <w:t>(1)</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13"/>
        </w:trPr>
        <w:tc>
          <w:tcPr>
            <w:tcW w:w="7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08"/>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1"/>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8"/>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31"/>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2"/>
        </w:trPr>
        <w:tc>
          <w:tcPr>
            <w:tcW w:w="7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top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31"/>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7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Income</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08"/>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60" w:type="dxa"/>
            <w:vAlign w:val="bottom"/>
            <w:tcBorders>
              <w:top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31"/>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2"/>
        </w:trPr>
        <w:tc>
          <w:tcPr>
            <w:tcW w:w="790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31"/>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7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8"/>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1"/>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8"/>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770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025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hanging="313"/>
        <w:spacing w:after="0" w:line="215" w:lineRule="auto"/>
        <w:tabs>
          <w:tab w:leader="none" w:pos="30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periods prior to the Separation, this income statement line includes cost of products sold from related party inventory purchases. For the three month period ended December 31, 2021, cost of products sold from related party inventory purchases was $11.5 million.</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
        </w:trPr>
        <w:tc>
          <w:tcPr>
            <w:tcW w:w="78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0"/>
        </w:trPr>
        <w:tc>
          <w:tcPr>
            <w:tcW w:w="7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98.8</w:t>
            </w:r>
          </w:p>
        </w:tc>
      </w:tr>
      <w:tr>
        <w:trPr>
          <w:trHeight w:val="20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1"/>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(8.8)</w:t>
            </w:r>
          </w:p>
        </w:tc>
      </w:tr>
      <w:tr>
        <w:trPr>
          <w:trHeight w:val="20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(8.8)</w:t>
            </w:r>
          </w:p>
        </w:tc>
      </w:tr>
      <w:tr>
        <w:trPr>
          <w:trHeight w:val="31"/>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90.0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8"/>
                <w:szCs w:val="18"/>
                <w:color w:val="auto"/>
              </w:rPr>
            </w:pP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06"/>
        </w:trPr>
        <w:tc>
          <w:tcPr>
            <w:tcW w:w="74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0" w:type="dxa"/>
            <w:vAlign w:val="bottom"/>
          </w:tcPr>
          <w:p>
            <w:pPr>
              <w:spacing w:after="0"/>
              <w:rPr>
                <w:sz w:val="1"/>
                <w:szCs w:val="1"/>
                <w:color w:val="auto"/>
              </w:rPr>
            </w:pPr>
          </w:p>
        </w:tc>
      </w:tr>
      <w:tr>
        <w:trPr>
          <w:trHeight w:val="18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$1.3 million as of December 31, 2022</w:t>
            </w:r>
          </w:p>
        </w:tc>
        <w:tc>
          <w:tcPr>
            <w:tcW w:w="200" w:type="dxa"/>
            <w:vAlign w:val="bottom"/>
          </w:tcPr>
          <w:p>
            <w:pPr>
              <w:spacing w:after="0"/>
              <w:rPr>
                <w:sz w:val="16"/>
                <w:szCs w:val="16"/>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8"/>
        </w:trPr>
        <w:tc>
          <w:tcPr>
            <w:tcW w:w="74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and September 30, 2022, respectively)</w:t>
            </w: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Materials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8"/>
        </w:trPr>
        <w:tc>
          <w:tcPr>
            <w:tcW w:w="74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31"/>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08"/>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02"/>
        </w:trPr>
        <w:tc>
          <w:tcPr>
            <w:tcW w:w="74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761.7</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2"/>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1,086.4</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4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8"/>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8"/>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8"/>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02"/>
        </w:trPr>
        <w:tc>
          <w:tcPr>
            <w:tcW w:w="74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Authorized - 250,000,000</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8"/>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Issued and outstanding - 57,213,757 as of December 31, 2022 and 57,055,327 as of September 30, 2022</w:t>
            </w:r>
          </w:p>
        </w:tc>
        <w:tc>
          <w:tcPr>
            <w:tcW w:w="2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7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202"/>
        </w:trPr>
        <w:tc>
          <w:tcPr>
            <w:tcW w:w="74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(891.4)</w:t>
            </w:r>
          </w:p>
        </w:tc>
        <w:tc>
          <w:tcPr>
            <w:tcW w:w="0" w:type="dxa"/>
            <w:vAlign w:val="bottom"/>
          </w:tcPr>
          <w:p>
            <w:pPr>
              <w:spacing w:after="0"/>
              <w:rPr>
                <w:sz w:val="1"/>
                <w:szCs w:val="1"/>
                <w:color w:val="auto"/>
              </w:rPr>
            </w:pPr>
          </w:p>
        </w:tc>
      </w:tr>
      <w:tr>
        <w:trPr>
          <w:trHeight w:val="31"/>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08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Net Investment</w:t>
            </w: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color w:val="auto"/>
              </w:rPr>
              <w:t>from Becton,</w:t>
            </w:r>
          </w:p>
        </w:tc>
        <w:tc>
          <w:tcPr>
            <w:tcW w:w="1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color w:val="auto"/>
              </w:rPr>
              <w:t>Accumulated Other</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color w:val="auto"/>
              </w:rPr>
              <w:t>Dickinson and</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Company</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9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2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2021</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594.3</w:t>
            </w:r>
          </w:p>
        </w:tc>
        <w:tc>
          <w:tcPr>
            <w:tcW w:w="0" w:type="dxa"/>
            <w:vAlign w:val="bottom"/>
          </w:tcPr>
          <w:p>
            <w:pPr>
              <w:spacing w:after="0"/>
              <w:rPr>
                <w:sz w:val="1"/>
                <w:szCs w:val="1"/>
                <w:color w:val="auto"/>
              </w:rPr>
            </w:pPr>
          </w:p>
        </w:tc>
      </w:tr>
      <w:tr>
        <w:trPr>
          <w:trHeight w:val="164"/>
        </w:trPr>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Diabetes Care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Business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4"/>
        </w:trPr>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to Becton, Dickinson and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Company</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0" w:type="dxa"/>
            <w:vAlign w:val="bottom"/>
          </w:tcPr>
          <w:p>
            <w:pPr>
              <w:spacing w:after="0"/>
              <w:rPr>
                <w:sz w:val="1"/>
                <w:szCs w:val="1"/>
                <w:color w:val="auto"/>
              </w:rPr>
            </w:pPr>
          </w:p>
        </w:tc>
      </w:tr>
      <w:tr>
        <w:trPr>
          <w:trHeight w:val="25"/>
        </w:trPr>
        <w:tc>
          <w:tcPr>
            <w:tcW w:w="2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550.5</w:t>
            </w:r>
          </w:p>
        </w:tc>
        <w:tc>
          <w:tcPr>
            <w:tcW w:w="0" w:type="dxa"/>
            <w:vAlign w:val="bottom"/>
          </w:tcPr>
          <w:p>
            <w:pPr>
              <w:spacing w:after="0"/>
              <w:rPr>
                <w:sz w:val="1"/>
                <w:szCs w:val="1"/>
                <w:color w:val="auto"/>
              </w:rPr>
            </w:pPr>
          </w:p>
        </w:tc>
      </w:tr>
      <w:tr>
        <w:trPr>
          <w:trHeight w:val="247"/>
        </w:trPr>
        <w:tc>
          <w:tcPr>
            <w:tcW w:w="264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2022</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57,055,327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0" w:type="dxa"/>
            <w:vAlign w:val="bottom"/>
          </w:tcPr>
          <w:p>
            <w:pPr>
              <w:spacing w:after="0"/>
              <w:rPr>
                <w:sz w:val="1"/>
                <w:szCs w:val="1"/>
                <w:color w:val="auto"/>
              </w:rPr>
            </w:pPr>
          </w:p>
        </w:tc>
      </w:tr>
      <w:tr>
        <w:trPr>
          <w:trHeight w:val="189"/>
        </w:trPr>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Embecta Corp.</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89"/>
        </w:trPr>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dividends ($0.15 per share)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4"/>
        </w:trPr>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compensation plans</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158,430</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5"/>
        </w:trPr>
        <w:tc>
          <w:tcPr>
            <w:tcW w:w="2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57,213,757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7620</wp:posOffset>
            </wp:positionV>
            <wp:extent cx="208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08"/>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8"/>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8"/>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periodic pension benefit and other postretirement costs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Trade receivables, net</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8"/>
        </w:trPr>
        <w:tc>
          <w:tcPr>
            <w:tcW w:w="796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6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796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top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31"/>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08"/>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1"/>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9"/>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transfers to Becton, Dickinson and Company</w:t>
            </w:r>
          </w:p>
        </w:tc>
        <w:tc>
          <w:tcPr>
            <w:tcW w:w="106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31"/>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02"/>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Opening Cash and cash equivalents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Closing Cash and cash equivalents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7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Schedule of non-cash Financing 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5"/>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Dividends payable</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1—Background</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("Diabetes Care Business") into Embecta, a new, publicly traded company (the "Separation").</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The Separation occurred by means of a pro-rata distribution of all of Embecta’s issued and outstanding shares of common stock on the basis of one share of Embecta common stock, par value $0.01 per share, for every five shares of BD common stock, par value $1.00 per share, held as of the close of business on March 22, 2022, the record date for the distribution. Embecta is now a standalone publicly traded company and, on April 1, 2022, regular-way trading of Embecta common stock commenced on the Nasdaq Global Select Market under the ticker symbol "EMBC".</w:t>
      </w:r>
    </w:p>
    <w:p>
      <w:pPr>
        <w:spacing w:after="0" w:line="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In connection with the Separation, BD and Embecta entered into various agreements to provide a framework for the relationship between BD and Embecta after the Separation, including, but not limited to,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factoring and receivables agreements, local support and service agreements and other transaction documents.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1, 2022, the Company became a standalone publicly traded company, and its financial statements are now presented on a consolidated basis. Prior to the Separation on April 1, 2022, the Company’s historical combined financial statements were prepared on a standalone basis and were derived from BD's Consolidated Financial Statements and accounting records. The unaudited financial statements for all periods presented, including the historical results of the Company prior to April 1, 2022, are now referred to as "Condensed Consolidated Financial Statements", and have been prepared pursuant to the rules and regulations for reporting on Form 10-Q. Accordingly, certain information and disclosures required by United States generally accepted accounting principles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These interim statements should be read in conjunction with the audited financial statements and notes thereto included in Embecta’s Annual Report on Form 10-K for the year ended September 30, 2022 filed with the Securities and Exchange Commission on December 22, 2022 (the "2022 Form 10-K").</w:t>
      </w:r>
    </w:p>
    <w:p>
      <w:pPr>
        <w:spacing w:after="0" w:line="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The assets, liabilities, revenue and expenses of the Diabetes Care Business were reflected in the Condensed Combined Financial Statements on a historical cost basis, as included in the consolidated financial statements of BD, using the historical accounting policies applied by BD. The Condensed Combined Financial Statements did not purport to reflect what the Company’s results of operations, comprehensive income, financial position, equity or cash flows would have been had the Company operated as a standalone public company during the periods presented.</w:t>
      </w:r>
    </w:p>
    <w:p>
      <w:pPr>
        <w:spacing w:after="0" w:line="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Diabetes Care Business had historically functioned together with the other businesses controlled by BD. Accordingly, the Diabetes Care Business relied on BD’s corporate and other support functions for its business. Therefore, for the period prior to the Separation, certain corporate and shared costs were allocated to the Diabetes Care Business based on a specific identification basis or, when specific identification was not practicable, a proportional cost allocation method. Refer to Note 2 of the audited Consolidated Financial Statements in the 2022 Form 10-K for additional details on Embecta's basis of presentation during periods prior to the Separation, at Separation and post Separation.</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As the separate legal entities that made up the Diabetes Care Business were not historically held by a single legal entity, </w:t>
      </w:r>
      <w:r>
        <w:rPr>
          <w:rFonts w:ascii="Times New Roman" w:cs="Times New Roman" w:eastAsia="Times New Roman" w:hAnsi="Times New Roman"/>
          <w:sz w:val="18"/>
          <w:szCs w:val="18"/>
          <w:i w:val="1"/>
          <w:iCs w:val="1"/>
          <w:color w:val="auto"/>
        </w:rPr>
        <w:t>Net Investment from Becton,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Dickinson and Company </w:t>
      </w:r>
      <w:r>
        <w:rPr>
          <w:rFonts w:ascii="Times New Roman" w:cs="Times New Roman" w:eastAsia="Times New Roman" w:hAnsi="Times New Roman"/>
          <w:sz w:val="18"/>
          <w:szCs w:val="18"/>
          <w:color w:val="auto"/>
        </w:rPr>
        <w:t>was shown in lieu of stockholders’ equity in these Condensed Consolidated Financial Statements.</w:t>
      </w:r>
      <w:r>
        <w:rPr>
          <w:rFonts w:ascii="Times New Roman" w:cs="Times New Roman" w:eastAsia="Times New Roman" w:hAnsi="Times New Roman"/>
          <w:sz w:val="18"/>
          <w:szCs w:val="18"/>
          <w:i w:val="1"/>
          <w:iCs w:val="1"/>
          <w:color w:val="auto"/>
        </w:rPr>
        <w:t xml:space="preserve"> Net Investment from Becton, Dickinson and Company </w:t>
      </w:r>
      <w:r>
        <w:rPr>
          <w:rFonts w:ascii="Times New Roman" w:cs="Times New Roman" w:eastAsia="Times New Roman" w:hAnsi="Times New Roman"/>
          <w:sz w:val="18"/>
          <w:szCs w:val="18"/>
          <w:color w:val="auto"/>
        </w:rPr>
        <w:t>represented BD’s interest in the recorded assets of the Diabetes Care Business and the cumulative investment by BD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Separation, inclusive of operating results.</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periods prior to the Separation, income tax expense and tax balances in the Condensed Combined Financial Statements were calculated on a separate tax return basis. The separate tax return method applies the accounting guidance for income taxes to the standalone financial statements as if we were a separate taxpayer and a standalone enterprise. Management believes the assumptions supporting the allocation and presentation of income taxes on a separate return basis are reasonable.</w:t>
      </w:r>
    </w:p>
    <w:p>
      <w:pPr>
        <w:spacing w:after="0" w:line="87" w:lineRule="exact"/>
        <w:rPr>
          <w:sz w:val="20"/>
          <w:szCs w:val="20"/>
          <w:color w:val="auto"/>
        </w:rPr>
      </w:pPr>
    </w:p>
    <w:p>
      <w:pPr>
        <w:ind w:right="1220"/>
        <w:spacing w:after="0" w:line="395" w:lineRule="auto"/>
        <w:rPr>
          <w:sz w:val="20"/>
          <w:szCs w:val="20"/>
          <w:color w:val="auto"/>
        </w:rPr>
      </w:pPr>
      <w:r>
        <w:rPr>
          <w:rFonts w:ascii="Times New Roman" w:cs="Times New Roman" w:eastAsia="Times New Roman" w:hAnsi="Times New Roman"/>
          <w:sz w:val="18"/>
          <w:szCs w:val="18"/>
          <w:color w:val="auto"/>
        </w:rPr>
        <w:t xml:space="preserve">As part of the Separation,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xml:space="preserve"> was reclassified as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 of Estimates</w:t>
      </w:r>
    </w:p>
    <w:p>
      <w:pPr>
        <w:jc w:val="both"/>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Condensed Consolidated Financial Statements. Actual results could differ from these estimates.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provides updates to our "Summary of Significant Accounting Policies" as disclosed in the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w:t>
      </w:r>
    </w:p>
    <w:p>
      <w:pPr>
        <w:spacing w:after="0" w:line="1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 capitalizes costs incurred to implement cloud computing arrangements that are service contracts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Deferred Income Taxes and Other Assets </w:t>
      </w:r>
      <w:r>
        <w:rPr>
          <w:rFonts w:ascii="Times New Roman" w:cs="Times New Roman" w:eastAsia="Times New Roman" w:hAnsi="Times New Roman"/>
          <w:sz w:val="18"/>
          <w:szCs w:val="18"/>
          <w:color w:val="auto"/>
        </w:rPr>
        <w:t>in the Company's Condensed Consolidated Balance Sheets. Implementation costs associated with cloud computing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are capitalized when incurred during the application development phase. The Company amortizes the costs over the expected term of the hosting arrangement using the straight-line method to the same income statement line as the associated cloud operating expenses. The total balance of capitalized costs associated with these arrangements as of December 31, 2022 is $10.9 million which primarily relates to the implementation of the Company's new enterprise resource planning system ("ERP"). Once the implementation of the new ERP is complete and ready for its intended use, the capitalized costs are expected to be amortized over the term of the hosting arrangement which is expected to be five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October 2021, the Financial Accounting Standards Board issued Accounting Standards Update 2021-08, Business Combinations (Topic 805): Accounting for Contract Assets and Contract Liabilities from Contracts with Customers. The new guidance requires contract assets and contract liabilities acquired in a business combination to be recognized and measured by the acquirer on the acquisition date in accordance with Accounting Standards Codification 606, Revenue from Contracts with Customers, as if it had originated the contracts. The Company adopted this guidance at the beginning of fiscal year 2023 and it did not materially impact the Company's condensed consolidated financial statements.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 and Related Party Disclosures</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Pursuant to the Separation, BD ceased to be a related party to Embecta and accordingly, no related party transactions or balances are reported subsequent to April 1, 2022.</w:t>
      </w:r>
    </w:p>
    <w:p>
      <w:pPr>
        <w:spacing w:after="0" w:line="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Agreements that Embecta entered into with BD that govern aspects of Embecta's relationship with BD following the Separation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employee matters agreement, an intellectual property matters agreement, local support services agreements, certain other manufacturing arrangements and a process services agreement and lease agreement for a</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manufacturing facility located in Holdrege, Nebraska. For details on the rights and responsibilities of the parties under these agreements refer to Note 4 to the audited Consolidated Financial Statements in the 2022 Form 10-K.</w:t>
      </w:r>
    </w:p>
    <w:p>
      <w:pPr>
        <w:spacing w:after="0" w:line="5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The amount due from BD under the above agreements was $123.4 million at December 31, 2022 and is reflected in </w:t>
      </w:r>
      <w:r>
        <w:rPr>
          <w:rFonts w:ascii="Times New Roman" w:cs="Times New Roman" w:eastAsia="Times New Roman" w:hAnsi="Times New Roman"/>
          <w:sz w:val="18"/>
          <w:szCs w:val="18"/>
          <w:i w:val="1"/>
          <w:iCs w:val="1"/>
          <w:color w:val="auto"/>
        </w:rPr>
        <w:t>Amounts due from Becton, Dickinson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amount due to BD under these agreements was $69.7 million at December 31, 2022 and is included in</w:t>
      </w:r>
      <w:r>
        <w:rPr>
          <w:rFonts w:ascii="Times New Roman" w:cs="Times New Roman" w:eastAsia="Times New Roman" w:hAnsi="Times New Roman"/>
          <w:sz w:val="18"/>
          <w:szCs w:val="18"/>
          <w:i w:val="1"/>
          <w:iCs w:val="1"/>
          <w:color w:val="auto"/>
        </w:rPr>
        <w:t xml:space="preserve"> Amounts due to Becton, Dickinson and Company</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 xml:space="preserve">The closing of the transfers of certain assets and liabilities related to the Diabetes Care Business in certain jurisdictions, including China, Mexico, and Italy, as contemplated by the Separation and Distribution Agreement did not occur at Separation. The transfers of the relevant local assets and liabilities for these deferred countries are expected to close at a future date. As of December 31, 2022, the Company estimates that amounts due to BD related to certain assets and liabilities in deferred close jurisdictions is $29.9 million and are reflected in </w:t>
      </w: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xml:space="preserve">. As of December 31, 2022, the Company estimates that amounts due from BD related to certain assets and liabilities in deferred close jurisdictions are $4.9 million and is reflected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Prior to the Separation, the Company did not operate as a standalone business and the Condensed Combined Financial Statements were derived from the consolidated financial statements and accounting records of BD. The following disclosure summarizes activity between the Company and BD up to the Separation, including the affiliates of BD that were not part of the Separation.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Medical Segment Allocations from BD</w:t>
      </w:r>
    </w:p>
    <w:p>
      <w:pPr>
        <w:spacing w:after="0" w:line="102"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Prior to the Separation, BD provided significant corporate, finance, human resources, information technology, facilities, and legal services, among others (collectively, “General Corporate Expenses”) to the Company. Some of these services continue to be provided by BD to the Company on a temporary basis under the Transition Services Agreement. For purposes of these Condensed Consolidated Financial Statements for the periods prior to the Separation, the General Corporate Expenses have been allocated to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allocations of General Corporate Expenses are reflected in the Condensed Consolidated Statements of Income as follows:</w:t>
      </w:r>
    </w:p>
    <w:p>
      <w:pPr>
        <w:sectPr>
          <w:pgSz w:w="11900" w:h="16838" w:orient="portrait"/>
          <w:cols w:equalWidth="0" w:num="1">
            <w:col w:w="11320"/>
          </w:cols>
          <w:pgMar w:left="320" w:top="2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60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(income) expense, net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General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77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7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 December</w:t>
      </w: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2"/>
        </w:trPr>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9"/>
        </w:trPr>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40"/>
        </w:trPr>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0"/>
        </w:trPr>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2"/>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2"/>
        </w:trPr>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31"/>
        </w:trPr>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ectPr>
          <w:pgSz w:w="11900" w:h="16838" w:orient="portrait"/>
          <w:cols w:equalWidth="0" w:num="2">
            <w:col w:w="8260" w:space="720"/>
            <w:col w:w="2340"/>
          </w:cols>
          <w:pgMar w:left="320" w:top="226" w:right="259" w:bottom="1440" w:gutter="0" w:footer="0" w:header="0"/>
          <w:type w:val="continuous"/>
        </w:sectPr>
      </w:pPr>
    </w:p>
    <w:p>
      <w:pPr>
        <w:jc w:val="both"/>
        <w:ind w:right="80"/>
        <w:spacing w:after="0" w:line="241" w:lineRule="auto"/>
        <w:rPr>
          <w:sz w:val="20"/>
          <w:szCs w:val="20"/>
          <w:color w:val="auto"/>
        </w:rPr>
      </w:pPr>
      <w:r>
        <w:rPr>
          <w:rFonts w:ascii="Times New Roman" w:cs="Times New Roman" w:eastAsia="Times New Roman" w:hAnsi="Times New Roman"/>
          <w:sz w:val="18"/>
          <w:szCs w:val="18"/>
          <w:color w:val="auto"/>
        </w:rPr>
        <w:t>These expenses were allocated to the Company on a pro rata basis of global and regional revenues, headcount, research and development spend and other drivers. Management believes the assumptions underlying the Condensed Consolidated Financial Statements, including the assumptions regarding allocating General Corporate Expenses from BD, are reasonable. Nevertheless, the Condensed Consolidated Financial Statements for periods prior to the Separation may not include all of the actual expenses that would have been incurred and may not reflect the Company’s consolidated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02"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The following transactions represent activity in the ordinary course of business between the Company and BD prior to the Separation for certain materials for use in production of certain medical products that were not at arm’s length. The following table summarizes related party purchases for the three month period ended December 31, 2021:</w:t>
      </w:r>
    </w:p>
    <w:p>
      <w:pPr>
        <w:spacing w:after="0" w:line="154" w:lineRule="exact"/>
        <w:rPr>
          <w:sz w:val="20"/>
          <w:szCs w:val="20"/>
          <w:color w:val="auto"/>
        </w:rPr>
      </w:pPr>
    </w:p>
    <w:p>
      <w:pPr>
        <w:jc w:val="center"/>
        <w:ind w:left="9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96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5970270</wp:posOffset>
            </wp:positionH>
            <wp:positionV relativeFrom="paragraph">
              <wp:posOffset>7620</wp:posOffset>
            </wp:positionV>
            <wp:extent cx="1230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3"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58" w:lineRule="exact"/>
        <w:rPr>
          <w:sz w:val="20"/>
          <w:szCs w:val="20"/>
          <w:color w:val="auto"/>
        </w:rPr>
      </w:pPr>
    </w:p>
    <w:p>
      <w:pPr>
        <w:ind w:left="460"/>
        <w:spacing w:after="0"/>
        <w:tabs>
          <w:tab w:leader="none" w:pos="9400" w:val="left"/>
          <w:tab w:leader="none" w:pos="11100" w:val="left"/>
        </w:tabs>
        <w:rPr>
          <w:sz w:val="20"/>
          <w:szCs w:val="20"/>
          <w:color w:val="auto"/>
        </w:rPr>
      </w:pPr>
      <w:r>
        <w:rPr>
          <w:rFonts w:ascii="Times New Roman" w:cs="Times New Roman" w:eastAsia="Times New Roman" w:hAnsi="Times New Roman"/>
          <w:sz w:val="16"/>
          <w:szCs w:val="16"/>
          <w:color w:val="auto"/>
        </w:rPr>
        <w:t>Purchases from BD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-115570</wp:posOffset>
            </wp:positionV>
            <wp:extent cx="6917690" cy="160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7690" cy="160655"/>
                    </a:xfrm>
                    <a:prstGeom prst="rect">
                      <a:avLst/>
                    </a:prstGeom>
                    <a:noFill/>
                  </pic:spPr>
                </pic:pic>
              </a:graphicData>
            </a:graphic>
          </wp:anchor>
        </w:drawing>
      </w:r>
    </w:p>
    <w:p>
      <w:pPr>
        <w:spacing w:after="0" w:line="23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All significant intercompany transactions between the Company and BD prior to the Separation have been included in the Condensed Consolidated Financial Statements and are considered to be effectively settled for cash at the time the</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226" w:right="2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transaction is recorded. For the period prior to the Separation, the total net effect of the settlement of these intercompany transactions is reflected in the Condensed Consolidated Statements of Cash Flows as a financing activity and in the Condensed Consolidated Balance Sheets as </w:t>
      </w:r>
      <w:r>
        <w:rPr>
          <w:rFonts w:ascii="Times New Roman" w:cs="Times New Roman" w:eastAsia="Times New Roman" w:hAnsi="Times New Roman"/>
          <w:sz w:val="18"/>
          <w:szCs w:val="18"/>
          <w:i w:val="1"/>
          <w:iCs w:val="1"/>
          <w:color w:val="auto"/>
        </w:rPr>
        <w:t>Net Investment from Becton,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Dickinson and Company.</w:t>
      </w:r>
    </w:p>
    <w:p>
      <w:pPr>
        <w:spacing w:after="0" w:line="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Prior to the Separation, net transfers to BD were included within </w:t>
      </w:r>
      <w:r>
        <w:rPr>
          <w:rFonts w:ascii="Times New Roman" w:cs="Times New Roman" w:eastAsia="Times New Roman" w:hAnsi="Times New Roman"/>
          <w:sz w:val="18"/>
          <w:szCs w:val="18"/>
          <w:i w:val="1"/>
          <w:iCs w:val="1"/>
          <w:color w:val="auto"/>
        </w:rPr>
        <w:t>Net Investment from Becton, Dickinson and Company</w:t>
      </w:r>
      <w:r>
        <w:rPr>
          <w:rFonts w:ascii="Times New Roman" w:cs="Times New Roman" w:eastAsia="Times New Roman" w:hAnsi="Times New Roman"/>
          <w:sz w:val="18"/>
          <w:szCs w:val="18"/>
          <w:color w:val="auto"/>
        </w:rPr>
        <w:t>. in the Condensed Consolidated Statements of Equity and represent the net effect of transactions between the Company and BD.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net transfers to BD for the three months ended December 31, 2021: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pooling and general financing activities</w:t>
            </w:r>
            <w:r>
              <w:rPr>
                <w:rFonts w:ascii="Times New Roman" w:cs="Times New Roman" w:eastAsia="Times New Roman" w:hAnsi="Times New Roman"/>
                <w:sz w:val="20"/>
                <w:szCs w:val="20"/>
                <w:color w:val="auto"/>
                <w:vertAlign w:val="superscript"/>
              </w:rPr>
              <w:t>(1)</w:t>
            </w:r>
          </w:p>
        </w:tc>
        <w:tc>
          <w:tcPr>
            <w:tcW w:w="78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r>
      <w:tr>
        <w:trPr>
          <w:trHeight w:val="208"/>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and segment allocations, excluding non-cash stock-based compensation</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31"/>
        </w:trPr>
        <w:tc>
          <w:tcPr>
            <w:tcW w:w="9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deemed settled with BD</w:t>
            </w:r>
          </w:p>
        </w:tc>
        <w:tc>
          <w:tcPr>
            <w:tcW w:w="7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2"/>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transfers to BD as reflected in the Condensed Consolidated Statements of Cash Flows</w:t>
            </w:r>
          </w:p>
        </w:tc>
        <w:tc>
          <w:tcPr>
            <w:tcW w:w="7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31"/>
        </w:trPr>
        <w:tc>
          <w:tcPr>
            <w:tcW w:w="9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8"/>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expense</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1"/>
        </w:trPr>
        <w:tc>
          <w:tcPr>
            <w:tcW w:w="9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transfers to (from) BD, net</w:t>
            </w:r>
          </w:p>
        </w:tc>
        <w:tc>
          <w:tcPr>
            <w:tcW w:w="7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2"/>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transfers to BD</w:t>
            </w:r>
          </w:p>
        </w:tc>
        <w:tc>
          <w:tcPr>
            <w:tcW w:w="78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31"/>
        </w:trPr>
        <w:tc>
          <w:tcPr>
            <w:tcW w:w="9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9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320" w:hanging="313"/>
        <w:spacing w:after="0" w:line="222" w:lineRule="auto"/>
        <w:tabs>
          <w:tab w:leader="none" w:pos="30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Other Operating Expenses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incurred separation and stand-up costs of approximately </w:t>
      </w:r>
      <w:r>
        <w:rPr>
          <w:rFonts w:ascii="Times New Roman" w:cs="Times New Roman" w:eastAsia="Times New Roman" w:hAnsi="Times New Roman"/>
          <w:sz w:val="18"/>
          <w:szCs w:val="18"/>
          <w:color w:val="2B2A29"/>
        </w:rPr>
        <w:t>$9.9 million</w:t>
      </w:r>
      <w:r>
        <w:rPr>
          <w:rFonts w:ascii="Times New Roman" w:cs="Times New Roman" w:eastAsia="Times New Roman" w:hAnsi="Times New Roman"/>
          <w:sz w:val="18"/>
          <w:szCs w:val="18"/>
          <w:color w:val="auto"/>
        </w:rPr>
        <w:t xml:space="preserve"> and restructuring related costs of approximately $0.4 million during the three months ended December 31, 2022. There were $8.4 million of separation and stand-up costs incurred during the three months ended December 31, 2021. The costs incurred primarily consist of costs associated with accounting, auditing, legal services, supply chain, employee retention, and certain other costs to establish certain stand-alone functions to assist with the transition to being a stand-alone entity.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Contingencies</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December 31, 2022 or September 30, 2022, nor is it a party to any material legal proceedings as of the date of issuance of these Condensed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policies for recognizing sales have not changed from those described in the 2022 Form 10-K. The Company sells syringes, pen needles and other products used in the management of diabetes which are primarily sold to wholesalers and distributors that sell to retail and institutional channels who in turn sell to patients. End-users of the Company’s products include healthcare institutions, physicians, life science researchers, clinical laboratories, the pharmaceutical industry, and the general public.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results.</w:t>
      </w:r>
    </w:p>
    <w:p>
      <w:pPr>
        <w:spacing w:after="0" w:line="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December 31, 2022 and September 30, 2022 was $43.1 million and $43.8 million, respectively. Sales deductions recorded as a reduction of gross revenues for the three months ended December 31, 2022 and 2021 were $92.6 million and $85.8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is provided within Note 7.</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Condensed Consolidated Balance Sheets.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December 31, 2022 and September 30, 2022, respectively.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and Geographical Data</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Greater Asia, the Company has distribution agreements, and in China the Company relies on its own commercial team to support sales execution. In Latin America, the Company maintains distribution agreements and direct sales representatives.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Pr>
          <w:p>
            <w:pPr>
              <w:spacing w:after="0"/>
              <w:rPr>
                <w:sz w:val="18"/>
                <w:szCs w:val="18"/>
                <w:color w:val="auto"/>
              </w:rPr>
            </w:pPr>
          </w:p>
        </w:tc>
      </w:tr>
      <w:tr>
        <w:trPr>
          <w:trHeight w:val="32"/>
        </w:trPr>
        <w:tc>
          <w:tcPr>
            <w:tcW w:w="12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4"/>
        </w:trPr>
        <w:tc>
          <w:tcPr>
            <w:tcW w:w="12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Pr>
          <w:p>
            <w:pPr>
              <w:spacing w:after="0"/>
              <w:rPr>
                <w:sz w:val="17"/>
                <w:szCs w:val="17"/>
                <w:color w:val="auto"/>
              </w:rPr>
            </w:pPr>
          </w:p>
        </w:tc>
      </w:tr>
      <w:tr>
        <w:trPr>
          <w:trHeight w:val="29"/>
        </w:trPr>
        <w:tc>
          <w:tcPr>
            <w:tcW w:w="12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3"/>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150.9</w:t>
            </w:r>
          </w:p>
        </w:tc>
      </w:tr>
      <w:tr>
        <w:trPr>
          <w:trHeight w:val="240"/>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0"/>
                <w:szCs w:val="20"/>
                <w:color w:val="auto"/>
                <w:vertAlign w:val="superscript"/>
              </w:rPr>
              <w:t>(1)</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5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289.3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1220" w:type="dxa"/>
            <w:vAlign w:val="bottom"/>
            <w:tcBorders>
              <w:bottom w:val="single" w:sz="8" w:color="auto"/>
            </w:tcBorders>
          </w:tcPr>
          <w:p>
            <w:pPr>
              <w:spacing w:after="0"/>
              <w:rPr>
                <w:sz w:val="23"/>
                <w:szCs w:val="23"/>
                <w:color w:val="auto"/>
              </w:rPr>
            </w:pPr>
          </w:p>
        </w:tc>
        <w:tc>
          <w:tcPr>
            <w:tcW w:w="6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59" w:lineRule="exact"/>
        <w:rPr>
          <w:sz w:val="20"/>
          <w:szCs w:val="20"/>
          <w:color w:val="auto"/>
        </w:rPr>
      </w:pPr>
    </w:p>
    <w:p>
      <w:pPr>
        <w:ind w:left="320" w:hanging="313"/>
        <w:spacing w:after="0" w:line="222" w:lineRule="auto"/>
        <w:tabs>
          <w:tab w:leader="none" w:pos="30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December 31, 2022 and 2021, no individual country outside of the United States generated net revenues that represented more than 10.0% of total revenues.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three months ended December 31, 2022</w:t>
      </w:r>
      <w:r>
        <w:rPr>
          <w:rFonts w:ascii="Times New Roman" w:cs="Times New Roman" w:eastAsia="Times New Roman" w:hAnsi="Times New Roman"/>
          <w:sz w:val="18"/>
          <w:szCs w:val="18"/>
          <w:color w:val="2B2A29"/>
        </w:rPr>
        <w:t>, Embecta granted 572,884 of restricted stock units ("RSUs") in the form of TVUs to employees which vest ratably over three years, subject to continued employment of the recipients.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three months ended December 31, 2022</w:t>
      </w:r>
      <w:r>
        <w:rPr>
          <w:rFonts w:ascii="Times New Roman" w:cs="Times New Roman" w:eastAsia="Times New Roman" w:hAnsi="Times New Roman"/>
          <w:sz w:val="18"/>
          <w:szCs w:val="18"/>
          <w:color w:val="2B2A29"/>
        </w:rPr>
        <w:t>, Embecta awarded 244,192 of RSUs in the form of PSUs to certain executive officers and employees which vest after three years, subject to continued employment of the recipients and the</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2B2A29"/>
        </w:rPr>
        <w:t xml:space="preserve">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Stock-based compensation expense for these awards for the </w:t>
      </w:r>
      <w:r>
        <w:rPr>
          <w:rFonts w:ascii="Times New Roman" w:cs="Times New Roman" w:eastAsia="Times New Roman" w:hAnsi="Times New Roman"/>
          <w:sz w:val="17"/>
          <w:szCs w:val="17"/>
          <w:color w:val="000000"/>
        </w:rPr>
        <w:t>three months ended December 31, 2022</w:t>
      </w:r>
      <w:r>
        <w:rPr>
          <w:rFonts w:ascii="Times New Roman" w:cs="Times New Roman" w:eastAsia="Times New Roman" w:hAnsi="Times New Roman"/>
          <w:sz w:val="17"/>
          <w:szCs w:val="17"/>
          <w:color w:val="2B2A29"/>
        </w:rPr>
        <w:t xml:space="preserve"> was $0.1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direct and allocated stock-based compensation expense for the three months ended December 31, 2022 and 2021 and the respective income tax benefits recognized by the Company in the Condensed Consolidated Statements of Income are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r>
      <w:tr>
        <w:trPr>
          <w:trHeight w:val="32"/>
        </w:trPr>
        <w:tc>
          <w:tcPr>
            <w:tcW w:w="7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4"/>
        </w:trPr>
        <w:tc>
          <w:tcPr>
            <w:tcW w:w="7920" w:type="dxa"/>
            <w:vAlign w:val="bottom"/>
          </w:tcPr>
          <w:p>
            <w:pPr>
              <w:spacing w:after="0"/>
              <w:rPr>
                <w:sz w:val="17"/>
                <w:szCs w:val="17"/>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Pr>
          <w:p>
            <w:pPr>
              <w:spacing w:after="0"/>
              <w:rPr>
                <w:sz w:val="17"/>
                <w:szCs w:val="17"/>
                <w:color w:val="auto"/>
              </w:rPr>
            </w:pPr>
          </w:p>
        </w:tc>
      </w:tr>
      <w:tr>
        <w:trPr>
          <w:trHeight w:val="29"/>
        </w:trPr>
        <w:tc>
          <w:tcPr>
            <w:tcW w:w="7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1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40" w:type="dxa"/>
            <w:vAlign w:val="bottom"/>
            <w:tcBorders>
              <w:bottom w:val="single" w:sz="8" w:color="CCEEFF"/>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1"/>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2"/>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40" w:type="dxa"/>
            <w:vAlign w:val="bottom"/>
            <w:tcBorders>
              <w:top w:val="single" w:sz="8" w:color="auto"/>
            </w:tcBorders>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ind w:right="10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31"/>
        </w:trPr>
        <w:tc>
          <w:tcPr>
            <w:tcW w:w="7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associated with stock-based compensation costs recognized</w:t>
            </w:r>
          </w:p>
        </w:tc>
        <w:tc>
          <w:tcPr>
            <w:tcW w:w="1140" w:type="dxa"/>
            <w:vAlign w:val="bottom"/>
            <w:tcBorders>
              <w:bottom w:val="single" w:sz="8" w:color="CCEEFF"/>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stock appreciation rights ("SARs") outstanding as of December 31, 2022 and changes during the three months ended December 31, 2022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7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3"/>
                <w:szCs w:val="13"/>
                <w:color w:val="auto"/>
              </w:rPr>
            </w:pPr>
          </w:p>
        </w:tc>
        <w:tc>
          <w:tcPr>
            <w:tcW w:w="1440" w:type="dxa"/>
            <w:vAlign w:val="bottom"/>
          </w:tcPr>
          <w:p>
            <w:pPr>
              <w:jc w:val="right"/>
              <w:ind w:right="124"/>
              <w:spacing w:after="0" w:line="160"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SARs (in thousands)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40" w:type="dxa"/>
            <w:vAlign w:val="bottom"/>
          </w:tcPr>
          <w:p>
            <w:pPr>
              <w:spacing w:after="0"/>
              <w:rPr>
                <w:sz w:val="16"/>
                <w:szCs w:val="16"/>
                <w:color w:val="auto"/>
              </w:rPr>
            </w:pPr>
          </w:p>
        </w:tc>
        <w:tc>
          <w:tcPr>
            <w:tcW w:w="14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1,916.7</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1"/>
        </w:trPr>
        <w:tc>
          <w:tcPr>
            <w:tcW w:w="46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December 31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December 31</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vMerge w:val="continue"/>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524.0</w:t>
            </w:r>
          </w:p>
        </w:tc>
        <w:tc>
          <w:tcPr>
            <w:tcW w:w="12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3"/>
              <w:spacing w:after="0" w:line="182" w:lineRule="exact"/>
              <w:rPr>
                <w:sz w:val="20"/>
                <w:szCs w:val="20"/>
                <w:color w:val="auto"/>
              </w:rPr>
            </w:pPr>
            <w:r>
              <w:rPr>
                <w:rFonts w:ascii="Times New Roman" w:cs="Times New Roman" w:eastAsia="Times New Roman" w:hAnsi="Times New Roman"/>
                <w:sz w:val="16"/>
                <w:szCs w:val="16"/>
                <w:color w:val="auto"/>
              </w:rPr>
              <w:t>27.06</w:t>
            </w:r>
          </w:p>
        </w:tc>
        <w:tc>
          <w:tcPr>
            <w:tcW w:w="100" w:type="dxa"/>
            <w:vAlign w:val="bottom"/>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1"/>
        </w:trPr>
        <w:tc>
          <w:tcPr>
            <w:tcW w:w="46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6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exercised or forfeited during the three months ended December 31,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time-vested RSUs outstanding as of December 31, 2022 and changes during the three months ended December 31, 2022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87"/>
        </w:trPr>
        <w:tc>
          <w:tcPr>
            <w:tcW w:w="79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RSUs (in thousands)</w:t>
            </w:r>
          </w:p>
        </w:tc>
        <w:tc>
          <w:tcPr>
            <w:tcW w:w="200" w:type="dxa"/>
            <w:vAlign w:val="bottom"/>
          </w:tcPr>
          <w:p>
            <w:pPr>
              <w:spacing w:after="0"/>
              <w:rPr>
                <w:sz w:val="16"/>
                <w:szCs w:val="16"/>
                <w:color w:val="auto"/>
              </w:rPr>
            </w:pPr>
          </w:p>
        </w:tc>
        <w:tc>
          <w:tcPr>
            <w:tcW w:w="13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0" w:type="dxa"/>
            <w:vAlign w:val="bottom"/>
          </w:tcPr>
          <w:p>
            <w:pPr>
              <w:spacing w:after="0"/>
              <w:rPr>
                <w:sz w:val="1"/>
                <w:szCs w:val="1"/>
                <w:color w:val="auto"/>
              </w:rPr>
            </w:pPr>
          </w:p>
        </w:tc>
      </w:tr>
      <w:tr>
        <w:trPr>
          <w:trHeight w:val="31"/>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0" w:type="dxa"/>
            <w:vAlign w:val="bottom"/>
          </w:tcPr>
          <w:p>
            <w:pPr>
              <w:spacing w:after="0"/>
              <w:rPr>
                <w:sz w:val="1"/>
                <w:szCs w:val="1"/>
                <w:color w:val="auto"/>
              </w:rPr>
            </w:pP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0" w:type="dxa"/>
            <w:vAlign w:val="bottom"/>
          </w:tcPr>
          <w:p>
            <w:pPr>
              <w:spacing w:after="0"/>
              <w:rPr>
                <w:sz w:val="1"/>
                <w:szCs w:val="1"/>
                <w:color w:val="auto"/>
              </w:rPr>
            </w:pPr>
          </w:p>
        </w:tc>
      </w:tr>
      <w:tr>
        <w:trPr>
          <w:trHeight w:val="31"/>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December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December 31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60" w:type="dxa"/>
            <w:vAlign w:val="bottom"/>
            <w:vMerge w:val="continue"/>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1,229.9</w:t>
            </w:r>
          </w:p>
        </w:tc>
        <w:tc>
          <w:tcPr>
            <w:tcW w:w="120" w:type="dxa"/>
            <w:vAlign w:val="bottom"/>
          </w:tcPr>
          <w:p>
            <w:pPr>
              <w:spacing w:after="0"/>
              <w:rPr>
                <w:sz w:val="15"/>
                <w:szCs w:val="15"/>
                <w:color w:val="auto"/>
              </w:rPr>
            </w:pPr>
          </w:p>
        </w:tc>
        <w:tc>
          <w:tcPr>
            <w:tcW w:w="2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30.60</w:t>
            </w:r>
          </w:p>
        </w:tc>
        <w:tc>
          <w:tcPr>
            <w:tcW w:w="0" w:type="dxa"/>
            <w:vAlign w:val="bottom"/>
          </w:tcPr>
          <w:p>
            <w:pPr>
              <w:spacing w:after="0"/>
              <w:rPr>
                <w:sz w:val="1"/>
                <w:szCs w:val="1"/>
                <w:color w:val="auto"/>
              </w:rPr>
            </w:pPr>
          </w:p>
        </w:tc>
      </w:tr>
      <w:tr>
        <w:trPr>
          <w:trHeight w:val="31"/>
        </w:trPr>
        <w:tc>
          <w:tcPr>
            <w:tcW w:w="79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RSUs distributed include shares withheld for taxes that are not formally issued to the market.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weighted average remaining vesting term of time vested restricted stock units is 2.2 years.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December 31, 2022, is approximately $38.9 million, which is expected to be recognized over a weighted-average remaining life of approximately 2.4 years. At December 31, 2022, 3.6 million shares were authorized for future grants under the 2022 Employee and Director Equity Based Compensation Plan.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8"/>
                <w:szCs w:val="18"/>
                <w:color w:val="auto"/>
              </w:rPr>
            </w:pPr>
          </w:p>
        </w:tc>
        <w:tc>
          <w:tcPr>
            <w:tcW w:w="172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32"/>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3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8"/>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1"/>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2"/>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1"/>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2"/>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1"/>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31"/>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0" w:lineRule="exact"/>
        <w:rPr>
          <w:sz w:val="20"/>
          <w:szCs w:val="20"/>
          <w:color w:val="auto"/>
        </w:rPr>
      </w:pPr>
    </w:p>
    <w:p>
      <w:pPr>
        <w:jc w:val="both"/>
        <w:ind w:left="880" w:hanging="554"/>
        <w:spacing w:after="0" w:line="244" w:lineRule="auto"/>
        <w:tabs>
          <w:tab w:leader="none" w:pos="875" w:val="left"/>
        </w:tabs>
        <w:numPr>
          <w:ilvl w:val="0"/>
          <w:numId w:val="6"/>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is 300 basis points over the secured overnight financing rate (“SOFR”), with a 0.50% SOFR floor. The Term Loan was issued at a discount of 0.50%. Principal and interest payments on the Term Loan commenced on June 30, 2022. Such quarterly principal payments are calculated as</w:t>
      </w:r>
    </w:p>
    <w:p>
      <w:pPr>
        <w:spacing w:after="0" w:line="1" w:lineRule="exact"/>
        <w:rPr>
          <w:rFonts w:ascii="Times New Roman" w:cs="Times New Roman" w:eastAsia="Times New Roman" w:hAnsi="Times New Roman"/>
          <w:sz w:val="18"/>
          <w:szCs w:val="18"/>
          <w:color w:val="2B2A29"/>
        </w:rPr>
      </w:pPr>
    </w:p>
    <w:p>
      <w:pPr>
        <w:ind w:left="880"/>
        <w:spacing w:after="0"/>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2B2A29"/>
        </w:rPr>
        <w:t xml:space="preserve">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79" w:lineRule="exact"/>
        <w:rPr>
          <w:rFonts w:ascii="Times New Roman" w:cs="Times New Roman" w:eastAsia="Times New Roman" w:hAnsi="Times New Roman"/>
          <w:sz w:val="18"/>
          <w:szCs w:val="18"/>
          <w:color w:val="2B2A29"/>
        </w:rPr>
      </w:pPr>
    </w:p>
    <w:p>
      <w:pPr>
        <w:jc w:val="both"/>
        <w:ind w:left="880" w:hanging="554"/>
        <w:spacing w:after="0" w:line="264" w:lineRule="auto"/>
        <w:tabs>
          <w:tab w:leader="none" w:pos="875" w:val="left"/>
        </w:tabs>
        <w:numPr>
          <w:ilvl w:val="0"/>
          <w:numId w:val="6"/>
        </w:numPr>
        <w:rPr>
          <w:rFonts w:ascii="Times New Roman" w:cs="Times New Roman" w:eastAsia="Times New Roman" w:hAnsi="Times New Roman"/>
          <w:sz w:val="17"/>
          <w:szCs w:val="17"/>
          <w:color w:val="2B2A29"/>
        </w:rPr>
      </w:pPr>
      <w:r>
        <w:rPr>
          <w:rFonts w:ascii="Times New Roman" w:cs="Times New Roman" w:eastAsia="Times New Roman" w:hAnsi="Times New Roman"/>
          <w:sz w:val="17"/>
          <w:szCs w:val="17"/>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7"/>
          <w:szCs w:val="17"/>
          <w:color w:val="2B2A29"/>
        </w:rPr>
        <w:t>five</w:t>
      </w:r>
      <w:r>
        <w:rPr>
          <w:rFonts w:ascii="Times New Roman" w:cs="Times New Roman" w:eastAsia="Times New Roman" w:hAnsi="Times New Roman"/>
          <w:sz w:val="17"/>
          <w:szCs w:val="17"/>
          <w:color w:val="auto"/>
        </w:rPr>
        <w:t xml:space="preserve">-year term that matures in 2027. </w:t>
      </w:r>
      <w:r>
        <w:rPr>
          <w:rFonts w:ascii="Times New Roman" w:cs="Times New Roman" w:eastAsia="Times New Roman" w:hAnsi="Times New Roman"/>
          <w:sz w:val="17"/>
          <w:szCs w:val="17"/>
          <w:color w:val="2B2A29"/>
        </w:rPr>
        <w:t>Borrowings under the Revolving Credit Facility bear interest, at Embecta’s option, at an annual rate equal to (a) in the case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B2A29"/>
        </w:rPr>
        <w:t xml:space="preserve">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7"/>
          <w:szCs w:val="17"/>
          <w:color w:val="000000"/>
        </w:rPr>
        <w:t>As of December 31, 2022, no amount has been drawn on the Revolving Credit Facility.</w:t>
      </w:r>
    </w:p>
    <w:p>
      <w:pPr>
        <w:spacing w:after="0" w:line="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942.9</w:t>
            </w:r>
          </w:p>
        </w:tc>
      </w:tr>
      <w:tr>
        <w:trPr>
          <w:trHeight w:val="208"/>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500.0</w:t>
            </w:r>
          </w:p>
        </w:tc>
      </w:tr>
      <w:tr>
        <w:trPr>
          <w:trHeight w:val="31"/>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7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5"/>
                <w:szCs w:val="15"/>
                <w:color w:val="000000"/>
              </w:rPr>
              <w:t>Notes due February 2030</w:t>
            </w:r>
          </w:p>
        </w:tc>
        <w:tc>
          <w:tcPr>
            <w:tcW w:w="54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r>
      <w:tr>
        <w:trPr>
          <w:trHeight w:val="202"/>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1,642.9</w:t>
            </w:r>
          </w:p>
        </w:tc>
      </w:tr>
      <w:tr>
        <w:trPr>
          <w:trHeight w:val="31"/>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r>
      <w:tr>
        <w:trPr>
          <w:trHeight w:val="31"/>
        </w:trPr>
        <w:tc>
          <w:tcPr>
            <w:tcW w:w="9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1,597.1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45" w:lineRule="exact"/>
        <w:rPr>
          <w:sz w:val="20"/>
          <w:szCs w:val="20"/>
          <w:color w:val="auto"/>
        </w:rPr>
      </w:pPr>
    </w:p>
    <w:tbl>
      <w:tblPr>
        <w:tblLayout w:type="fixed"/>
        <w:tblInd w:w="1040" w:type="dxa"/>
        <w:tblCellMar>
          <w:top w:w="0" w:type="dxa"/>
          <w:left w:w="0" w:type="dxa"/>
          <w:bottom w:w="0" w:type="dxa"/>
          <w:right w:w="0" w:type="dxa"/>
        </w:tblCellMar>
      </w:tblPr>
      <w:tr>
        <w:trPr>
          <w:trHeight w:val="21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4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4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4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2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2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w:t>
            </w:r>
          </w:p>
        </w:tc>
      </w:tr>
    </w:tbl>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December 31, 2022 was $1,497.7 million compared with a carrying value (which includes a reduction for unamortized debt issuance costs and discounts) of $1,606.6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B2A29"/>
        </w:rPr>
        <w:t xml:space="preserve">As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and 6.75% Notes were issued subsequent to the three months ended December 31, 2021, there was no comparable interest expense recognized in the Condensed Consolidated Income Statement for the three months ended December 31,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 2022, the date of the Separation, 57,012,925 shares of Embecta's common stock, par value $0.01 per share, were distributed to BD shareholders of record as of March 22, 2022, the record date of the distribution. This share amount is utilized for the calculation of basic and diluted earnings per share for all periods presented prior to the Separation.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basic and diluted earnings per common share for the </w:t>
      </w:r>
      <w:r>
        <w:rPr>
          <w:rFonts w:ascii="Times New Roman" w:cs="Times New Roman" w:eastAsia="Times New Roman" w:hAnsi="Times New Roman"/>
          <w:sz w:val="18"/>
          <w:szCs w:val="18"/>
          <w:color w:val="2B2A29"/>
        </w:rPr>
        <w:t>three months ended December 31, 2022 and 2022 was as follows: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i w:val="1"/>
          <w:iCs w:val="1"/>
          <w:color w:val="auto"/>
        </w:rPr>
        <w:t>($ in millions and shares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26670</wp:posOffset>
            </wp:positionV>
            <wp:extent cx="7083425" cy="160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3425" cy="160655"/>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Net Income attributable to Embecta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120650</wp:posOffset>
            </wp:positionV>
            <wp:extent cx="7083425" cy="152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3425" cy="152400"/>
                    </a:xfrm>
                    <a:prstGeom prst="rect">
                      <a:avLst/>
                    </a:prstGeom>
                    <a:noFill/>
                  </pic:spPr>
                </pic:pic>
              </a:graphicData>
            </a:graphic>
          </wp:anchor>
        </w:drawing>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19050</wp:posOffset>
            </wp:positionV>
            <wp:extent cx="7083425" cy="152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3425" cy="152400"/>
                    </a:xfrm>
                    <a:prstGeom prst="rect">
                      <a:avLst/>
                    </a:prstGeom>
                    <a:noFill/>
                  </pic:spPr>
                </pic:pic>
              </a:graphicData>
            </a:graphic>
          </wp:anchor>
        </w:drawing>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120650</wp:posOffset>
            </wp:positionV>
            <wp:extent cx="7083425" cy="152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3425" cy="152400"/>
                    </a:xfrm>
                    <a:prstGeom prst="rect">
                      <a:avLst/>
                    </a:prstGeom>
                    <a:noFill/>
                  </pic:spPr>
                </pic:pic>
              </a:graphicData>
            </a:graphic>
          </wp:anchor>
        </w:drawing>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Earnings per common share - Basic</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Earnings per common share - Diluted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4"/>
        </w:trPr>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399"/>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57,013</w:t>
            </w:r>
          </w:p>
        </w:tc>
      </w:tr>
      <w:tr>
        <w:trPr>
          <w:trHeight w:val="240"/>
        </w:trPr>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57,013</w:t>
            </w:r>
          </w:p>
        </w:tc>
      </w:tr>
      <w:tr>
        <w:trPr>
          <w:trHeight w:val="400"/>
        </w:trPr>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Pr>
          <w:p>
            <w:pPr>
              <w:spacing w:after="0"/>
              <w:rPr>
                <w:sz w:val="24"/>
                <w:szCs w:val="24"/>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40"/>
        </w:trPr>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bl>
    <w:p>
      <w:pPr>
        <w:spacing w:after="0" w:line="202" w:lineRule="exact"/>
        <w:rPr>
          <w:sz w:val="20"/>
          <w:szCs w:val="20"/>
          <w:color w:val="auto"/>
        </w:rPr>
      </w:pPr>
    </w:p>
    <w:p>
      <w:pPr>
        <w:sectPr>
          <w:pgSz w:w="11900" w:h="16838" w:orient="portrait"/>
          <w:cols w:equalWidth="0" w:num="2">
            <w:col w:w="7200" w:space="720"/>
            <w:col w:w="3320"/>
          </w:cols>
          <w:pgMar w:left="320" w:top="226" w:right="339" w:bottom="1440" w:gutter="0" w:footer="0" w:header="0"/>
          <w:type w:val="continuous"/>
        </w:sectPr>
      </w:pPr>
    </w:p>
    <w:p>
      <w:pPr>
        <w:spacing w:after="0" w:line="5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For periods prior to the Separation, it is assumed that there were no dilutive equity instruments as there were no equity awards of Embecta outstanding prior to the Separation.</w:t>
      </w:r>
    </w:p>
    <w:p>
      <w:pPr>
        <w:spacing w:after="0" w:line="7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For periods subsequent to the Separation, diluted earnings per share is computed by giving effect to all potentially dilutive stock awards that are outstanding. The computation of diluted earnings per share excludes the effect of the potential</w:t>
      </w:r>
    </w:p>
    <w:p>
      <w:pPr>
        <w:sectPr>
          <w:pgSz w:w="11900" w:h="16838" w:orient="portrait"/>
          <w:cols w:equalWidth="0" w:num="1">
            <w:col w:w="11240"/>
          </w:cols>
          <w:pgMar w:left="320" w:top="226"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exercise of stock-based awards, when the effect of the potential exercise would be anti-dilutive. For the </w:t>
      </w:r>
      <w:r>
        <w:rPr>
          <w:rFonts w:ascii="Times New Roman" w:cs="Times New Roman" w:eastAsia="Times New Roman" w:hAnsi="Times New Roman"/>
          <w:sz w:val="18"/>
          <w:szCs w:val="18"/>
          <w:color w:val="2B2A29"/>
        </w:rPr>
        <w:t>three months ended December 31, 2022</w:t>
      </w:r>
      <w:r>
        <w:rPr>
          <w:rFonts w:ascii="Times New Roman" w:cs="Times New Roman" w:eastAsia="Times New Roman" w:hAnsi="Times New Roman"/>
          <w:sz w:val="18"/>
          <w:szCs w:val="18"/>
          <w:color w:val="auto"/>
        </w:rPr>
        <w:t>, 2.0 million of dilutive share equivalents issuable under stock-based compensation plans were excluded from the diluted shares outstanding calculation because the result would have been antidilutive.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vary from quarter to quarter because of changes in the global pretax income or geographical mix of the Company's earnings, changes in tax laws and matters related to tax audits.</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effective tax rates were 37.3% and 15.3% for the three months ended December 31, 2022 and 2021, respectively. The increase in the Company’s effective tax rate from the prior comparative period is primarily due to the establishment of a valuation allowance against the utilization of interest expense carryforwards generated during the current period resulting from U.S. interest deduction limitation rules, increased tax expense on undistributed earnings of foreign subsidiaries and increased U.S. taxes on the earnings of foreign subsidiaries, partially offset by tax benefits from non-taxable permanent differences.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Financial Instruments and Fair Value Measurements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reported within the Condensed Consolidated Balance Sheets as of December 31, 2022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to the total amounts shown in the Condensed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8"/>
                <w:szCs w:val="18"/>
                <w:color w:val="auto"/>
              </w:rPr>
            </w:pP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0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r>
    </w:tbl>
    <w:p>
      <w:pPr>
        <w:spacing w:after="0" w:line="22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Cash and cash equivalents as of December 31, 2022 includes cash held in money market funds and other cash equivalents. All cash and cash equivalents are Level 1 in the fair value hierarchy.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Greater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Hedge Designation</w:t>
            </w: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8"/>
                <w:szCs w:val="18"/>
                <w:color w:val="auto"/>
              </w:rPr>
            </w:pPr>
          </w:p>
        </w:tc>
        <w:tc>
          <w:tcPr>
            <w:tcW w:w="1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 (a)</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Undesignated</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bl>
    <w:p>
      <w:pPr>
        <w:spacing w:after="0" w:line="222" w:lineRule="exact"/>
        <w:rPr>
          <w:sz w:val="20"/>
          <w:szCs w:val="20"/>
          <w:color w:val="auto"/>
        </w:rPr>
      </w:pPr>
    </w:p>
    <w:p>
      <w:pPr>
        <w:jc w:val="both"/>
        <w:ind w:left="640" w:hanging="314"/>
        <w:spacing w:after="0" w:line="246" w:lineRule="auto"/>
        <w:tabs>
          <w:tab w:leader="none" w:pos="6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 hedges of transactional foreign exchange exposures resulting primarily from intercompany payables and receivables. Gains and losses on these instruments are recognized immediately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and prior to the Separation, the Company’s operations formed part of BD’s monitoring of concentrations of credit risk associated with financial institutions for which BD conducted business.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transferred the majority of its trade receivables to BD under the Factoring Agreements (see Note 3). As a result, the Company is no longer exposed to credit risk associated with those transferred</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and does not have material credit risk exposure associated with the remaining $19.9 million of trade receivables.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Three of the Company’s customers represent at least 10.0% of total gross revenues individually and, in the aggregate, represented approximately 40.5% for the three months ended December 31, 2022.</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Property, Plant and Equipment</w:t>
            </w: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2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9"/>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Pr>
          <w:p>
            <w:pPr>
              <w:spacing w:after="0"/>
              <w:rPr>
                <w:sz w:val="24"/>
                <w:szCs w:val="24"/>
                <w:color w:val="auto"/>
              </w:rPr>
            </w:pPr>
          </w:p>
        </w:tc>
        <w:tc>
          <w:tcPr>
            <w:tcW w:w="2100" w:type="dxa"/>
            <w:vAlign w:val="bottom"/>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13"/>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31"/>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2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w:t>
            </w: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31"/>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02"/>
        </w:trPr>
        <w:tc>
          <w:tcPr>
            <w:tcW w:w="6400" w:type="dxa"/>
            <w:vAlign w:val="bottom"/>
          </w:tcPr>
          <w:p>
            <w:pPr>
              <w:spacing w:after="0"/>
              <w:rPr>
                <w:sz w:val="17"/>
                <w:szCs w:val="17"/>
                <w:color w:val="auto"/>
              </w:rPr>
            </w:pPr>
          </w:p>
        </w:tc>
        <w:tc>
          <w:tcPr>
            <w:tcW w:w="2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701.6</w:t>
            </w:r>
          </w:p>
        </w:tc>
      </w:tr>
      <w:tr>
        <w:trPr>
          <w:trHeight w:val="31"/>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2"/>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w:t>
            </w:r>
          </w:p>
        </w:tc>
      </w:tr>
      <w:tr>
        <w:trPr>
          <w:trHeight w:val="31"/>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finance lease assets and liabilities are attributed to our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leases primarily relate to our real estate leases that are not classified as finance leases.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tc>
        <w:tc>
          <w:tcPr>
            <w:tcW w:w="1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6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leases are included in our Condensed Consolidated Balance Sheets as follows:</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18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00"/>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60" w:type="dxa"/>
            <w:vAlign w:val="bottom"/>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34.9</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r>
      <w:tr>
        <w:trPr>
          <w:trHeight w:val="31"/>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960" w:type="dxa"/>
            <w:vAlign w:val="bottom"/>
            <w:tcBorders>
              <w:bottom w:val="single" w:sz="8" w:color="CCEEFF"/>
            </w:tcBorders>
            <w:shd w:val="clear" w:color="auto" w:fill="CCEEFF"/>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61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20"/>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960" w:type="dxa"/>
            <w:vAlign w:val="bottom"/>
            <w:tcBorders>
              <w:bottom w:val="single" w:sz="8" w:color="CCEEFF"/>
            </w:tcBorders>
            <w:shd w:val="clear" w:color="auto" w:fill="CCEEFF"/>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r>
      <w:tr>
        <w:trPr>
          <w:trHeight w:val="208"/>
        </w:trPr>
        <w:tc>
          <w:tcPr>
            <w:tcW w:w="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960" w:type="dxa"/>
            <w:vAlign w:val="bottom"/>
          </w:tcPr>
          <w:p>
            <w:pPr>
              <w:spacing w:after="0"/>
              <w:rPr>
                <w:sz w:val="18"/>
                <w:szCs w:val="18"/>
                <w:color w:val="auto"/>
              </w:rPr>
            </w:pPr>
          </w:p>
        </w:tc>
        <w:tc>
          <w:tcPr>
            <w:tcW w:w="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32.3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32.6</w:t>
            </w:r>
          </w:p>
        </w:tc>
      </w:tr>
      <w:tr>
        <w:trPr>
          <w:trHeight w:val="31"/>
        </w:trPr>
        <w:tc>
          <w:tcPr>
            <w:tcW w:w="20" w:type="dxa"/>
            <w:vAlign w:val="bottom"/>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960" w:type="dxa"/>
            <w:vAlign w:val="bottom"/>
            <w:tcBorders>
              <w:bottom w:val="single" w:sz="8" w:color="CCEEFF"/>
            </w:tcBorders>
            <w:shd w:val="clear" w:color="auto" w:fill="CCEEFF"/>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r>
      <w:tr>
        <w:trPr>
          <w:trHeight w:val="208"/>
        </w:trPr>
        <w:tc>
          <w:tcPr>
            <w:tcW w:w="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1"/>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07"/>
        </w:trPr>
        <w:tc>
          <w:tcPr>
            <w:tcW w:w="20" w:type="dxa"/>
            <w:vAlign w:val="bottom"/>
          </w:tcPr>
          <w:p>
            <w:pPr>
              <w:spacing w:after="0"/>
              <w:rPr>
                <w:sz w:val="9"/>
                <w:szCs w:val="9"/>
                <w:color w:val="auto"/>
              </w:rPr>
            </w:pPr>
          </w:p>
        </w:tc>
        <w:tc>
          <w:tcPr>
            <w:tcW w:w="618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9"/>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960" w:type="dxa"/>
            <w:vAlign w:val="bottom"/>
            <w:tcBorders>
              <w:bottom w:val="single" w:sz="8" w:color="CCEEFF"/>
            </w:tcBorders>
            <w:shd w:val="clear" w:color="auto" w:fill="CCEEFF"/>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202"/>
        </w:trPr>
        <w:tc>
          <w:tcPr>
            <w:tcW w:w="20" w:type="dxa"/>
            <w:vAlign w:val="bottom"/>
          </w:tcPr>
          <w:p>
            <w:pPr>
              <w:spacing w:after="0"/>
              <w:rPr>
                <w:sz w:val="17"/>
                <w:szCs w:val="17"/>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960" w:type="dxa"/>
            <w:vAlign w:val="bottom"/>
            <w:tcBorders>
              <w:top w:val="single" w:sz="8" w:color="auto"/>
            </w:tcBorders>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31"/>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73"/>
        </w:trPr>
        <w:tc>
          <w:tcPr>
            <w:tcW w:w="20" w:type="dxa"/>
            <w:vAlign w:val="bottom"/>
          </w:tcPr>
          <w:p>
            <w:pPr>
              <w:spacing w:after="0"/>
              <w:rPr>
                <w:sz w:val="6"/>
                <w:szCs w:val="6"/>
                <w:color w:val="auto"/>
              </w:rPr>
            </w:pPr>
          </w:p>
        </w:tc>
        <w:tc>
          <w:tcPr>
            <w:tcW w:w="618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r>
      <w:tr>
        <w:trPr>
          <w:trHeight w:val="208"/>
        </w:trPr>
        <w:tc>
          <w:tcPr>
            <w:tcW w:w="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960" w:type="dxa"/>
            <w:vAlign w:val="bottom"/>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r>
      <w:tr>
        <w:trPr>
          <w:trHeight w:val="31"/>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r>
      <w:tr>
        <w:trPr>
          <w:trHeight w:val="202"/>
        </w:trPr>
        <w:tc>
          <w:tcPr>
            <w:tcW w:w="20" w:type="dxa"/>
            <w:vAlign w:val="bottom"/>
          </w:tcPr>
          <w:p>
            <w:pPr>
              <w:spacing w:after="0"/>
              <w:rPr>
                <w:sz w:val="17"/>
                <w:szCs w:val="17"/>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960" w:type="dxa"/>
            <w:vAlign w:val="bottom"/>
            <w:tcBorders>
              <w:top w:val="single" w:sz="8" w:color="auto"/>
            </w:tcBorders>
          </w:tcPr>
          <w:p>
            <w:pPr>
              <w:jc w:val="right"/>
              <w:ind w:right="1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r>
      <w:tr>
        <w:trPr>
          <w:trHeight w:val="31"/>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73"/>
        </w:trPr>
        <w:tc>
          <w:tcPr>
            <w:tcW w:w="20" w:type="dxa"/>
            <w:vAlign w:val="bottom"/>
          </w:tcPr>
          <w:p>
            <w:pPr>
              <w:spacing w:after="0"/>
              <w:rPr>
                <w:sz w:val="6"/>
                <w:szCs w:val="6"/>
                <w:color w:val="auto"/>
              </w:rPr>
            </w:pPr>
          </w:p>
        </w:tc>
        <w:tc>
          <w:tcPr>
            <w:tcW w:w="6180" w:type="dxa"/>
            <w:vAlign w:val="bottom"/>
            <w:shd w:val="clear" w:color="auto" w:fill="CCEEFF"/>
          </w:tcPr>
          <w:p>
            <w:pPr>
              <w:spacing w:after="0"/>
              <w:rPr>
                <w:sz w:val="6"/>
                <w:szCs w:val="6"/>
                <w:color w:val="auto"/>
              </w:rPr>
            </w:pPr>
          </w:p>
        </w:tc>
        <w:tc>
          <w:tcPr>
            <w:tcW w:w="1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r>
      <w:tr>
        <w:trPr>
          <w:trHeight w:val="208"/>
        </w:trPr>
        <w:tc>
          <w:tcPr>
            <w:tcW w:w="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960" w:type="dxa"/>
            <w:vAlign w:val="bottom"/>
          </w:tcPr>
          <w:p>
            <w:pPr>
              <w:spacing w:after="0"/>
              <w:rPr>
                <w:sz w:val="18"/>
                <w:szCs w:val="18"/>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r>
      <w:tr>
        <w:trPr>
          <w:trHeight w:val="31"/>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31"/>
        </w:trPr>
        <w:tc>
          <w:tcPr>
            <w:tcW w:w="20" w:type="dxa"/>
            <w:vAlign w:val="bottom"/>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December 31, 2022 and 2021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1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32"/>
        </w:trPr>
        <w:tc>
          <w:tcPr>
            <w:tcW w:w="6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08"/>
        </w:trPr>
        <w:tc>
          <w:tcPr>
            <w:tcW w:w="8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6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and operating lease liabilities as of December 31, 2022 by fiscal year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1780" w:type="dxa"/>
            <w:vAlign w:val="bottom"/>
            <w:tcBorders>
              <w:bottom w:val="single" w:sz="8" w:color="CCEEFF"/>
            </w:tcBorders>
            <w:shd w:val="clear" w:color="auto" w:fill="CCEEFF"/>
          </w:tcPr>
          <w:p>
            <w:pPr>
              <w:jc w:val="right"/>
              <w:ind w:right="16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8"/>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1"/>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0"/>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8"/>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1"/>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0"/>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31"/>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6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02"/>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31"/>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6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 2022, the Company entered into a real estate lease for a new Corporate Headquarters located in Parsippany, NJ. The lease commenced during the second quarter of fiscal year 2023 and is in existence for an initial term of ten years. The Company has an option to extend the lease for additional periods of six years and four years, respectively.</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Over the close to 100 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sliding safety arm that can be activated with one-hand after the injection to help prevent needlestick exposure and injury during injection and disposal.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BD</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Pursuant to the Separation and Distribution Agreement, the Separation from BD was completed on April 1, 2022. 57,012,925 issued and outstanding shares of Embecta common stock were distributed pro-rata to BD stockholders as of the close of business on March 22, 2022, the record date for the distribution, determined by applying a ratio of one share of Embecta common stock for every five shares of BD common stock. "Regular-way" trading of Embecta common stock began on April 1, 2022, under the ticker symbol "EMBC".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Prior to Separation</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Separation, the Company was referred to as the Diabetes Care Business. For periods prior to April 1, 2022, the Condensed Consolidated Financial Statements included certain assets and liabilities that were historically been held at the BD corporate level but are specifically identifiable or otherwise allocable to the Diabetes Care 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Post Separation</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period subsequent to April 1, 2022, as a standalone publicly traded company, Embecta presents its financial statements on a consolidated basis. The Condensed Consolidated Financial Statements have been prepared in accordance with accounting principles generally accepted in the United States of America.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Pricing Pressures. The increased scrutiny by regulators on healthcare spending, which has accelerated in light of the COVID-19 pandemic, along with a shift towards volume-based procurement and group purchasing organizations, which generally values lower cost over product features, benefits and quality, have placed significant pressure on Embecta to</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lower pricing. These trends may reduce our operating margins, which are only partially offset by our ability to differentiate our products and sell at higher prices.</w:t>
      </w:r>
    </w:p>
    <w:p>
      <w:pPr>
        <w:spacing w:after="0" w:line="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anti-diabetic drugs (e.g., SGLT-2s) and GLP-1s and GLP-1 combination products have delayed initiation of insulin therapy and contributed to less demand for our products.</w:t>
      </w:r>
    </w:p>
    <w:p>
      <w:pPr>
        <w:spacing w:after="0" w:line="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COVID-19 Impacting Delivery and Allocation of Healthcare. The COVID-19 pandemic has accelerated the adoption of, and 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COVID-19 needs and maintaining routine care, including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 Impacts and Response and Global Economic Conditions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Various governmental measures to slow and control the spread of COVID-19 have led to a shift in healthcare priorities, supply chain constraints and the disruption of economic activities worldwide. As further discussed below,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w:t>
      </w:r>
    </w:p>
    <w:p>
      <w:pPr>
        <w:spacing w:after="0" w:line="111" w:lineRule="exact"/>
        <w:rPr>
          <w:sz w:val="20"/>
          <w:szCs w:val="20"/>
          <w:color w:val="auto"/>
        </w:rPr>
      </w:pPr>
    </w:p>
    <w:p>
      <w:pPr>
        <w:ind w:left="960" w:hanging="314"/>
        <w:spacing w:after="0" w:line="261"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resurgences in COVID-19 infections or new strains of the virus, result in the imposition of new governmental lockdowns, quarantine requirements or other restrictions that may disrupt our operations;</w:t>
      </w:r>
    </w:p>
    <w:p>
      <w:pPr>
        <w:spacing w:after="0" w:line="96" w:lineRule="exact"/>
        <w:rPr>
          <w:rFonts w:ascii="Times New Roman" w:cs="Times New Roman" w:eastAsia="Times New Roman" w:hAnsi="Times New Roman"/>
          <w:sz w:val="18"/>
          <w:szCs w:val="18"/>
          <w:color w:val="auto"/>
        </w:rPr>
      </w:pPr>
    </w:p>
    <w:p>
      <w:pPr>
        <w:ind w:left="960" w:hanging="314"/>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momentum of the global economy’s recovery from the pandemic and the degree of pressure that a weakened macroeconomic environment would put on the global demand for our products; and</w:t>
      </w:r>
    </w:p>
    <w:p>
      <w:pPr>
        <w:spacing w:after="0" w:line="83"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vaccines and vaccination efforts.</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military conflict in Russia and Ukraine and the sanctions imposed by the United States government and other nations in response to this conflict have caused significant volatility and disruptions to the global markets. For all periods presented, our net sales in Russia and Ukraine were not material to our consolidated net revenues. Although operations in both Russia and Ukraine do not constitute a material portion of our business, there is uncertainty around the military conflict and the impact it will have on the global economy, supply chains and fuel prices generally, and therefore our business. Refer to the "Risk Factors" set forth in the 2022 Form 10-K for further details.</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our revenues and results of operations may and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U.S. dollar and foreign currencies. The nature and extent of the impact of these factors among others varies by region and remains uncertain and unpredictable and may affect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40" w:type="dxa"/>
            <w:vAlign w:val="bottom"/>
            <w:tcBorders>
              <w:bottom w:val="single" w:sz="8" w:color="auto"/>
            </w:tcBorders>
          </w:tcPr>
          <w:p>
            <w:pPr>
              <w:spacing w:after="0"/>
              <w:rPr>
                <w:sz w:val="18"/>
                <w:szCs w:val="18"/>
                <w:color w:val="auto"/>
              </w:rPr>
            </w:pPr>
          </w:p>
        </w:tc>
      </w:tr>
      <w:tr>
        <w:trPr>
          <w:trHeight w:val="206"/>
        </w:trPr>
        <w:tc>
          <w:tcPr>
            <w:tcW w:w="7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9"/>
        </w:trPr>
        <w:tc>
          <w:tcPr>
            <w:tcW w:w="7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tcBorders>
              <w:bottom w:val="single" w:sz="8" w:color="CCEEFF"/>
            </w:tcBorders>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r>
      <w:tr>
        <w:trPr>
          <w:trHeight w:val="31"/>
        </w:trPr>
        <w:tc>
          <w:tcPr>
            <w:tcW w:w="7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1"/>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31"/>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22.6</w:t>
            </w:r>
          </w:p>
        </w:tc>
      </w:tr>
      <w:tr>
        <w:trPr>
          <w:trHeight w:val="202"/>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14.5</w:t>
            </w:r>
          </w:p>
        </w:tc>
      </w:tr>
      <w:tr>
        <w:trPr>
          <w:trHeight w:val="31"/>
        </w:trPr>
        <w:tc>
          <w:tcPr>
            <w:tcW w:w="7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(23.8)</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right="480"/>
              <w:spacing w:after="0"/>
              <w:rPr>
                <w:sz w:val="20"/>
                <w:szCs w:val="20"/>
                <w:color w:val="auto"/>
              </w:rPr>
            </w:pPr>
            <w:r>
              <w:rPr>
                <w:rFonts w:ascii="Times New Roman" w:cs="Times New Roman" w:eastAsia="Times New Roman" w:hAnsi="Times New Roman"/>
                <w:sz w:val="16"/>
                <w:szCs w:val="16"/>
                <w:color w:val="auto"/>
                <w:w w:val="97"/>
              </w:rPr>
              <w:t>nm</w:t>
            </w:r>
          </w:p>
        </w:tc>
      </w:tr>
      <w:tr>
        <w:trPr>
          <w:trHeight w:val="31"/>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color w:val="auto"/>
                <w:w w:val="97"/>
              </w:rPr>
              <w:t>nm</w:t>
            </w:r>
          </w:p>
        </w:tc>
      </w:tr>
      <w:tr>
        <w:trPr>
          <w:trHeight w:val="20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(51.9)</w:t>
            </w:r>
          </w:p>
        </w:tc>
      </w:tr>
      <w:tr>
        <w:trPr>
          <w:trHeight w:val="31"/>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w:t>
            </w:r>
          </w:p>
        </w:tc>
      </w:tr>
      <w:tr>
        <w:trPr>
          <w:trHeight w:val="20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Borders>
              <w:top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31"/>
        </w:trPr>
        <w:tc>
          <w:tcPr>
            <w:tcW w:w="7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3"/>
        </w:trPr>
        <w:tc>
          <w:tcPr>
            <w:tcW w:w="7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1"/>
        </w:trPr>
        <w:tc>
          <w:tcPr>
            <w:tcW w:w="7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color w:val="auto"/>
                <w:w w:val="97"/>
              </w:rPr>
              <w:t>nm</w:t>
            </w:r>
          </w:p>
        </w:tc>
      </w:tr>
      <w:tr>
        <w:trPr>
          <w:trHeight w:val="235"/>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center"/>
              <w:ind w:right="480"/>
              <w:spacing w:after="0"/>
              <w:rPr>
                <w:sz w:val="20"/>
                <w:szCs w:val="20"/>
                <w:color w:val="auto"/>
              </w:rPr>
            </w:pPr>
            <w:r>
              <w:rPr>
                <w:rFonts w:ascii="Times New Roman" w:cs="Times New Roman" w:eastAsia="Times New Roman" w:hAnsi="Times New Roman"/>
                <w:sz w:val="16"/>
                <w:szCs w:val="16"/>
                <w:color w:val="auto"/>
                <w:w w:val="97"/>
              </w:rPr>
              <w:t>nm</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31, 2022 Summary (on a comparative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December 31, 2022 were as follows:</w:t>
      </w:r>
    </w:p>
    <w:p>
      <w:pPr>
        <w:spacing w:after="0" w:line="140" w:lineRule="exact"/>
        <w:rPr>
          <w:sz w:val="20"/>
          <w:szCs w:val="20"/>
          <w:color w:val="auto"/>
        </w:rPr>
      </w:pPr>
    </w:p>
    <w:p>
      <w:pPr>
        <w:ind w:left="960" w:hanging="31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$13.6 million to $275.7 million from $289.3 million;</w:t>
      </w:r>
    </w:p>
    <w:p>
      <w:pPr>
        <w:spacing w:after="0" w:line="139" w:lineRule="exact"/>
        <w:rPr>
          <w:rFonts w:ascii="Times New Roman" w:cs="Times New Roman" w:eastAsia="Times New Roman" w:hAnsi="Times New Roman"/>
          <w:sz w:val="18"/>
          <w:szCs w:val="18"/>
          <w:color w:val="auto"/>
        </w:rPr>
      </w:pPr>
    </w:p>
    <w:p>
      <w:pPr>
        <w:ind w:left="960" w:hanging="314"/>
        <w:spacing w:after="0" w:line="276"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$15.1 million to $188.8 million from $203.9 million. Gross profit as a percent of revenue was 68.5%, as compared to 70.5% in the prior year comparative period;</w:t>
      </w:r>
    </w:p>
    <w:p>
      <w:pPr>
        <w:spacing w:after="0" w:line="83"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decreased by $27.8 million to $88.8 million from $116.6 million; and</w:t>
      </w:r>
    </w:p>
    <w:p>
      <w:pPr>
        <w:spacing w:after="0" w:line="139"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$63.6 million to $35.2 million from $98.8 million.</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revenues decreased by $13.6 million, or 4.7%, to $275.7 million for the three months ended December 31, 2022 as compared to revenues of $289.3 million for the three months ended December 31, 2021. Changes in our revenues are driven by the volume of goods that we sell, the prices we negotiate with customers and changes in foreign exchange rates. Of this decrease, $15.6 million was attributable to unfavorable effects from foreign currency translation primarily due to the strengthening of the U.S. dollar. Subsequent to the Separation Date, we contract manufacture certain products for BD that favorably impacted our revenues in the current period. Changes in price and volume period over period favorably impacted our revenues from customers primarily in our international regions. Changes in price and volume period over period unfavorably impacted our revenues from customers primarily in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products sold increased by $1.5 million, or 1.8%, to $86.9 million for the three months ended December 31, 2022 as compared to $85.4 million for the three months ended December 31, 2021. Cost of products sold as a percentage of revenues was 31.5% for the three months ended December 31, 2022 as compared to 29.5% for the three months ended December 31, 2021. The increase in cost of products sold between periods was primarily driven by the negative impact of inflation on raw materials costs (including freight), direct labor, and overhead. We intend to continue to work to improve productivity to help offset these increased costs.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increased by $10.6 million, or 17.0%, to $72.8 million for the three months ended December 31, 2022 as compared to $62.2 million for the three months ended December 31, 2021.</w:t>
      </w:r>
    </w:p>
    <w:p>
      <w:pPr>
        <w:spacing w:after="0" w:line="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increase was primarily driven by an increase in compensation and benefit costs due to increased headcount attributed to the Separation and Embecta becoming a stand-alone publicly-traded company.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$0.2 million, or 1.2%, to $16.9 million for the three months ended December 31, 2022 as compared to $16.7 million for the three months ended December 31, 2021. The increase for the three month comparative period was primarily driven by timing of research and development projects.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incurred other operating expenses of $10.3 million and $8.4 million for the three months ended December 31, 2022 and 2021, respectively, driven by costs related to the Separation.</w:t>
      </w:r>
    </w:p>
    <w:p>
      <w:pPr>
        <w:spacing w:after="0" w:line="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costs incurred primarily relate to accounting, auditing, and legal services, including costs to establish certain stand-alone corporate functions and other transaction costs attributed to being a stand-alone publicly traded company.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Interest expense, net increased to $25.6 million for the three months ended December 31, 2022, primarily due to the higher interest rates on our variable rate debt that was issued on March 31, 2022. If the United States Federal Reserve continues to raise the benchmark interest rate, then we would expect the interest expense on our variable rate debt to increase during the remainder of fiscal 2023. See "Liquidity and Capital Resources" below and Note 10 to the Condensed Consolidated Financial Statements included elsewhere in this report for a further description of our long-term debt.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$(7.1) million for the three months ended December 31, 2022. The costs incurred primarily relate to amounts due to BD for tax liabilities incurred in deferred jurisdictions where BD is considered the primary obligor.</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effective tax rates were 37.3% and 15.3% for the three months ended December 31, 2022 and 2021, respectively. The increase in the Company’s effective tax rate from the prior comparative period is primarily due to the establishment of a valuation allowance against the utilization of interest expense carryforwards generated during the three months ended December 31, 2022 resulting from U.S. interest deduction limitation rules, increased tax expense on undistributed earnings of foreign subsidiaries and increased U.S. taxes on the earnings of foreign subsidiaries, partially offset by tax benefits from non-taxable permanent differences.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share repurchases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February 2022, and in connection with the Separation, Embecta issued $500.0 million aggregate principal amount of 5.00% senior secured notes due February 15, 2030. </w:t>
      </w:r>
      <w:r>
        <w:rPr>
          <w:rFonts w:ascii="Times New Roman" w:cs="Times New Roman" w:eastAsia="Times New Roman" w:hAnsi="Times New Roman"/>
          <w:sz w:val="18"/>
          <w:szCs w:val="18"/>
          <w:color w:val="2B2A29"/>
        </w:rPr>
        <w:t>Interest payments on the</w:t>
      </w:r>
      <w:r>
        <w:rPr>
          <w:rFonts w:ascii="Times New Roman" w:cs="Times New Roman" w:eastAsia="Times New Roman" w:hAnsi="Times New Roman"/>
          <w:sz w:val="18"/>
          <w:szCs w:val="18"/>
          <w:color w:val="auto"/>
        </w:rPr>
        <w:t xml:space="preserve"> 5.00% </w:t>
      </w:r>
      <w:r>
        <w:rPr>
          <w:rFonts w:ascii="Times New Roman" w:cs="Times New Roman" w:eastAsia="Times New Roman" w:hAnsi="Times New Roman"/>
          <w:sz w:val="18"/>
          <w:szCs w:val="18"/>
          <w:color w:val="2B2A29"/>
        </w:rPr>
        <w:t>Notes are due semi-annually in February and August until maturity, with the first interest payment due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August 2022</w:t>
      </w:r>
      <w:r>
        <w:rPr>
          <w:rFonts w:ascii="Times New Roman" w:cs="Times New Roman" w:eastAsia="Times New Roman" w:hAnsi="Times New Roman"/>
          <w:sz w:val="18"/>
          <w:szCs w:val="18"/>
          <w:color w:val="000000"/>
        </w:rPr>
        <w:t>.</w:t>
      </w:r>
    </w:p>
    <w:p>
      <w:pPr>
        <w:spacing w:after="0" w:line="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In March 2022, we entered into a credit agreement, providing for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March 2029 and </w:t>
      </w:r>
      <w:r>
        <w:rPr>
          <w:rFonts w:ascii="Times New Roman" w:cs="Times New Roman" w:eastAsia="Times New Roman" w:hAnsi="Times New Roman"/>
          <w:sz w:val="18"/>
          <w:szCs w:val="18"/>
          <w:color w:val="000000"/>
        </w:rPr>
        <w:t>a Revolving Credit Facility in an aggregate principal amount of up to $500.0 million, with a</w:t>
      </w:r>
      <w:r>
        <w:rPr>
          <w:rFonts w:ascii="Times New Roman" w:cs="Times New Roman" w:eastAsia="Times New Roman" w:hAnsi="Times New Roman"/>
          <w:sz w:val="18"/>
          <w:szCs w:val="18"/>
          <w:color w:val="2B2A29"/>
        </w:rPr>
        <w:t xml:space="preserve"> five</w:t>
      </w:r>
      <w:r>
        <w:rPr>
          <w:rFonts w:ascii="Times New Roman" w:cs="Times New Roman" w:eastAsia="Times New Roman" w:hAnsi="Times New Roman"/>
          <w:sz w:val="18"/>
          <w:szCs w:val="18"/>
          <w:color w:val="000000"/>
        </w:rPr>
        <w:t>-year term that matures in 2027.</w:t>
      </w:r>
      <w:r>
        <w:rPr>
          <w:rFonts w:ascii="Times New Roman" w:cs="Times New Roman" w:eastAsia="Times New Roman" w:hAnsi="Times New Roman"/>
          <w:sz w:val="18"/>
          <w:szCs w:val="18"/>
          <w:color w:val="2B2A29"/>
        </w:rPr>
        <w:t xml:space="preserve"> The interest rate on the Term Loan is 300 basis points over SOFR, with a 0.50% SOFR floor. Principal and interest payments on the Term Loan began on June 30, 2022. Such quarterly principal payments are calculated as 0.25% of the initial principal amount, with the remaining balance payable upon maturity. Principal amounts repaid under the Term Loan may not be reborrowed by us. Borrowings under the Revolving Credit Facility bear interest, at Embecta’s option, initially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w:t>
      </w:r>
      <w:r>
        <w:rPr>
          <w:rFonts w:ascii="Times New Roman" w:cs="Times New Roman" w:eastAsia="Times New Roman" w:hAnsi="Times New Roman"/>
          <w:sz w:val="18"/>
          <w:szCs w:val="18"/>
          <w:color w:val="000000"/>
        </w:rPr>
        <w:t>. As of December 31, 2022,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Additionally we have outstanding the 6.75% Notes, which carry an interest rate of 6.75% and are due February 2030. </w:t>
      </w:r>
      <w:r>
        <w:rPr>
          <w:rFonts w:ascii="Times New Roman" w:cs="Times New Roman" w:eastAsia="Times New Roman" w:hAnsi="Times New Roman"/>
          <w:sz w:val="18"/>
          <w:szCs w:val="18"/>
          <w:color w:val="2B2A29"/>
        </w:rPr>
        <w:t>Interest payments on the 6.75%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are due semi-annually in February and August until maturity, with the first interest payment due in August 2022.</w:t>
      </w:r>
    </w:p>
    <w:p>
      <w:pPr>
        <w:spacing w:after="0" w:line="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December 31, 2022, we were in compliance with all of such covenants.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December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942.9</w:t>
            </w:r>
          </w:p>
        </w:tc>
      </w:tr>
      <w:tr>
        <w:trPr>
          <w:trHeight w:val="208"/>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500.0</w:t>
            </w:r>
          </w:p>
        </w:tc>
      </w:tr>
      <w:tr>
        <w:trPr>
          <w:trHeight w:val="31"/>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47"/>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6.75% Notes</w:t>
            </w:r>
          </w:p>
        </w:tc>
        <w:tc>
          <w:tcPr>
            <w:tcW w:w="54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r>
      <w:tr>
        <w:trPr>
          <w:trHeight w:val="202"/>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1,642.9</w:t>
            </w:r>
          </w:p>
        </w:tc>
      </w:tr>
      <w:tr>
        <w:trPr>
          <w:trHeight w:val="31"/>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r>
      <w:tr>
        <w:trPr>
          <w:trHeight w:val="31"/>
        </w:trPr>
        <w:tc>
          <w:tcPr>
            <w:tcW w:w="9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1,597.1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5" w:lineRule="exact"/>
        <w:rPr>
          <w:sz w:val="20"/>
          <w:szCs w:val="20"/>
          <w:color w:val="auto"/>
        </w:rPr>
      </w:pPr>
    </w:p>
    <w:tbl>
      <w:tblPr>
        <w:tblLayout w:type="fixed"/>
        <w:tblInd w:w="1040" w:type="dxa"/>
        <w:tblCellMar>
          <w:top w:w="0" w:type="dxa"/>
          <w:left w:w="0" w:type="dxa"/>
          <w:bottom w:w="0" w:type="dxa"/>
          <w:right w:w="0" w:type="dxa"/>
        </w:tblCellMar>
      </w:tblPr>
      <w:tr>
        <w:trPr>
          <w:trHeight w:val="21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4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4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4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1,597.8</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December 31, 2022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4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1,606.6</w:t>
            </w:r>
          </w:p>
        </w:tc>
      </w:tr>
      <w:tr>
        <w:trPr>
          <w:trHeight w:val="147"/>
        </w:trPr>
        <w:tc>
          <w:tcPr>
            <w:tcW w:w="59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4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5"/>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r>
    </w:tbl>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10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ten years. The lease is classified as a finance lease. Base rent payments commenced in the third quarter of 2022. The Company has an option to extend the lease term for an additional period of up to five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December 31, 2022 by fiscal year are as follows: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1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1760" w:type="dxa"/>
            <w:vAlign w:val="bottom"/>
            <w:tcBorders>
              <w:bottom w:val="single" w:sz="8" w:color="CCEEFF"/>
            </w:tcBorders>
            <w:shd w:val="clear" w:color="auto" w:fill="CCEEFF"/>
          </w:tcPr>
          <w:p>
            <w:pPr>
              <w:jc w:val="right"/>
              <w:ind w:right="15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8"/>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31"/>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0"/>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8"/>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1"/>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0"/>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31"/>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8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16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1, 2022, we entered into a real estate lease for a new Corporate Headquarters located in Parsippany, New Jersey, United States. The lease commenced during the second quarter of fiscal year 2023 and is in existence for an initial term of ten years. We have an option to extend the lease for additional periods of six years and four years, respectively.</w:t>
      </w:r>
    </w:p>
    <w:p>
      <w:pPr>
        <w:spacing w:after="0" w:line="68" w:lineRule="exact"/>
        <w:rPr>
          <w:sz w:val="20"/>
          <w:szCs w:val="20"/>
          <w:color w:val="auto"/>
        </w:rPr>
      </w:pPr>
    </w:p>
    <w:p>
      <w:pPr>
        <w:ind w:right="520"/>
        <w:spacing w:after="0" w:line="39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15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Factoring Agreements</w:t>
      </w: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Separation, we entered into the Factoring Agreements with BD. Embecta owes BD a service fee calculated as 0.1% of annual revenues related to countries subject to the agreement, in exchange for the services provided by BD pursuant to the Factoring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and January 2022, Moody’s Investor Services and Standard &amp; Poor’s Ratings Services assigned credit ratings to Embecta of Ba3 and B+, respectively.</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w:t>
      </w:r>
    </w:p>
    <w:p>
      <w:pPr>
        <w:spacing w:after="0" w:line="245"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7620</wp:posOffset>
            </wp:positionV>
            <wp:extent cx="208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7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100" w:type="dxa"/>
            <w:vAlign w:val="bottom"/>
            <w:tcBorders>
              <w:bottom w:val="single" w:sz="8" w:color="CCEEFF"/>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0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7"/>
              </w:rPr>
              <w:t>(4.7)</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1"/>
        </w:trPr>
        <w:tc>
          <w:tcPr>
            <w:tcW w:w="7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7"/>
              </w:rPr>
              <w:t>(6.1)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31"/>
        </w:trPr>
        <w:tc>
          <w:tcPr>
            <w:tcW w:w="79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Net cash provided by operating activities during the three months ended December 31, 2022 was attributable to net income of $35.2 million and net adjustments of $25.2 million, which includes $16.9 million of non-cash adjustments related to depreciation and amortization, stock-based compensation, deferred income taxes and pension expense, and $8.3 million of net cash provided relating to changes in working capital. Cash provided relating to working capital was driven by an increase in accounts payable, accrued expenses and other current liabilities of $19.4 million, an increase of $18.2 million in income and other net taxes payables, and a decrease in trade receivables, net of $3.0 million. Offsetting the amounts above is cash used for working capital related to increases in amounts due from BD of $9.5 million, an increase of $14.7 million in inventories, an increase of $6.6 million in prepaid expenses and other, and an increase of $1.5 million in other assets and liabilities, net. The increase in accounts payable, accrued expenses and other current liabilities is related to increases in net liabilities for deferred closing entities. The increase in income and other net taxes payable is primarily due to the timing of required tax payments as compared to the amounts accrued in the ordinary course of business during the three months ended December 31, 2022. The increase in inventories is primarily driven by a concerted effort to build inventory to meet expected demand. The increase in amounts due from BD primarily relates to factored receivables for which payment has not yet been collected from BD as of December 31, 2022. All other movements related to working capital were due to timing of payments and receipts of cash in the ordinary course of business.</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Net cash provided by operating activities during the three months ended December 31, 2021 was attributable to net income of $98.8 million and net adjustments of $40.0 million, which includes $15.2 million of non-cash adjustments related to depreciation and amortization, stock-based compensation, and pension expense, and $24.8 million of cash provided relating to changes in working capital. Cash provided relating to working capital was driven by a decrease in trade receivables of $30.7 million, partially offset by an increase in inventories of $4.3 million and a decrease in accounts payable and accrued expenses of $2.5 million. The decrease in trade receivables can be attributed to the timing of payments made in the normal course of business and a decrease in certain rebate and cash discount reserves. The increase in inventories is primarily driven by a concerted effort in the first three months of fiscal year 2022 to build inventory in preparation for the spin-off. The decrease in accounts payable and accrued expenses is mainly driven by the timing of payments made in the normal course of business for managed care rebates payments and a decrease in accrued professional services in connection with various market research and consulting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Net cash used for investing activities was primarily comprised of capital expenditures of $4.7 million and $4.3 million during the three months ended December 31, 2022 and 2021, respectively, to support further expansion of our business and operations.</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Net cash used for financing activities for the three months ended December 31, 2022, represents $2.8 million of payments related to tax withholding for stock-based compensation, $2.4 million of required payments on long-term debt, and $0.9 million in payments on our finance lease.</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Net cash used for financing activities for the three months ended December 31, 2021, represents net transfers entirely to BD (see Note 3 within the </w:t>
      </w:r>
      <w:r>
        <w:rPr>
          <w:rFonts w:ascii="Times New Roman" w:cs="Times New Roman" w:eastAsia="Times New Roman" w:hAnsi="Times New Roman"/>
          <w:sz w:val="18"/>
          <w:szCs w:val="18"/>
          <w:i w:val="1"/>
          <w:iCs w:val="1"/>
          <w:color w:val="auto"/>
        </w:rPr>
        <w:t>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Consolidated Financial Statements </w:t>
      </w:r>
      <w:r>
        <w:rPr>
          <w:rFonts w:ascii="Times New Roman" w:cs="Times New Roman" w:eastAsia="Times New Roman" w:hAnsi="Times New Roman"/>
          <w:sz w:val="18"/>
          <w:szCs w:val="18"/>
          <w:color w:val="auto"/>
        </w:rPr>
        <w:t>of this Form 10-Q).</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2023, the Company’s Board of Directors declared a quarterly dividend of $0.15 for each issued and outstanding share of the Company’s common stock. The dividend is payable on March 13, 2023 to stockholders of record at the close of business on February 27,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contractual obligations as of December 31, 2022,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significant costs associated with information technology infrastructure as we transition to our own systems. Lease obligations include lease agreements for which a contract has been signed even if the lease has not yet commenced. Refer to "Management's Discussion and Analysis of Financial Condition and Results of Operations" in our 2022 Form 10-K for further details. As of December 31, 2022, there have been no material changes to our contractual obligations outside the ordinary course of business.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Our significant accounting policies, which include management’s best estimates and judgments, are included in Note 3 to the Consolidated Financial Statements included in our 2022 Form 10-K. See Note 2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for information on the adoption of new accounting standards during the current fiscal year. There have been no changes to our accounting policies as of December 31, 2022.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Embecta's 2022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109" w:lineRule="exact"/>
        <w:rPr>
          <w:sz w:val="20"/>
          <w:szCs w:val="20"/>
          <w:color w:val="auto"/>
        </w:rPr>
      </w:pPr>
    </w:p>
    <w:p>
      <w:pPr>
        <w:jc w:val="both"/>
        <w:ind w:left="640" w:hanging="314"/>
        <w:spacing w:after="0" w:line="25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10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adversely affect the sale or profitability of one of Embecta’s key products or the revenue delivered from sales to its key customers.</w:t>
      </w:r>
    </w:p>
    <w:p>
      <w:pPr>
        <w:spacing w:after="0" w:line="139" w:lineRule="exact"/>
        <w:rPr>
          <w:rFonts w:ascii="Times New Roman" w:cs="Times New Roman" w:eastAsia="Times New Roman" w:hAnsi="Times New Roman"/>
          <w:sz w:val="18"/>
          <w:szCs w:val="18"/>
          <w:color w:val="auto"/>
        </w:rPr>
      </w:pPr>
    </w:p>
    <w:p>
      <w:pPr>
        <w:ind w:left="640" w:hanging="314"/>
        <w:spacing w:after="0" w:line="261"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96" w:lineRule="exact"/>
        <w:rPr>
          <w:rFonts w:ascii="Times New Roman" w:cs="Times New Roman" w:eastAsia="Times New Roman" w:hAnsi="Times New Roman"/>
          <w:sz w:val="18"/>
          <w:szCs w:val="18"/>
          <w:color w:val="auto"/>
        </w:rPr>
      </w:pPr>
    </w:p>
    <w:p>
      <w:pPr>
        <w:jc w:val="both"/>
        <w:ind w:left="640" w:hanging="314"/>
        <w:spacing w:after="0" w:line="25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39" w:lineRule="exact"/>
        <w:rPr>
          <w:rFonts w:ascii="Times New Roman" w:cs="Times New Roman" w:eastAsia="Times New Roman" w:hAnsi="Times New Roman"/>
          <w:sz w:val="18"/>
          <w:szCs w:val="18"/>
          <w:color w:val="auto"/>
        </w:rPr>
      </w:pPr>
    </w:p>
    <w:p>
      <w:pPr>
        <w:ind w:left="640" w:hanging="314"/>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96" w:lineRule="exact"/>
        <w:rPr>
          <w:rFonts w:ascii="Times New Roman" w:cs="Times New Roman" w:eastAsia="Times New Roman" w:hAnsi="Times New Roman"/>
          <w:sz w:val="18"/>
          <w:szCs w:val="18"/>
          <w:color w:val="auto"/>
        </w:rPr>
      </w:pPr>
    </w:p>
    <w:p>
      <w:pPr>
        <w:jc w:val="both"/>
        <w:ind w:left="640" w:hanging="314"/>
        <w:spacing w:after="0" w:line="25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102" w:lineRule="exact"/>
        <w:rPr>
          <w:rFonts w:ascii="Times New Roman" w:cs="Times New Roman" w:eastAsia="Times New Roman" w:hAnsi="Times New Roman"/>
          <w:sz w:val="18"/>
          <w:szCs w:val="18"/>
          <w:color w:val="auto"/>
        </w:rPr>
      </w:pPr>
    </w:p>
    <w:p>
      <w:pPr>
        <w:ind w:left="640" w:hanging="314"/>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continuing impact of the COVID-19 pandemic or geopolitical instability on Embecta’s business, including disruptions in its operations and supply chains.</w:t>
      </w:r>
    </w:p>
    <w:p>
      <w:pPr>
        <w:spacing w:after="0" w:line="96" w:lineRule="exact"/>
        <w:rPr>
          <w:rFonts w:ascii="Times New Roman" w:cs="Times New Roman" w:eastAsia="Times New Roman" w:hAnsi="Times New Roman"/>
          <w:sz w:val="18"/>
          <w:szCs w:val="18"/>
          <w:color w:val="auto"/>
        </w:rPr>
      </w:pPr>
    </w:p>
    <w:p>
      <w:pPr>
        <w:jc w:val="both"/>
        <w:ind w:left="640" w:hanging="314"/>
        <w:spacing w:after="0" w:line="25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10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3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39" w:lineRule="exact"/>
        <w:rPr>
          <w:rFonts w:ascii="Times New Roman" w:cs="Times New Roman" w:eastAsia="Times New Roman" w:hAnsi="Times New Roman"/>
          <w:sz w:val="18"/>
          <w:szCs w:val="18"/>
          <w:color w:val="auto"/>
        </w:rPr>
      </w:pPr>
    </w:p>
    <w:p>
      <w:pPr>
        <w:ind w:left="640" w:hanging="314"/>
        <w:spacing w:after="0" w:line="26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96" w:lineRule="exact"/>
        <w:rPr>
          <w:rFonts w:ascii="Times New Roman" w:cs="Times New Roman" w:eastAsia="Times New Roman" w:hAnsi="Times New Roman"/>
          <w:sz w:val="18"/>
          <w:szCs w:val="18"/>
          <w:color w:val="auto"/>
        </w:rPr>
      </w:pPr>
    </w:p>
    <w:p>
      <w:pPr>
        <w:jc w:val="both"/>
        <w:ind w:left="640" w:hanging="314"/>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109"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2022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Company's 2022 Form 10-K except as follows: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spacing w:after="0" w:line="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December 31, 2022, a 100 basis points change in interest</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rates would have impacted interest expense on the Term Loan by $9.4 million on an annualized basis. To the extent we borrow on our revolving credit facility, we will be subject to risks related to changes in SOFR.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December 31, 2022.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TSA period, we will continue to rely on certain material processes and internal control over financial reporting performed by BD. There were no changes in our internal control over financial reporting during the fiscal quarter ended December 31, 2022 that have materially affected, or are reasonably likely to materially affect, Embecta’s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2022 Form 10-K.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0"/>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5"/>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5"/>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SEC Rule 13a–14(a)</w:t>
            </w:r>
          </w:p>
        </w:tc>
        <w:tc>
          <w:tcPr>
            <w:tcW w:w="4580" w:type="dxa"/>
            <w:vAlign w:val="bottom"/>
            <w:gridSpan w:val="3"/>
          </w:tcPr>
          <w:p>
            <w:pPr>
              <w:spacing w:after="0"/>
              <w:rPr>
                <w:sz w:val="24"/>
                <w:szCs w:val="24"/>
                <w:color w:val="auto"/>
              </w:rPr>
            </w:pP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pursuant to Rule 13a–14(b) and Section 1350 of Chapter 63 of Title 18 of the U.S. Code</w:t>
            </w:r>
          </w:p>
        </w:tc>
        <w:tc>
          <w:tcPr>
            <w:tcW w:w="620" w:type="dxa"/>
            <w:vAlign w:val="bottom"/>
          </w:tcPr>
          <w:p>
            <w:pPr>
              <w:spacing w:after="0"/>
              <w:rPr>
                <w:sz w:val="24"/>
                <w:szCs w:val="24"/>
                <w:color w:val="auto"/>
              </w:rPr>
            </w:pP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13a–14(b) and Section 1350 of Chapter 63 of Title 18 of the U.S. Code</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12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50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00"/>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200" w:lineRule="exact"/>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13"/>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Consolidated Balance Sheets, (iv) the Condensed Consolidated Statements of Equity, (v) the Condensed Consolidated Statements of Cash</w:t>
            </w:r>
          </w:p>
        </w:tc>
      </w:tr>
      <w:tr>
        <w:trPr>
          <w:trHeight w:val="232"/>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Flows, and (vi) Notes to Condensed Consolidated Financial Statements.</w:t>
            </w:r>
          </w:p>
        </w:tc>
      </w:tr>
      <w:tr>
        <w:trPr>
          <w:trHeight w:val="52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47" w:lineRule="exact"/>
        <w:rPr>
          <w:sz w:val="20"/>
          <w:szCs w:val="20"/>
          <w:color w:val="auto"/>
        </w:rPr>
      </w:pPr>
    </w:p>
    <w:p>
      <w:pPr>
        <w:ind w:left="540" w:hanging="5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9" w:lineRule="exact"/>
        <w:rPr>
          <w:sz w:val="20"/>
          <w:szCs w:val="20"/>
          <w:color w:val="auto"/>
        </w:rPr>
      </w:pPr>
    </w:p>
    <w:p>
      <w:pPr>
        <w:ind w:left="540" w:hanging="5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EMBECTA CORP.</w:t>
      </w:r>
    </w:p>
    <w:p>
      <w:pPr>
        <w:spacing w:after="0" w:line="313" w:lineRule="exact"/>
        <w:rPr>
          <w:sz w:val="20"/>
          <w:szCs w:val="20"/>
          <w:color w:val="auto"/>
        </w:rPr>
      </w:pPr>
    </w:p>
    <w:tbl>
      <w:tblPr>
        <w:tblLayout w:type="fixed"/>
        <w:tblInd w:w="496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3"/>
        </w:trPr>
        <w:tc>
          <w:tcPr>
            <w:tcW w:w="920" w:type="dxa"/>
            <w:vAlign w:val="bottom"/>
          </w:tcPr>
          <w:p>
            <w:pPr>
              <w:spacing w:after="0"/>
              <w:rPr>
                <w:sz w:val="22"/>
                <w:szCs w:val="22"/>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00" w:lineRule="exact"/>
        <w:rPr>
          <w:sz w:val="20"/>
          <w:szCs w:val="20"/>
          <w:color w:val="auto"/>
        </w:rPr>
      </w:pPr>
    </w:p>
    <w:p>
      <w:pPr>
        <w:spacing w:after="0" w:line="339" w:lineRule="exact"/>
        <w:rPr>
          <w:sz w:val="20"/>
          <w:szCs w:val="20"/>
          <w:color w:val="auto"/>
        </w:rPr>
      </w:pPr>
    </w:p>
    <w:tbl>
      <w:tblPr>
        <w:tblLayout w:type="fixed"/>
        <w:tblInd w:w="496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3"/>
        </w:trPr>
        <w:tc>
          <w:tcPr>
            <w:tcW w:w="920" w:type="dxa"/>
            <w:vAlign w:val="bottom"/>
          </w:tcPr>
          <w:p>
            <w:pPr>
              <w:spacing w:after="0"/>
              <w:rPr>
                <w:sz w:val="22"/>
                <w:szCs w:val="22"/>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00" w:lineRule="exact"/>
        <w:rPr>
          <w:sz w:val="20"/>
          <w:szCs w:val="20"/>
          <w:color w:val="auto"/>
        </w:rPr>
      </w:pPr>
    </w:p>
    <w:p>
      <w:pPr>
        <w:spacing w:after="0" w:line="339" w:lineRule="exact"/>
        <w:rPr>
          <w:sz w:val="20"/>
          <w:szCs w:val="20"/>
          <w:color w:val="auto"/>
        </w:rPr>
      </w:pPr>
    </w:p>
    <w:tbl>
      <w:tblPr>
        <w:tblLayout w:type="fixed"/>
        <w:tblInd w:w="496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Capone</w:t>
            </w:r>
          </w:p>
        </w:tc>
      </w:t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Brian Capone</w:t>
            </w: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3"/>
        </w:trPr>
        <w:tc>
          <w:tcPr>
            <w:tcW w:w="920" w:type="dxa"/>
            <w:vAlign w:val="bottom"/>
          </w:tcPr>
          <w:p>
            <w:pPr>
              <w:spacing w:after="0"/>
              <w:rPr>
                <w:sz w:val="22"/>
                <w:szCs w:val="22"/>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40"/>
          </w:cols>
          <w:pgMar w:left="320" w:top="22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0"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39" w:lineRule="exact"/>
        <w:rPr>
          <w:rFonts w:ascii="Times New Roman" w:cs="Times New Roman" w:eastAsia="Times New Roman" w:hAnsi="Times New Roman"/>
          <w:sz w:val="18"/>
          <w:szCs w:val="18"/>
          <w:color w:val="auto"/>
        </w:rPr>
      </w:pPr>
    </w:p>
    <w:p>
      <w:pPr>
        <w:ind w:left="320" w:right="80" w:hanging="313"/>
        <w:spacing w:after="0" w:line="290" w:lineRule="auto"/>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Times New Roman" w:cs="Times New Roman" w:eastAsia="Times New Roman" w:hAnsi="Times New Roman"/>
          <w:sz w:val="17"/>
          <w:szCs w:val="17"/>
          <w:color w:val="auto"/>
        </w:rPr>
      </w:pPr>
    </w:p>
    <w:p>
      <w:pPr>
        <w:ind w:left="320" w:right="540" w:hanging="313"/>
        <w:spacing w:after="0" w:line="261"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8"/>
          <w:szCs w:val="18"/>
          <w:color w:val="auto"/>
        </w:rPr>
      </w:pPr>
    </w:p>
    <w:p>
      <w:pPr>
        <w:ind w:left="320" w:right="580" w:hanging="313"/>
        <w:spacing w:after="0" w:line="290" w:lineRule="auto"/>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87" w:lineRule="exact"/>
        <w:rPr>
          <w:rFonts w:ascii="Times New Roman" w:cs="Times New Roman" w:eastAsia="Times New Roman" w:hAnsi="Times New Roman"/>
          <w:sz w:val="17"/>
          <w:szCs w:val="17"/>
          <w:color w:val="auto"/>
        </w:rPr>
      </w:pPr>
    </w:p>
    <w:p>
      <w:pPr>
        <w:ind w:left="640" w:right="20" w:hanging="314"/>
        <w:spacing w:after="0" w:line="246" w:lineRule="auto"/>
        <w:tabs>
          <w:tab w:leader="none" w:pos="63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52" w:lineRule="exact"/>
        <w:rPr>
          <w:rFonts w:ascii="Times New Roman" w:cs="Times New Roman" w:eastAsia="Times New Roman" w:hAnsi="Times New Roman"/>
          <w:sz w:val="18"/>
          <w:szCs w:val="18"/>
          <w:color w:val="auto"/>
        </w:rPr>
      </w:pPr>
    </w:p>
    <w:p>
      <w:pPr>
        <w:ind w:left="640" w:right="60" w:hanging="314"/>
        <w:spacing w:after="0" w:line="261" w:lineRule="auto"/>
        <w:tabs>
          <w:tab w:leader="none" w:pos="63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Times New Roman" w:cs="Times New Roman" w:eastAsia="Times New Roman" w:hAnsi="Times New Roman"/>
          <w:sz w:val="18"/>
          <w:szCs w:val="18"/>
          <w:color w:val="auto"/>
        </w:rPr>
      </w:pPr>
    </w:p>
    <w:p>
      <w:pPr>
        <w:ind w:left="640" w:right="80" w:hanging="314"/>
        <w:spacing w:after="0" w:line="254" w:lineRule="auto"/>
        <w:tabs>
          <w:tab w:leader="none" w:pos="63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19" w:right="339" w:bottom="1440" w:gutter="0" w:footer="0" w:header="0"/>
        </w:sectPr>
      </w:pPr>
    </w:p>
    <w:bookmarkStart w:id="32" w:name="page33"/>
    <w:bookmarkEnd w:id="32"/>
    <w:p>
      <w:pPr>
        <w:ind w:left="320" w:right="260" w:hanging="313"/>
        <w:spacing w:after="0" w:line="261"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8"/>
          <w:szCs w:val="18"/>
          <w:color w:val="auto"/>
        </w:rPr>
      </w:pPr>
    </w:p>
    <w:p>
      <w:pPr>
        <w:ind w:left="640" w:right="400" w:hanging="314"/>
        <w:spacing w:after="0" w:line="276" w:lineRule="auto"/>
        <w:tabs>
          <w:tab w:leader="none" w:pos="63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Times New Roman" w:cs="Times New Roman" w:eastAsia="Times New Roman" w:hAnsi="Times New Roman"/>
          <w:sz w:val="18"/>
          <w:szCs w:val="18"/>
          <w:color w:val="auto"/>
        </w:rPr>
      </w:pPr>
    </w:p>
    <w:p>
      <w:pPr>
        <w:ind w:left="640" w:hanging="314"/>
        <w:spacing w:after="0" w:line="261" w:lineRule="auto"/>
        <w:tabs>
          <w:tab w:leader="none" w:pos="63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24130</wp:posOffset>
            </wp:positionV>
            <wp:extent cx="28517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34" w:right="3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0"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39" w:lineRule="exact"/>
        <w:rPr>
          <w:rFonts w:ascii="Times New Roman" w:cs="Times New Roman" w:eastAsia="Times New Roman" w:hAnsi="Times New Roman"/>
          <w:sz w:val="18"/>
          <w:szCs w:val="18"/>
          <w:color w:val="auto"/>
        </w:rPr>
      </w:pPr>
    </w:p>
    <w:p>
      <w:pPr>
        <w:ind w:left="320" w:right="80" w:hanging="313"/>
        <w:spacing w:after="0" w:line="290" w:lineRule="auto"/>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Times New Roman" w:cs="Times New Roman" w:eastAsia="Times New Roman" w:hAnsi="Times New Roman"/>
          <w:sz w:val="17"/>
          <w:szCs w:val="17"/>
          <w:color w:val="auto"/>
        </w:rPr>
      </w:pPr>
    </w:p>
    <w:p>
      <w:pPr>
        <w:ind w:left="320" w:right="540" w:hanging="313"/>
        <w:spacing w:after="0" w:line="261"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8"/>
          <w:szCs w:val="18"/>
          <w:color w:val="auto"/>
        </w:rPr>
      </w:pPr>
    </w:p>
    <w:p>
      <w:pPr>
        <w:ind w:left="320" w:right="580" w:hanging="313"/>
        <w:spacing w:after="0" w:line="290" w:lineRule="auto"/>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87" w:lineRule="exact"/>
        <w:rPr>
          <w:rFonts w:ascii="Times New Roman" w:cs="Times New Roman" w:eastAsia="Times New Roman" w:hAnsi="Times New Roman"/>
          <w:sz w:val="17"/>
          <w:szCs w:val="17"/>
          <w:color w:val="auto"/>
        </w:rPr>
      </w:pPr>
    </w:p>
    <w:p>
      <w:pPr>
        <w:ind w:left="640" w:right="20" w:hanging="314"/>
        <w:spacing w:after="0" w:line="246" w:lineRule="auto"/>
        <w:tabs>
          <w:tab w:leader="none" w:pos="6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39" w:lineRule="exact"/>
        <w:rPr>
          <w:rFonts w:ascii="Times New Roman" w:cs="Times New Roman" w:eastAsia="Times New Roman" w:hAnsi="Times New Roman"/>
          <w:sz w:val="18"/>
          <w:szCs w:val="18"/>
          <w:color w:val="auto"/>
        </w:rPr>
      </w:pPr>
    </w:p>
    <w:p>
      <w:pPr>
        <w:ind w:left="640" w:right="60" w:hanging="314"/>
        <w:spacing w:after="0" w:line="276" w:lineRule="auto"/>
        <w:tabs>
          <w:tab w:leader="none" w:pos="6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Times New Roman" w:cs="Times New Roman" w:eastAsia="Times New Roman" w:hAnsi="Times New Roman"/>
          <w:sz w:val="18"/>
          <w:szCs w:val="18"/>
          <w:color w:val="auto"/>
        </w:rPr>
      </w:pPr>
    </w:p>
    <w:p>
      <w:pPr>
        <w:ind w:left="640" w:right="80" w:hanging="314"/>
        <w:spacing w:after="0" w:line="246" w:lineRule="auto"/>
        <w:tabs>
          <w:tab w:leader="none" w:pos="6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19" w:right="339" w:bottom="1440" w:gutter="0" w:footer="0" w:header="0"/>
        </w:sectPr>
      </w:pPr>
    </w:p>
    <w:bookmarkStart w:id="34" w:name="page35"/>
    <w:bookmarkEnd w:id="34"/>
    <w:p>
      <w:pPr>
        <w:ind w:left="320" w:right="260" w:hanging="313"/>
        <w:spacing w:after="0" w:line="261"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Times New Roman" w:cs="Times New Roman" w:eastAsia="Times New Roman" w:hAnsi="Times New Roman"/>
          <w:sz w:val="18"/>
          <w:szCs w:val="18"/>
          <w:color w:val="auto"/>
        </w:rPr>
      </w:pPr>
    </w:p>
    <w:p>
      <w:pPr>
        <w:ind w:left="640" w:right="400" w:hanging="314"/>
        <w:spacing w:after="0" w:line="276" w:lineRule="auto"/>
        <w:tabs>
          <w:tab w:leader="none" w:pos="6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Times New Roman" w:cs="Times New Roman" w:eastAsia="Times New Roman" w:hAnsi="Times New Roman"/>
          <w:sz w:val="18"/>
          <w:szCs w:val="18"/>
          <w:color w:val="auto"/>
        </w:rPr>
      </w:pPr>
    </w:p>
    <w:p>
      <w:pPr>
        <w:ind w:left="640" w:hanging="314"/>
        <w:spacing w:after="0" w:line="261" w:lineRule="auto"/>
        <w:tabs>
          <w:tab w:leader="none" w:pos="6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24130</wp:posOffset>
            </wp:positionV>
            <wp:extent cx="28517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34"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2" w:lineRule="exact"/>
        <w:rPr>
          <w:sz w:val="20"/>
          <w:szCs w:val="20"/>
          <w:color w:val="auto"/>
        </w:rPr>
      </w:pPr>
    </w:p>
    <w:p>
      <w:pPr>
        <w:ind w:right="20" w:firstLine="435"/>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 2022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26" w:lineRule="exact"/>
        <w:rPr>
          <w:sz w:val="20"/>
          <w:szCs w:val="20"/>
          <w:color w:val="auto"/>
        </w:rPr>
      </w:pPr>
    </w:p>
    <w:p>
      <w:pPr>
        <w:ind w:left="400" w:hanging="393"/>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9"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2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15875</wp:posOffset>
            </wp:positionV>
            <wp:extent cx="28517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1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1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2" w:lineRule="exact"/>
        <w:rPr>
          <w:sz w:val="20"/>
          <w:szCs w:val="20"/>
          <w:color w:val="auto"/>
        </w:rPr>
      </w:pPr>
    </w:p>
    <w:p>
      <w:pPr>
        <w:ind w:right="20" w:firstLine="435"/>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December 31, 2022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26" w:lineRule="exact"/>
        <w:rPr>
          <w:sz w:val="20"/>
          <w:szCs w:val="20"/>
          <w:color w:val="auto"/>
        </w:rPr>
      </w:pPr>
    </w:p>
    <w:p>
      <w:pPr>
        <w:ind w:left="400" w:hanging="393"/>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99"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2023</w:t>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24130</wp:posOffset>
            </wp:positionV>
            <wp:extent cx="28517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5"/>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5"/>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2023-02-14T12:53:27Z</dcterms:created>
  <dcterms:modified xsi:type="dcterms:W3CDTF">2023-02-14T12:53:27Z</dcterms:modified>
</cp:coreProperties>
</file>