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210185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238125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225425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EMBECTA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210185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Incorporation)</w:t>
      </w:r>
    </w:p>
    <w:p>
      <w:pPr>
        <w:spacing w:after="0" w:line="292"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660" w:type="dxa"/>
            <w:vAlign w:val="bottom"/>
          </w:tcPr>
          <w:p>
            <w:pPr>
              <w:jc w:val="center"/>
              <w:ind w:right="1441"/>
              <w:spacing w:after="0"/>
              <w:rPr>
                <w:sz w:val="20"/>
                <w:szCs w:val="20"/>
                <w:color w:val="auto"/>
              </w:rPr>
            </w:pPr>
            <w:r>
              <w:rPr>
                <w:rFonts w:ascii="Arial" w:cs="Arial" w:eastAsia="Arial" w:hAnsi="Arial"/>
                <w:sz w:val="18"/>
                <w:szCs w:val="18"/>
                <w:b w:val="1"/>
                <w:bCs w:val="1"/>
                <w:color w:val="auto"/>
                <w:w w:val="90"/>
              </w:rPr>
              <w:t>001-41186</w:t>
            </w:r>
          </w:p>
        </w:tc>
        <w:tc>
          <w:tcPr>
            <w:tcW w:w="2640" w:type="dxa"/>
            <w:vAlign w:val="bottom"/>
          </w:tcPr>
          <w:p>
            <w:pPr>
              <w:jc w:val="right"/>
              <w:ind w:right="41"/>
              <w:spacing w:after="0"/>
              <w:rPr>
                <w:sz w:val="20"/>
                <w:szCs w:val="20"/>
                <w:color w:val="auto"/>
              </w:rPr>
            </w:pPr>
            <w:r>
              <w:rPr>
                <w:rFonts w:ascii="Arial" w:cs="Arial" w:eastAsia="Arial" w:hAnsi="Arial"/>
                <w:sz w:val="18"/>
                <w:szCs w:val="18"/>
                <w:b w:val="1"/>
                <w:bCs w:val="1"/>
                <w:color w:val="auto"/>
              </w:rPr>
              <w:t>87-1583942</w:t>
            </w:r>
          </w:p>
        </w:tc>
      </w:tr>
      <w:tr>
        <w:trPr>
          <w:trHeight w:val="180"/>
        </w:trPr>
        <w:tc>
          <w:tcPr>
            <w:tcW w:w="5660" w:type="dxa"/>
            <w:vAlign w:val="bottom"/>
          </w:tcPr>
          <w:p>
            <w:pPr>
              <w:jc w:val="center"/>
              <w:ind w:right="1441"/>
              <w:spacing w:after="0"/>
              <w:rPr>
                <w:sz w:val="20"/>
                <w:szCs w:val="20"/>
                <w:color w:val="auto"/>
              </w:rPr>
            </w:pPr>
            <w:r>
              <w:rPr>
                <w:rFonts w:ascii="Arial" w:cs="Arial" w:eastAsia="Arial" w:hAnsi="Arial"/>
                <w:sz w:val="14"/>
                <w:szCs w:val="14"/>
                <w:b w:val="1"/>
                <w:bCs w:val="1"/>
                <w:color w:val="auto"/>
                <w:w w:val="92"/>
              </w:rPr>
              <w:t>(Commission</w:t>
            </w:r>
          </w:p>
        </w:tc>
        <w:tc>
          <w:tcPr>
            <w:tcW w:w="2640" w:type="dxa"/>
            <w:vAlign w:val="bottom"/>
          </w:tcPr>
          <w:p>
            <w:pPr>
              <w:jc w:val="center"/>
              <w:ind w:left="14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660" w:type="dxa"/>
            <w:vAlign w:val="bottom"/>
          </w:tcPr>
          <w:p>
            <w:pPr>
              <w:jc w:val="center"/>
              <w:ind w:right="1441"/>
              <w:spacing w:after="0"/>
              <w:rPr>
                <w:sz w:val="20"/>
                <w:szCs w:val="20"/>
                <w:color w:val="auto"/>
              </w:rPr>
            </w:pPr>
            <w:r>
              <w:rPr>
                <w:rFonts w:ascii="Arial" w:cs="Arial" w:eastAsia="Arial" w:hAnsi="Arial"/>
                <w:sz w:val="14"/>
                <w:szCs w:val="14"/>
                <w:b w:val="1"/>
                <w:bCs w:val="1"/>
                <w:color w:val="auto"/>
                <w:w w:val="95"/>
              </w:rPr>
              <w:t>File Number)</w:t>
            </w:r>
          </w:p>
        </w:tc>
        <w:tc>
          <w:tcPr>
            <w:tcW w:w="2640" w:type="dxa"/>
            <w:vAlign w:val="bottom"/>
          </w:tcPr>
          <w:p>
            <w:pPr>
              <w:jc w:val="center"/>
              <w:ind w:left="1441"/>
              <w:spacing w:after="0"/>
              <w:rPr>
                <w:sz w:val="20"/>
                <w:szCs w:val="20"/>
                <w:color w:val="auto"/>
              </w:rPr>
            </w:pPr>
            <w:r>
              <w:rPr>
                <w:rFonts w:ascii="Arial" w:cs="Arial" w:eastAsia="Arial" w:hAnsi="Arial"/>
                <w:sz w:val="14"/>
                <w:szCs w:val="14"/>
                <w:b w:val="1"/>
                <w:bCs w:val="1"/>
                <w:color w:val="auto"/>
                <w:w w:val="94"/>
              </w:rPr>
              <w:t>Identification No.)</w:t>
            </w:r>
          </w:p>
        </w:tc>
      </w:tr>
      <w:tr>
        <w:trPr>
          <w:trHeight w:val="633"/>
        </w:trPr>
        <w:tc>
          <w:tcPr>
            <w:tcW w:w="5660" w:type="dxa"/>
            <w:vAlign w:val="bottom"/>
          </w:tcPr>
          <w:p>
            <w:pPr>
              <w:jc w:val="center"/>
              <w:ind w:right="1441"/>
              <w:spacing w:after="0"/>
              <w:rPr>
                <w:sz w:val="20"/>
                <w:szCs w:val="20"/>
                <w:color w:val="auto"/>
              </w:rPr>
            </w:pPr>
            <w:r>
              <w:rPr>
                <w:rFonts w:ascii="Arial" w:cs="Arial" w:eastAsia="Arial" w:hAnsi="Arial"/>
                <w:sz w:val="18"/>
                <w:szCs w:val="18"/>
                <w:b w:val="1"/>
                <w:bCs w:val="1"/>
                <w:color w:val="auto"/>
                <w:w w:val="90"/>
              </w:rPr>
              <w:t>300 Kimball Drive, Suite 300, Parsippany, New Jersey</w:t>
            </w:r>
          </w:p>
        </w:tc>
        <w:tc>
          <w:tcPr>
            <w:tcW w:w="2640" w:type="dxa"/>
            <w:vAlign w:val="bottom"/>
          </w:tcPr>
          <w:p>
            <w:pPr>
              <w:jc w:val="right"/>
              <w:ind w:right="261"/>
              <w:spacing w:after="0"/>
              <w:rPr>
                <w:sz w:val="20"/>
                <w:szCs w:val="20"/>
                <w:color w:val="auto"/>
              </w:rPr>
            </w:pPr>
            <w:r>
              <w:rPr>
                <w:rFonts w:ascii="Arial" w:cs="Arial" w:eastAsia="Arial" w:hAnsi="Arial"/>
                <w:sz w:val="18"/>
                <w:szCs w:val="18"/>
                <w:b w:val="1"/>
                <w:bCs w:val="1"/>
                <w:color w:val="auto"/>
              </w:rPr>
              <w:t>07054</w:t>
            </w:r>
          </w:p>
        </w:tc>
      </w:tr>
      <w:tr>
        <w:trPr>
          <w:trHeight w:val="204"/>
        </w:trPr>
        <w:tc>
          <w:tcPr>
            <w:tcW w:w="5660" w:type="dxa"/>
            <w:vAlign w:val="bottom"/>
          </w:tcPr>
          <w:p>
            <w:pPr>
              <w:jc w:val="center"/>
              <w:ind w:right="14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40" w:type="dxa"/>
            <w:vAlign w:val="bottom"/>
          </w:tcPr>
          <w:p>
            <w:pPr>
              <w:jc w:val="center"/>
              <w:ind w:left="1441"/>
              <w:spacing w:after="0"/>
              <w:rPr>
                <w:sz w:val="20"/>
                <w:szCs w:val="20"/>
                <w:color w:val="auto"/>
              </w:rPr>
            </w:pPr>
            <w:r>
              <w:rPr>
                <w:rFonts w:ascii="Arial" w:cs="Arial" w:eastAsia="Arial" w:hAnsi="Arial"/>
                <w:sz w:val="14"/>
                <w:szCs w:val="14"/>
                <w:b w:val="1"/>
                <w:bCs w:val="1"/>
                <w:color w:val="auto"/>
                <w:w w:val="98"/>
              </w:rPr>
              <w:t>(Zip Code)</w:t>
            </w:r>
          </w:p>
        </w:tc>
      </w:tr>
    </w:tbl>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(862) 401-0000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159385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3"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92"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6"/>
                <w:szCs w:val="16"/>
                <w:color w:val="auto"/>
              </w:rPr>
            </w:pP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203"/>
        </w:trPr>
        <w:tc>
          <w:tcPr>
            <w:tcW w:w="464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7"/>
              </w:rPr>
              <w:t>symbol(s)</w:t>
            </w:r>
          </w:p>
        </w:tc>
        <w:tc>
          <w:tcPr>
            <w:tcW w:w="120" w:type="dxa"/>
            <w:vAlign w:val="bottom"/>
          </w:tcPr>
          <w:p>
            <w:pPr>
              <w:spacing w:after="0"/>
              <w:rPr>
                <w:sz w:val="17"/>
                <w:szCs w:val="17"/>
                <w:color w:val="auto"/>
              </w:rPr>
            </w:pP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39"/>
        </w:trPr>
        <w:tc>
          <w:tcPr>
            <w:tcW w:w="4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r>
      <w:tr>
        <w:trPr>
          <w:trHeight w:val="205"/>
        </w:trPr>
        <w:tc>
          <w:tcPr>
            <w:tcW w:w="46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7"/>
                <w:szCs w:val="17"/>
                <w:color w:val="auto"/>
              </w:rPr>
            </w:pPr>
          </w:p>
        </w:tc>
        <w:tc>
          <w:tcPr>
            <w:tcW w:w="19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rPr>
              <w:t>EMBC</w:t>
            </w:r>
          </w:p>
        </w:tc>
        <w:tc>
          <w:tcPr>
            <w:tcW w:w="120" w:type="dxa"/>
            <w:vAlign w:val="bottom"/>
          </w:tcPr>
          <w:p>
            <w:pPr>
              <w:spacing w:after="0"/>
              <w:rPr>
                <w:sz w:val="17"/>
                <w:szCs w:val="17"/>
                <w:color w:val="auto"/>
              </w:rPr>
            </w:pPr>
          </w:p>
        </w:tc>
        <w:tc>
          <w:tcPr>
            <w:tcW w:w="43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2"/>
              </w:rPr>
              <w:t>The Nasdaq Stock Market LLC (Nasdaq Global Select</w:t>
            </w:r>
          </w:p>
        </w:tc>
      </w:tr>
      <w:tr>
        <w:trPr>
          <w:trHeight w:val="234"/>
        </w:trPr>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r>
    </w:tbl>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2" w:lineRule="exact"/>
        <w:rPr>
          <w:sz w:val="24"/>
          <w:szCs w:val="24"/>
          <w:color w:val="auto"/>
        </w:rPr>
      </w:pPr>
    </w:p>
    <w:p>
      <w:pPr>
        <w:jc w:val="both"/>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ectPr>
          <w:pgSz w:w="11900" w:h="16838" w:orient="portrait"/>
          <w:cols w:equalWidth="0" w:num="1">
            <w:col w:w="11240"/>
          </w:cols>
          <w:pgMar w:left="320" w:top="1440" w:right="339" w:bottom="0" w:gutter="0" w:footer="0" w:header="0"/>
          <w:type w:val="continuous"/>
        </w:sectPr>
      </w:pPr>
    </w:p>
    <w:bookmarkStart w:id="1" w:name="page2"/>
    <w:bookmarkEnd w:id="1"/>
    <w:p>
      <w:pPr>
        <w:spacing w:after="0" w:line="261" w:lineRule="auto"/>
        <w:rPr>
          <w:sz w:val="20"/>
          <w:szCs w:val="20"/>
          <w:color w:val="auto"/>
        </w:rPr>
      </w:pPr>
      <w:r>
        <w:rPr>
          <w:rFonts w:ascii="Arial" w:cs="Arial" w:eastAsia="Arial" w:hAnsi="Arial"/>
          <w:sz w:val="18"/>
          <w:szCs w:val="18"/>
          <w:color w:val="auto"/>
        </w:rPr>
        <w:t>On August 8, 2023, Embecta Corp. (the “Company” or "embecta") issued a press release (the “Earnings Release”) regarding its results for the quarter ended June 30, 2023. The Earnings Release is included as Exhibit 99.1 to this report.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0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furnished as an exhibit to this report:</w:t>
      </w:r>
    </w:p>
    <w:p>
      <w:pPr>
        <w:spacing w:after="0" w:line="30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5"/>
          <w:szCs w:val="15"/>
          <w:color w:val="auto"/>
        </w:rPr>
        <w:t>Press Release, dated August 8, 2023.</w:t>
      </w:r>
    </w:p>
    <w:p>
      <w:pPr>
        <w:spacing w:after="0" w:line="320"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EMBECTA CORP.</w:t>
      </w:r>
    </w:p>
    <w:p>
      <w:pPr>
        <w:spacing w:after="0" w:line="320" w:lineRule="exact"/>
        <w:rPr>
          <w:sz w:val="20"/>
          <w:szCs w:val="20"/>
          <w:color w:val="auto"/>
        </w:rPr>
      </w:pPr>
    </w:p>
    <w:p>
      <w:pPr>
        <w:ind w:left="20"/>
        <w:spacing w:after="0"/>
        <w:tabs>
          <w:tab w:leader="none" w:pos="5320" w:val="left"/>
          <w:tab w:leader="none" w:pos="5920" w:val="left"/>
        </w:tabs>
        <w:rPr>
          <w:sz w:val="20"/>
          <w:szCs w:val="20"/>
          <w:color w:val="auto"/>
        </w:rPr>
      </w:pPr>
      <w:r>
        <w:rPr>
          <w:rFonts w:ascii="Arial" w:cs="Arial" w:eastAsia="Arial" w:hAnsi="Arial"/>
          <w:sz w:val="18"/>
          <w:szCs w:val="18"/>
          <w:color w:val="auto"/>
        </w:rPr>
        <w:t>Dated: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23495</wp:posOffset>
            </wp:positionV>
            <wp:extent cx="33775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4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Jacob Elguicze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114871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Embecta Corp. Reports Third Quarter Fiscal 2023 Financial Results</w:t>
      </w:r>
    </w:p>
    <w:p>
      <w:pPr>
        <w:spacing w:after="0" w:line="293"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color w:val="auto"/>
        </w:rPr>
        <w:t xml:space="preserve">PARSIPPANY, N.J., </w:t>
      </w:r>
      <w:r>
        <w:rPr>
          <w:rFonts w:ascii="Arial" w:cs="Arial" w:eastAsia="Arial" w:hAnsi="Arial"/>
          <w:sz w:val="17"/>
          <w:szCs w:val="17"/>
          <w:color w:val="auto"/>
        </w:rPr>
        <w:t>Aug 8, 2023 (GLOBE NEWSWIRE) – Embecta Corp. (“embecta” or the "Company") (Nasdaq: EMBC),</w:t>
      </w:r>
      <w:r>
        <w:rPr>
          <w:rFonts w:ascii="Arial" w:cs="Arial" w:eastAsia="Arial" w:hAnsi="Arial"/>
          <w:sz w:val="17"/>
          <w:szCs w:val="17"/>
          <w:b w:val="1"/>
          <w:bCs w:val="1"/>
          <w:color w:val="auto"/>
        </w:rPr>
        <w:t xml:space="preserve"> </w:t>
      </w:r>
      <w:r>
        <w:rPr>
          <w:rFonts w:ascii="Arial" w:cs="Arial" w:eastAsia="Arial" w:hAnsi="Arial"/>
          <w:sz w:val="17"/>
          <w:szCs w:val="17"/>
          <w:color w:val="auto"/>
        </w:rPr>
        <w:t>a global diabetes care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today reported financial results for the three- and nine-month periods ended June 30, 2023.</w:t>
      </w:r>
    </w:p>
    <w:p>
      <w:pPr>
        <w:spacing w:after="0" w:line="9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"Having completed nearly a year and a half as an independent, publicly-traded company, we continue to make significant progress in building an organization well-positioned to advance our mission to develop and provide solutions that make life better for people living with diabetes," said</w:t>
      </w:r>
    </w:p>
    <w:p>
      <w:pPr>
        <w:jc w:val="both"/>
        <w:spacing w:after="0" w:line="223" w:lineRule="auto"/>
        <w:rPr>
          <w:sz w:val="20"/>
          <w:szCs w:val="20"/>
          <w:color w:val="auto"/>
        </w:rPr>
      </w:pPr>
      <w:r>
        <w:rPr>
          <w:rFonts w:ascii="Arial" w:cs="Arial" w:eastAsia="Arial" w:hAnsi="Arial"/>
          <w:sz w:val="17"/>
          <w:szCs w:val="17"/>
          <w:color w:val="auto"/>
        </w:rPr>
        <w:t>Devdatt (Dev) Kurdikar, Chief Executive Officer of embecta. "We remain steadfast in our focus on three strategic priorities: strengthening our base business, separating and standing up embecta as an independent company, and investing for growth. While executing against initiatives in each of</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these areas, we continued to deliver quarterly financial results that exceeded our expectations. With strong year-to-date performance, we are tightening and raising our fiscal 2023 outlook for our key financial metrics."</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embecta spun off from Becton, Dickinson and Company ("BD") on April 1, 2022 (the "Separation Date"). Financial results during the pre-spin period were presented on the carve-out basis of accounting and do not purport to reflect what embecta’s financial results would have been had embecta operated as a standalone public company. Therefore, financial results for the nine-month periods ended June 30, 2023 and June 30, 2022 are not meaningfully comparable.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Third Quarter Fiscal Year 2023 Financial Highlights</w:t>
      </w:r>
      <w:r>
        <w:rPr>
          <w:rFonts w:ascii="Arial" w:cs="Arial" w:eastAsia="Arial" w:hAnsi="Arial"/>
          <w:sz w:val="17"/>
          <w:szCs w:val="17"/>
          <w:b w:val="1"/>
          <w:bCs w:val="1"/>
          <w:color w:val="auto"/>
        </w:rPr>
        <w:t>:</w:t>
      </w:r>
    </w:p>
    <w:p>
      <w:pPr>
        <w:spacing w:after="0" w:line="16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Revenues of $286.1 million, down 1.7% on a reported basis; down 0.3% on a constant currency basis</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U.S. revenues decreased 2.6% on both a reported and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International revenues decreased 0.7% on a reported basis, and increased 2.4% on a constant currency basis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and margin of $189.5 million and 66.2%, compared to $202.9 million and 69.7% in the prior year period</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gross profit and margin of $189.6 million and 66.3%</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income and margin of $51.3 million and 17.9%, compared to $97.1 million and 33.4% in the prior year period</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operating income and margin of $79.8 million and 27.9%</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and earnings per diluted share of $15.2 million and $0.26, compared to $62.4 million and $1.07 in the prior year period</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$39.8 million and $0.69</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and margin of $92.2 million and 32.2%, compared to $118.1 million and 40.6% in the prior year period</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Announced a dividend of $0.15 per share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Nine Months Ended June 30 2023 Financial Highlights</w:t>
      </w:r>
      <w:r>
        <w:rPr>
          <w:rFonts w:ascii="Arial" w:cs="Arial" w:eastAsia="Arial" w:hAnsi="Arial"/>
          <w:sz w:val="17"/>
          <w:szCs w:val="17"/>
          <w:b w:val="1"/>
          <w:bCs w:val="1"/>
          <w:color w:val="auto"/>
        </w:rPr>
        <w:t>:</w:t>
      </w:r>
    </w:p>
    <w:p>
      <w:pPr>
        <w:spacing w:after="0" w:line="17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Revenues of $838.9 million, down 1.9% on a reported basis; up 1.4% on a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U.S. revenues decreased 0.2% on both a reported and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International revenues decreased 3.8% on a reported basis, and increased 3.2% on a constant currency basis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profit and margin of $568.1 million and 67.7%, compared to $598.0 million and 69.9% in the prior year period</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gross profit and margin of $568.6 million and 67.8%</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income and margin of $195.7 million and 23.3%, compared to $312.6 million and 36.6% in the prior year period</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98" w:right="339" w:bottom="1440" w:gutter="0" w:footer="0" w:header="0"/>
          <w:type w:val="continuous"/>
        </w:sectPr>
      </w:pPr>
    </w:p>
    <w:bookmarkStart w:id="4" w:name="page5"/>
    <w:bookmarkEnd w:id="4"/>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operating income and margin of $266.3 million and 31.7%</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income and earnings per diluted share of $64.4 million and $1.12, compared to $240.8 million and $4.14 in the prior year period</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$138.5 million and $2.40</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EBITDA and margin of $299.1 million and 35.7%, compared to $373.7 million and 43.7% in the prior year period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Strategic Highlights</w:t>
      </w:r>
      <w:r>
        <w:rPr>
          <w:rFonts w:ascii="Arial" w:cs="Arial" w:eastAsia="Arial" w:hAnsi="Arial"/>
          <w:sz w:val="17"/>
          <w:szCs w:val="17"/>
          <w:b w:val="1"/>
          <w:bCs w:val="1"/>
          <w:color w:val="auto"/>
        </w:rPr>
        <w:t>:</w:t>
      </w:r>
    </w:p>
    <w:p>
      <w:pPr>
        <w:spacing w:after="0" w:line="18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Strengthen the base business</w:t>
      </w:r>
    </w:p>
    <w:p>
      <w:pPr>
        <w:spacing w:after="0" w:line="215" w:lineRule="exact"/>
        <w:rPr>
          <w:rFonts w:ascii="Arial" w:cs="Arial" w:eastAsia="Arial" w:hAnsi="Arial"/>
          <w:sz w:val="17"/>
          <w:szCs w:val="17"/>
          <w:i w:val="1"/>
          <w:iCs w:val="1"/>
          <w:color w:val="auto"/>
        </w:rPr>
      </w:pPr>
    </w:p>
    <w:p>
      <w:pPr>
        <w:ind w:left="1300" w:right="420" w:hanging="320"/>
        <w:spacing w:after="0" w:line="224" w:lineRule="auto"/>
        <w:tabs>
          <w:tab w:leader="none" w:pos="1300" w:val="left"/>
        </w:tabs>
        <w:numPr>
          <w:ilvl w:val="1"/>
          <w:numId w:val="6"/>
        </w:numPr>
        <w:rPr>
          <w:rFonts w:ascii="Arial" w:cs="Arial" w:eastAsia="Arial" w:hAnsi="Arial"/>
          <w:sz w:val="22"/>
          <w:szCs w:val="22"/>
          <w:color w:val="auto"/>
        </w:rPr>
      </w:pPr>
      <w:r>
        <w:rPr>
          <w:rFonts w:ascii="Arial" w:cs="Arial" w:eastAsia="Arial" w:hAnsi="Arial"/>
          <w:sz w:val="17"/>
          <w:szCs w:val="17"/>
          <w:color w:val="auto"/>
        </w:rPr>
        <w:t>Launched BD Finer gauge (34G extra thin wall x 4mm) pen needle with Nano PRO hub design in Japan providing an alternate offering to people injecting insulin</w:t>
      </w:r>
    </w:p>
    <w:p>
      <w:pPr>
        <w:spacing w:after="0" w:line="14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Separate and stand-up</w:t>
      </w:r>
    </w:p>
    <w:p>
      <w:pPr>
        <w:spacing w:after="0" w:line="161" w:lineRule="exact"/>
        <w:rPr>
          <w:rFonts w:ascii="Arial" w:cs="Arial" w:eastAsia="Arial" w:hAnsi="Arial"/>
          <w:sz w:val="17"/>
          <w:szCs w:val="17"/>
          <w:i w:val="1"/>
          <w:iCs w:val="1"/>
          <w:color w:val="auto"/>
        </w:rPr>
      </w:pPr>
    </w:p>
    <w:p>
      <w:pPr>
        <w:ind w:left="1300" w:hanging="320"/>
        <w:spacing w:after="0"/>
        <w:tabs>
          <w:tab w:leader="none" w:pos="1300" w:val="left"/>
        </w:tabs>
        <w:numPr>
          <w:ilvl w:val="1"/>
          <w:numId w:val="6"/>
        </w:numPr>
        <w:rPr>
          <w:rFonts w:ascii="Arial" w:cs="Arial" w:eastAsia="Arial" w:hAnsi="Arial"/>
          <w:sz w:val="20"/>
          <w:szCs w:val="20"/>
          <w:color w:val="auto"/>
        </w:rPr>
      </w:pPr>
      <w:r>
        <w:rPr>
          <w:rFonts w:ascii="Arial" w:cs="Arial" w:eastAsia="Arial" w:hAnsi="Arial"/>
          <w:sz w:val="17"/>
          <w:szCs w:val="17"/>
          <w:color w:val="auto"/>
        </w:rPr>
        <w:t>Exited several transition service agreements with BD</w:t>
      </w:r>
    </w:p>
    <w:p>
      <w:pPr>
        <w:spacing w:after="0" w:line="161" w:lineRule="exact"/>
        <w:rPr>
          <w:rFonts w:ascii="Arial" w:cs="Arial" w:eastAsia="Arial" w:hAnsi="Arial"/>
          <w:sz w:val="20"/>
          <w:szCs w:val="20"/>
          <w:color w:val="auto"/>
        </w:rPr>
      </w:pPr>
    </w:p>
    <w:p>
      <w:pPr>
        <w:ind w:left="1300" w:hanging="320"/>
        <w:spacing w:after="0"/>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Initiated demerger process to transfer Suzhou, China manufacturing entity from BD to embecta</w:t>
      </w:r>
    </w:p>
    <w:p>
      <w:pPr>
        <w:spacing w:after="0" w:line="163"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Invest for growth</w:t>
      </w:r>
    </w:p>
    <w:p>
      <w:pPr>
        <w:spacing w:after="0" w:line="175" w:lineRule="exact"/>
        <w:rPr>
          <w:rFonts w:ascii="Arial" w:cs="Arial" w:eastAsia="Arial" w:hAnsi="Arial"/>
          <w:sz w:val="17"/>
          <w:szCs w:val="17"/>
          <w:i w:val="1"/>
          <w:iCs w:val="1"/>
          <w:color w:val="auto"/>
        </w:rPr>
      </w:pPr>
    </w:p>
    <w:p>
      <w:pPr>
        <w:ind w:left="1300" w:hanging="320"/>
        <w:spacing w:after="0" w:line="243" w:lineRule="auto"/>
        <w:tabs>
          <w:tab w:leader="none" w:pos="1301" w:val="left"/>
        </w:tabs>
        <w:numPr>
          <w:ilvl w:val="1"/>
          <w:numId w:val="6"/>
        </w:numPr>
        <w:rPr>
          <w:rFonts w:ascii="Arial" w:cs="Arial" w:eastAsia="Arial" w:hAnsi="Arial"/>
          <w:sz w:val="18"/>
          <w:szCs w:val="18"/>
          <w:color w:val="auto"/>
        </w:rPr>
      </w:pPr>
      <w:r>
        <w:rPr>
          <w:rFonts w:ascii="Arial" w:cs="Arial" w:eastAsia="Arial" w:hAnsi="Arial"/>
          <w:sz w:val="17"/>
          <w:szCs w:val="17"/>
          <w:color w:val="auto"/>
        </w:rPr>
        <w:t>Continued making progress on the development of a type 2 closed loop insulin delivery system utilizing embecta’s proprietary patch pump system, which carries Breakthrough Device Designation from the U.S. Food &amp; Drug Administration (FDA)</w:t>
      </w:r>
    </w:p>
    <w:p>
      <w:pPr>
        <w:spacing w:after="0" w:line="146" w:lineRule="exact"/>
        <w:rPr>
          <w:rFonts w:ascii="Arial" w:cs="Arial" w:eastAsia="Arial" w:hAnsi="Arial"/>
          <w:sz w:val="18"/>
          <w:szCs w:val="18"/>
          <w:color w:val="auto"/>
        </w:rPr>
      </w:pPr>
    </w:p>
    <w:p>
      <w:pPr>
        <w:ind w:left="1300" w:right="280" w:hanging="320"/>
        <w:spacing w:after="0"/>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Actively collaborating with Tidepool and have commenced engineering work to integrate the insulin dosing algorithm with our embecta patch pump for the development of an automated insulin delivery closed loop system. Additionally, initiated a small observational study in partnership with JCHR (Jaeb Center for Health Research) to analyze adults with type 2 diabetes currently using Tidepool’s algorithm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Third Quarter Fiscal Year 2023 Results:</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7"/>
          <w:szCs w:val="17"/>
          <w:color w:val="auto"/>
        </w:rPr>
        <w:t>Revenues by geographic region are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23"/>
        </w:trPr>
        <w:tc>
          <w:tcPr>
            <w:tcW w:w="18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Increase/(decrease)</w:t>
            </w: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18"/>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As Reported</w:t>
            </w:r>
          </w:p>
        </w:tc>
        <w:tc>
          <w:tcPr>
            <w:tcW w:w="100" w:type="dxa"/>
            <w:vAlign w:val="bottom"/>
          </w:tcPr>
          <w:p>
            <w:pPr>
              <w:spacing w:after="0"/>
              <w:rPr>
                <w:sz w:val="18"/>
                <w:szCs w:val="18"/>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b w:val="1"/>
                <w:bCs w:val="1"/>
                <w:color w:val="auto"/>
              </w:rPr>
              <w:t>Constant Currency</w:t>
            </w:r>
          </w:p>
        </w:tc>
      </w:tr>
      <w:tr>
        <w:trPr>
          <w:trHeight w:val="244"/>
        </w:trPr>
        <w:tc>
          <w:tcPr>
            <w:tcW w:w="1840" w:type="dxa"/>
            <w:vAlign w:val="bottom"/>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9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9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r>
      <w:tr>
        <w:trPr>
          <w:trHeight w:val="220"/>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240" w:type="dxa"/>
            <w:vAlign w:val="bottom"/>
            <w:tcBorders>
              <w:bottom w:val="single" w:sz="8" w:color="CCEEFF"/>
            </w:tcBorders>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0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6"/>
                <w:szCs w:val="16"/>
                <w:color w:val="auto"/>
              </w:rPr>
              <w:t>(2.6)%</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184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133.1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(0.9)</w:t>
            </w:r>
          </w:p>
        </w:tc>
        <w:tc>
          <w:tcPr>
            <w:tcW w:w="2000" w:type="dxa"/>
            <w:vAlign w:val="bottom"/>
            <w:gridSpan w:val="2"/>
          </w:tcPr>
          <w:p>
            <w:pPr>
              <w:ind w:left="1500"/>
              <w:spacing w:after="0"/>
              <w:rPr>
                <w:sz w:val="20"/>
                <w:szCs w:val="20"/>
                <w:color w:val="auto"/>
              </w:rPr>
            </w:pPr>
            <w:r>
              <w:rPr>
                <w:rFonts w:ascii="Arial" w:cs="Arial" w:eastAsia="Arial" w:hAnsi="Arial"/>
                <w:sz w:val="16"/>
                <w:szCs w:val="16"/>
                <w:color w:val="auto"/>
              </w:rPr>
              <w:t>(0.7)</w:t>
            </w:r>
          </w:p>
        </w:tc>
        <w:tc>
          <w:tcPr>
            <w:tcW w:w="2000" w:type="dxa"/>
            <w:vAlign w:val="bottom"/>
            <w:gridSpan w:val="2"/>
          </w:tcPr>
          <w:p>
            <w:pPr>
              <w:jc w:val="right"/>
              <w:ind w:right="139"/>
              <w:spacing w:after="0"/>
              <w:rPr>
                <w:sz w:val="20"/>
                <w:szCs w:val="20"/>
                <w:color w:val="auto"/>
              </w:rPr>
            </w:pPr>
            <w:r>
              <w:rPr>
                <w:rFonts w:ascii="Arial" w:cs="Arial" w:eastAsia="Arial" w:hAnsi="Arial"/>
                <w:sz w:val="16"/>
                <w:szCs w:val="16"/>
                <w:color w:val="auto"/>
              </w:rPr>
              <w:t>2.4</w:t>
            </w:r>
          </w:p>
        </w:tc>
      </w:tr>
      <w:tr>
        <w:trPr>
          <w:trHeight w:val="33"/>
        </w:trPr>
        <w:tc>
          <w:tcPr>
            <w:tcW w:w="18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24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00" w:type="dxa"/>
            <w:vAlign w:val="bottom"/>
            <w:gridSpan w:val="2"/>
            <w:shd w:val="clear" w:color="auto" w:fill="CCEEFF"/>
          </w:tcPr>
          <w:p>
            <w:pPr>
              <w:ind w:left="1500"/>
              <w:spacing w:after="0"/>
              <w:rPr>
                <w:sz w:val="20"/>
                <w:szCs w:val="20"/>
                <w:color w:val="auto"/>
              </w:rPr>
            </w:pPr>
            <w:r>
              <w:rPr>
                <w:rFonts w:ascii="Arial" w:cs="Arial" w:eastAsia="Arial" w:hAnsi="Arial"/>
                <w:sz w:val="16"/>
                <w:szCs w:val="16"/>
                <w:color w:val="auto"/>
              </w:rPr>
              <w:t>(1.7)%</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Our revenues decreased by $5.0 million, or 1.7%, to $286.1 million for the three months ended June 30, 2023 as compared to revenues of $291.1 million for the three months ended June 30, 2022. Changes in our revenues are driven by the volume of goods that we sell, the prices we negotiate with customers and changes in foreign exchange rates. The decrease in revenues was driven by $4.1 million associated with the negative impact of foreign currency translation primarily due to the strengthening of the U.S. dollar, a $2.3 million decrease in contract manufacturing and sales of non-diabetes products within the U.S. to BD, and $1.8 million of unfavorable changes in price and volume in the U.S. This was partially offset by increases in revenues driven by $3.2 million of favorable changes in price and volume in our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080"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t>Nine Months Ended June 30, 2023 Results: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Revenues by geographic region are as follows: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19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Nine months ended June 30,</w:t>
            </w:r>
          </w:p>
        </w:tc>
        <w:tc>
          <w:tcPr>
            <w:tcW w:w="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23"/>
        </w:trPr>
        <w:tc>
          <w:tcPr>
            <w:tcW w:w="1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Increase/(decrease)</w:t>
            </w:r>
          </w:p>
        </w:tc>
        <w:tc>
          <w:tcPr>
            <w:tcW w:w="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18"/>
        </w:trPr>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As Reported</w:t>
            </w:r>
          </w:p>
        </w:tc>
        <w:tc>
          <w:tcPr>
            <w:tcW w:w="100" w:type="dxa"/>
            <w:vAlign w:val="bottom"/>
          </w:tcPr>
          <w:p>
            <w:pPr>
              <w:spacing w:after="0"/>
              <w:rPr>
                <w:sz w:val="18"/>
                <w:szCs w:val="18"/>
                <w:color w:val="auto"/>
              </w:rPr>
            </w:pPr>
          </w:p>
        </w:tc>
        <w:tc>
          <w:tcPr>
            <w:tcW w:w="1880" w:type="dxa"/>
            <w:vAlign w:val="bottom"/>
          </w:tcPr>
          <w:p>
            <w:pPr>
              <w:jc w:val="right"/>
              <w:ind w:right="119"/>
              <w:spacing w:after="0"/>
              <w:rPr>
                <w:sz w:val="20"/>
                <w:szCs w:val="20"/>
                <w:color w:val="auto"/>
              </w:rPr>
            </w:pPr>
            <w:r>
              <w:rPr>
                <w:rFonts w:ascii="Arial" w:cs="Arial" w:eastAsia="Arial" w:hAnsi="Arial"/>
                <w:sz w:val="16"/>
                <w:szCs w:val="16"/>
                <w:b w:val="1"/>
                <w:bCs w:val="1"/>
                <w:color w:val="auto"/>
              </w:rPr>
              <w:t>Constant Currency</w:t>
            </w:r>
          </w:p>
        </w:tc>
      </w:tr>
      <w:tr>
        <w:trPr>
          <w:trHeight w:val="244"/>
        </w:trPr>
        <w:tc>
          <w:tcPr>
            <w:tcW w:w="1940" w:type="dxa"/>
            <w:vAlign w:val="bottom"/>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8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8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r>
      <w:tr>
        <w:trPr>
          <w:trHeight w:val="22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449.6</w:t>
            </w:r>
          </w:p>
        </w:tc>
        <w:tc>
          <w:tcPr>
            <w:tcW w:w="1220" w:type="dxa"/>
            <w:vAlign w:val="bottom"/>
            <w:tcBorders>
              <w:bottom w:val="single" w:sz="8" w:color="CCEEFF"/>
            </w:tcBorders>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450.4</w:t>
            </w:r>
          </w:p>
        </w:tc>
        <w:tc>
          <w:tcPr>
            <w:tcW w:w="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9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6"/>
                <w:szCs w:val="16"/>
                <w:color w:val="auto"/>
              </w:rPr>
              <w:t>(0.2)%</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194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389.3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w:t>
            </w:r>
          </w:p>
        </w:tc>
        <w:tc>
          <w:tcPr>
            <w:tcW w:w="1980" w:type="dxa"/>
            <w:vAlign w:val="bottom"/>
            <w:gridSpan w:val="2"/>
          </w:tcPr>
          <w:p>
            <w:pPr>
              <w:ind w:left="1480"/>
              <w:spacing w:after="0"/>
              <w:rPr>
                <w:sz w:val="20"/>
                <w:szCs w:val="20"/>
                <w:color w:val="auto"/>
              </w:rPr>
            </w:pPr>
            <w:r>
              <w:rPr>
                <w:rFonts w:ascii="Arial" w:cs="Arial" w:eastAsia="Arial" w:hAnsi="Arial"/>
                <w:sz w:val="16"/>
                <w:szCs w:val="16"/>
                <w:color w:val="auto"/>
              </w:rPr>
              <w:t>(3.8)</w:t>
            </w:r>
          </w:p>
        </w:tc>
        <w:tc>
          <w:tcPr>
            <w:tcW w:w="1980" w:type="dxa"/>
            <w:vAlign w:val="bottom"/>
            <w:gridSpan w:val="2"/>
          </w:tcPr>
          <w:p>
            <w:pPr>
              <w:jc w:val="right"/>
              <w:ind w:right="119"/>
              <w:spacing w:after="0"/>
              <w:rPr>
                <w:sz w:val="20"/>
                <w:szCs w:val="20"/>
                <w:color w:val="auto"/>
              </w:rPr>
            </w:pPr>
            <w:r>
              <w:rPr>
                <w:rFonts w:ascii="Arial" w:cs="Arial" w:eastAsia="Arial" w:hAnsi="Arial"/>
                <w:sz w:val="16"/>
                <w:szCs w:val="16"/>
                <w:color w:val="auto"/>
              </w:rPr>
              <w:t>3.2</w:t>
            </w:r>
          </w:p>
        </w:tc>
      </w:tr>
      <w:tr>
        <w:trPr>
          <w:trHeight w:val="33"/>
        </w:trPr>
        <w:tc>
          <w:tcPr>
            <w:tcW w:w="19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838.9</w:t>
            </w:r>
          </w:p>
        </w:tc>
        <w:tc>
          <w:tcPr>
            <w:tcW w:w="122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854.9</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980" w:type="dxa"/>
            <w:vAlign w:val="bottom"/>
            <w:gridSpan w:val="2"/>
            <w:shd w:val="clear" w:color="auto" w:fill="CCEEFF"/>
          </w:tcPr>
          <w:p>
            <w:pPr>
              <w:ind w:left="1480"/>
              <w:spacing w:after="0"/>
              <w:rPr>
                <w:sz w:val="20"/>
                <w:szCs w:val="20"/>
                <w:color w:val="auto"/>
              </w:rPr>
            </w:pPr>
            <w:r>
              <w:rPr>
                <w:rFonts w:ascii="Arial" w:cs="Arial" w:eastAsia="Arial" w:hAnsi="Arial"/>
                <w:sz w:val="16"/>
                <w:szCs w:val="16"/>
                <w:color w:val="auto"/>
              </w:rPr>
              <w:t>(1.9)%</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revenues decreased by $16.0 million, or 1.9%, to $838.9 million for the nine months ended June 30, 2023 as compared to revenues of $854.9 million for the nine months ended June 30, 2022. The decrease in revenues was primarily driven by $28.1 million associated with the negative impact of foreign currency translation primarily due to the strengthening of the U.S. dollar and $6.2 million of unfavorable changes in price and volume in the U.S. This was partially offset by increases in revenues driven by $12.9 million of favorable changes in price and volume in our International operations and a $5.4 million increase in contract manufacturing and sales of non-diabetes products within the U.S. to BD.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Fiscal Year 2023 Updated Financial Guidance: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2023, the Company now expects: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millions, except percentages and per share data</w:t>
            </w:r>
          </w:p>
        </w:tc>
        <w:tc>
          <w:tcPr>
            <w:tcW w:w="160" w:type="dxa"/>
            <w:vAlign w:val="bottom"/>
          </w:tcPr>
          <w:p>
            <w:pPr>
              <w:spacing w:after="0"/>
              <w:rPr>
                <w:sz w:val="21"/>
                <w:szCs w:val="21"/>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Current</w:t>
            </w:r>
          </w:p>
        </w:tc>
        <w:tc>
          <w:tcPr>
            <w:tcW w:w="160" w:type="dxa"/>
            <w:vAlign w:val="bottom"/>
          </w:tcPr>
          <w:p>
            <w:pPr>
              <w:spacing w:after="0"/>
              <w:rPr>
                <w:sz w:val="21"/>
                <w:szCs w:val="21"/>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Previous </w:t>
            </w:r>
            <w:r>
              <w:rPr>
                <w:rFonts w:ascii="Arial" w:cs="Arial" w:eastAsia="Arial" w:hAnsi="Arial"/>
                <w:sz w:val="21"/>
                <w:szCs w:val="21"/>
                <w:b w:val="1"/>
                <w:bCs w:val="1"/>
                <w:color w:val="auto"/>
                <w:vertAlign w:val="superscript"/>
              </w:rPr>
              <w:t>(1)</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$1,107 - $1,113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$1,101 - $1,113</w:t>
            </w: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i w:val="1"/>
                <w:iCs w:val="1"/>
                <w:color w:val="auto"/>
              </w:rPr>
              <w:t>As Reported (%)</w:t>
            </w:r>
          </w:p>
        </w:tc>
        <w:tc>
          <w:tcPr>
            <w:tcW w:w="2240" w:type="dxa"/>
            <w:vAlign w:val="bottom"/>
            <w:gridSpan w:val="2"/>
          </w:tcPr>
          <w:p>
            <w:pPr>
              <w:jc w:val="right"/>
              <w:spacing w:after="0"/>
              <w:rPr>
                <w:sz w:val="20"/>
                <w:szCs w:val="20"/>
                <w:color w:val="auto"/>
              </w:rPr>
            </w:pPr>
            <w:r>
              <w:rPr>
                <w:rFonts w:ascii="Arial" w:cs="Arial" w:eastAsia="Arial" w:hAnsi="Arial"/>
                <w:sz w:val="16"/>
                <w:szCs w:val="16"/>
                <w:i w:val="1"/>
                <w:iCs w:val="1"/>
                <w:color w:val="auto"/>
              </w:rPr>
              <w:t>(2.0%) - (1.5%)</w:t>
            </w:r>
          </w:p>
        </w:tc>
        <w:tc>
          <w:tcPr>
            <w:tcW w:w="2260" w:type="dxa"/>
            <w:vAlign w:val="bottom"/>
            <w:gridSpan w:val="2"/>
          </w:tcPr>
          <w:p>
            <w:pPr>
              <w:jc w:val="right"/>
              <w:spacing w:after="0"/>
              <w:rPr>
                <w:sz w:val="20"/>
                <w:szCs w:val="20"/>
                <w:color w:val="auto"/>
              </w:rPr>
            </w:pPr>
            <w:r>
              <w:rPr>
                <w:rFonts w:ascii="Arial" w:cs="Arial" w:eastAsia="Arial" w:hAnsi="Arial"/>
                <w:sz w:val="16"/>
                <w:szCs w:val="16"/>
                <w:i w:val="1"/>
                <w:iCs w:val="1"/>
                <w:color w:val="auto"/>
              </w:rPr>
              <w:t>(2.5%) - (1.5%)</w:t>
            </w: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Constant Currency (%)</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0.5% - 1.0%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0.0% - 1.0%</w:t>
            </w: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i w:val="1"/>
                <w:iCs w:val="1"/>
                <w:color w:val="auto"/>
              </w:rPr>
              <w:t>F/X (%)</w:t>
            </w:r>
          </w:p>
        </w:tc>
        <w:tc>
          <w:tcPr>
            <w:tcW w:w="2240" w:type="dxa"/>
            <w:vAlign w:val="bottom"/>
            <w:gridSpan w:val="2"/>
          </w:tcPr>
          <w:p>
            <w:pPr>
              <w:jc w:val="right"/>
              <w:spacing w:after="0"/>
              <w:rPr>
                <w:sz w:val="20"/>
                <w:szCs w:val="20"/>
                <w:color w:val="auto"/>
              </w:rPr>
            </w:pPr>
            <w:r>
              <w:rPr>
                <w:rFonts w:ascii="Arial" w:cs="Arial" w:eastAsia="Arial" w:hAnsi="Arial"/>
                <w:sz w:val="16"/>
                <w:szCs w:val="16"/>
                <w:i w:val="1"/>
                <w:iCs w:val="1"/>
                <w:color w:val="auto"/>
              </w:rPr>
              <w:t>(2.5)%</w:t>
            </w:r>
          </w:p>
        </w:tc>
        <w:tc>
          <w:tcPr>
            <w:tcW w:w="2260" w:type="dxa"/>
            <w:vAlign w:val="bottom"/>
            <w:gridSpan w:val="2"/>
          </w:tcPr>
          <w:p>
            <w:pPr>
              <w:jc w:val="right"/>
              <w:spacing w:after="0"/>
              <w:rPr>
                <w:sz w:val="20"/>
                <w:szCs w:val="20"/>
                <w:color w:val="auto"/>
              </w:rPr>
            </w:pPr>
            <w:r>
              <w:rPr>
                <w:rFonts w:ascii="Arial" w:cs="Arial" w:eastAsia="Arial" w:hAnsi="Arial"/>
                <w:sz w:val="16"/>
                <w:szCs w:val="16"/>
                <w:i w:val="1"/>
                <w:iCs w:val="1"/>
                <w:color w:val="auto"/>
              </w:rPr>
              <w:t>(2.5)%</w:t>
            </w: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Contract Manufacturing</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~$11</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$7.5 - $10</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Adjusted Gross Margin (%)</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~66.0%</w:t>
            </w:r>
          </w:p>
        </w:tc>
        <w:tc>
          <w:tcPr>
            <w:tcW w:w="2260" w:type="dxa"/>
            <w:vAlign w:val="bottom"/>
            <w:gridSpan w:val="2"/>
          </w:tcPr>
          <w:p>
            <w:pPr>
              <w:jc w:val="right"/>
              <w:spacing w:after="0"/>
              <w:rPr>
                <w:sz w:val="20"/>
                <w:szCs w:val="20"/>
                <w:color w:val="auto"/>
              </w:rPr>
            </w:pPr>
            <w:r>
              <w:rPr>
                <w:rFonts w:ascii="Arial" w:cs="Arial" w:eastAsia="Arial" w:hAnsi="Arial"/>
                <w:sz w:val="16"/>
                <w:szCs w:val="16"/>
                <w:color w:val="auto"/>
              </w:rPr>
              <w:t>~64.5%</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Operating Margin (%)</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Adjusted Earnings per Diluted Share</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$2.75 - $2.80</w:t>
            </w:r>
          </w:p>
        </w:tc>
        <w:tc>
          <w:tcPr>
            <w:tcW w:w="2260" w:type="dxa"/>
            <w:vAlign w:val="bottom"/>
            <w:gridSpan w:val="2"/>
          </w:tcPr>
          <w:p>
            <w:pPr>
              <w:jc w:val="right"/>
              <w:spacing w:after="0"/>
              <w:rPr>
                <w:sz w:val="20"/>
                <w:szCs w:val="20"/>
                <w:color w:val="auto"/>
              </w:rPr>
            </w:pPr>
            <w:r>
              <w:rPr>
                <w:rFonts w:ascii="Arial" w:cs="Arial" w:eastAsia="Arial" w:hAnsi="Arial"/>
                <w:sz w:val="16"/>
                <w:szCs w:val="16"/>
                <w:color w:val="auto"/>
              </w:rPr>
              <w:t>$2.50 - $2.60</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 (%)</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(1) Previous guidance was issued on May 12, 2023.</w:t>
      </w:r>
    </w:p>
    <w:p>
      <w:pPr>
        <w:spacing w:after="0" w:line="28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are unable to present a quantitative reconciliation of our expected adjusted gross margin, expected adjusted operating margin, expected adjusted earnings per diluted share, expected adjusted EBITDA and our expected adjusted EBITDA margin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Balance sheet, Liquidity and Other Updates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As of June 30, 2023, the Company had approximately $317.4 million in cash and cash equivalents and $1.638 billion of debt principal outstanding, and no amount drawn on its $500 million Revolving Credit Facility.</w:t>
      </w:r>
    </w:p>
    <w:p>
      <w:pPr>
        <w:spacing w:after="0" w:line="106"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The Company’s Board of Directors declared a quarterly cash dividend of $0.15 for each issued and outstanding share of the Company’s common stock. The dividend is payable on September 13, 2023 to stockholders of record at the close of business on August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234"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t>Third Quarter of Fiscal Year 2023 Earnings Conference Call:</w:t>
      </w:r>
    </w:p>
    <w:p>
      <w:pPr>
        <w:spacing w:after="0" w:line="15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Management will host a conference call at 8:00 a.m. Eastern Time (ET) on August 8, 2023 to discuss the results of the quarter, provide an update on its business, and host a question and answer session. Those who would like to participate may access the live webcast </w:t>
      </w:r>
      <w:r>
        <w:rPr>
          <w:rFonts w:ascii="Arial" w:cs="Arial" w:eastAsia="Arial" w:hAnsi="Arial"/>
          <w:sz w:val="17"/>
          <w:szCs w:val="17"/>
          <w:color w:val="0000FF"/>
        </w:rPr>
        <w:t>here</w:t>
      </w:r>
      <w:r>
        <w:rPr>
          <w:rFonts w:ascii="Arial" w:cs="Arial" w:eastAsia="Arial" w:hAnsi="Arial"/>
          <w:sz w:val="17"/>
          <w:szCs w:val="17"/>
          <w:color w:val="auto"/>
        </w:rPr>
        <w:t>, or access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teleconference </w:t>
      </w:r>
      <w:r>
        <w:rPr>
          <w:rFonts w:ascii="Arial" w:cs="Arial" w:eastAsia="Arial" w:hAnsi="Arial"/>
          <w:sz w:val="18"/>
          <w:szCs w:val="18"/>
          <w:color w:val="0000FF"/>
        </w:rPr>
        <w:t>here</w:t>
      </w:r>
      <w:r>
        <w:rPr>
          <w:rFonts w:ascii="Arial" w:cs="Arial" w:eastAsia="Arial" w:hAnsi="Arial"/>
          <w:sz w:val="17"/>
          <w:szCs w:val="17"/>
          <w:color w:val="auto"/>
        </w:rPr>
        <w:t>. The live webcast can also be accessed via the Company’s website at</w:t>
      </w:r>
      <w:r>
        <w:rPr>
          <w:rFonts w:ascii="Arial" w:cs="Arial" w:eastAsia="Arial" w:hAnsi="Arial"/>
          <w:sz w:val="18"/>
          <w:szCs w:val="18"/>
          <w:color w:val="auto"/>
        </w:rPr>
        <w:t xml:space="preserve"> </w:t>
      </w:r>
      <w:r>
        <w:rPr>
          <w:rFonts w:ascii="Arial" w:cs="Arial" w:eastAsia="Arial" w:hAnsi="Arial"/>
          <w:sz w:val="17"/>
          <w:szCs w:val="17"/>
          <w:color w:val="0000FF"/>
        </w:rPr>
        <w:t>investors.embecta.com</w:t>
      </w:r>
      <w:r>
        <w:rPr>
          <w:rFonts w:ascii="Arial" w:cs="Arial" w:eastAsia="Arial" w:hAnsi="Arial"/>
          <w:sz w:val="21"/>
          <w:szCs w:val="21"/>
          <w:color w:val="auto"/>
        </w:rPr>
        <w:t>.</w:t>
      </w:r>
    </w:p>
    <w:p>
      <w:pPr>
        <w:spacing w:after="0" w:line="13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 webcast replay of the call will be available beginning at 11:00 a.m. ET on August 8, 2023, via the embecta investor relations website and archived on the website for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058" w:right="339" w:bottom="1440" w:gutter="0" w:footer="0" w:header="0"/>
        </w:sectPr>
      </w:pPr>
    </w:p>
    <w:bookmarkStart w:id="7" w:name="page8"/>
    <w:bookmarkEnd w:id="7"/>
    <w:p>
      <w:pPr>
        <w:ind w:left="3320"/>
        <w:spacing w:after="0"/>
        <w:rPr>
          <w:sz w:val="20"/>
          <w:szCs w:val="20"/>
          <w:color w:val="auto"/>
        </w:rPr>
      </w:pPr>
      <w:r>
        <w:rPr>
          <w:rFonts w:ascii="Arial" w:cs="Arial" w:eastAsia="Arial" w:hAnsi="Arial"/>
          <w:sz w:val="18"/>
          <w:szCs w:val="18"/>
          <w:b w:val="1"/>
          <w:bCs w:val="1"/>
          <w:color w:val="auto"/>
        </w:rPr>
        <w:t>Condensed Consolidated Statements of Income</w:t>
      </w:r>
    </w:p>
    <w:p>
      <w:pPr>
        <w:ind w:left="4720"/>
        <w:spacing w:after="0"/>
        <w:rPr>
          <w:sz w:val="20"/>
          <w:szCs w:val="20"/>
          <w:color w:val="auto"/>
        </w:rPr>
      </w:pPr>
      <w:r>
        <w:rPr>
          <w:rFonts w:ascii="Arial" w:cs="Arial" w:eastAsia="Arial" w:hAnsi="Arial"/>
          <w:sz w:val="18"/>
          <w:szCs w:val="18"/>
          <w:b w:val="1"/>
          <w:bCs w:val="1"/>
          <w:color w:val="auto"/>
        </w:rPr>
        <w:t>Embecta Corp.</w:t>
      </w:r>
    </w:p>
    <w:p>
      <w:pPr>
        <w:jc w:val="center"/>
        <w:ind w:right="260"/>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248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6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22"/>
        </w:trPr>
        <w:tc>
          <w:tcPr>
            <w:tcW w:w="4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24"/>
        </w:trPr>
        <w:tc>
          <w:tcPr>
            <w:tcW w:w="46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2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040" w:type="dxa"/>
            <w:vAlign w:val="bottom"/>
            <w:tcBorders>
              <w:bottom w:val="single" w:sz="8" w:color="CCEEFF"/>
            </w:tcBorders>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838.9</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854.9</w:t>
            </w:r>
          </w:p>
        </w:tc>
      </w:tr>
      <w:tr>
        <w:trPr>
          <w:trHeight w:val="24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r>
              <w:rPr>
                <w:rFonts w:ascii="Arial" w:cs="Arial" w:eastAsia="Arial" w:hAnsi="Arial"/>
                <w:sz w:val="21"/>
                <w:szCs w:val="21"/>
                <w:color w:val="auto"/>
                <w:vertAlign w:val="superscript"/>
              </w:rPr>
              <w:t>(1)</w:t>
            </w:r>
          </w:p>
        </w:tc>
        <w:tc>
          <w:tcPr>
            <w:tcW w:w="9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w:t>
            </w:r>
          </w:p>
        </w:tc>
      </w:tr>
      <w:tr>
        <w:trPr>
          <w:trHeight w:val="223"/>
        </w:trPr>
        <w:tc>
          <w:tcPr>
            <w:tcW w:w="4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1040" w:type="dxa"/>
            <w:vAlign w:val="bottom"/>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568.1</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598.0</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212.9</w:t>
            </w:r>
          </w:p>
        </w:tc>
      </w:tr>
      <w:tr>
        <w:trPr>
          <w:trHeight w:val="220"/>
        </w:trPr>
        <w:tc>
          <w:tcPr>
            <w:tcW w:w="462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25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04"/>
        </w:trPr>
        <w:tc>
          <w:tcPr>
            <w:tcW w:w="4620" w:type="dxa"/>
            <w:vAlign w:val="bottom"/>
            <w:tcBorders>
              <w:top w:val="single" w:sz="8" w:color="CCEEFF"/>
            </w:tcBorders>
          </w:tcPr>
          <w:p>
            <w:pPr>
              <w:ind w:left="34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138.2</w:t>
            </w: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372.4</w:t>
            </w: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285.4</w:t>
            </w:r>
          </w:p>
        </w:tc>
      </w:tr>
      <w:tr>
        <w:trPr>
          <w:trHeight w:val="33"/>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Operating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40" w:type="dxa"/>
            <w:vAlign w:val="bottom"/>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33"/>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284.1</w:t>
            </w:r>
          </w:p>
        </w:tc>
      </w:tr>
      <w:tr>
        <w:trPr>
          <w:trHeight w:val="25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r>
      <w:tr>
        <w:trPr>
          <w:trHeight w:val="203"/>
        </w:trPr>
        <w:tc>
          <w:tcPr>
            <w:tcW w:w="4620" w:type="dxa"/>
            <w:vAlign w:val="bottom"/>
            <w:tcBorders>
              <w:top w:val="single" w:sz="8" w:color="CCEEFF"/>
            </w:tcBorders>
          </w:tcPr>
          <w:p>
            <w:pPr>
              <w:ind w:left="1060"/>
              <w:spacing w:after="0"/>
              <w:rPr>
                <w:sz w:val="20"/>
                <w:szCs w:val="20"/>
                <w:color w:val="auto"/>
              </w:rPr>
            </w:pPr>
            <w:r>
              <w:rPr>
                <w:rFonts w:ascii="Arial" w:cs="Arial" w:eastAsia="Arial" w:hAnsi="Arial"/>
                <w:sz w:val="16"/>
                <w:szCs w:val="16"/>
                <w:color w:val="auto"/>
              </w:rPr>
              <w:t>Net Income</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240.8</w:t>
            </w:r>
          </w:p>
        </w:tc>
      </w:tr>
      <w:tr>
        <w:trPr>
          <w:trHeight w:val="33"/>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4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Net Income per common share:</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40" w:type="dxa"/>
            <w:vAlign w:val="bottom"/>
            <w:tcBorders>
              <w:bottom w:val="single" w:sz="8" w:color="CCEEFF"/>
            </w:tcBorders>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10"/>
        </w:trPr>
        <w:tc>
          <w:tcPr>
            <w:tcW w:w="4620" w:type="dxa"/>
            <w:vAlign w:val="bottom"/>
          </w:tcPr>
          <w:p>
            <w:pPr>
              <w:ind w:left="140"/>
              <w:spacing w:after="0"/>
              <w:rPr>
                <w:sz w:val="20"/>
                <w:szCs w:val="20"/>
                <w:color w:val="auto"/>
              </w:rPr>
            </w:pPr>
            <w:r>
              <w:rPr>
                <w:rFonts w:ascii="Arial" w:cs="Arial" w:eastAsia="Arial" w:hAnsi="Arial"/>
                <w:sz w:val="16"/>
                <w:szCs w:val="16"/>
                <w:color w:val="auto"/>
              </w:rPr>
              <w:t>Diluted</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0.26</w:t>
            </w:r>
          </w:p>
        </w:tc>
        <w:tc>
          <w:tcPr>
            <w:tcW w:w="104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1.07</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1.12</w:t>
            </w:r>
          </w:p>
        </w:tc>
        <w:tc>
          <w:tcPr>
            <w:tcW w:w="50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4.14</w:t>
            </w:r>
          </w:p>
        </w:tc>
      </w:tr>
    </w:tbl>
    <w:p>
      <w:pPr>
        <w:spacing w:after="0" w:line="95" w:lineRule="exact"/>
        <w:rPr>
          <w:sz w:val="20"/>
          <w:szCs w:val="20"/>
          <w:color w:val="auto"/>
        </w:rPr>
      </w:pPr>
    </w:p>
    <w:p>
      <w:pPr>
        <w:ind w:left="160" w:hanging="7"/>
        <w:spacing w:after="0" w:line="273" w:lineRule="auto"/>
        <w:tabs>
          <w:tab w:leader="none" w:pos="392"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periods prior to the separation from BD, this income statement line includes cost of products sold from related party inventory purchases. For the nine month period ended June 30, 2022, cost of products sold from related party inventory purchases were $22.1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80"/>
          </w:cols>
          <w:pgMar w:left="580" w:top="1251" w:right="339" w:bottom="1440" w:gutter="0" w:footer="0" w:header="0"/>
        </w:sectPr>
      </w:pPr>
    </w:p>
    <w:bookmarkStart w:id="8" w:name="page9"/>
    <w:bookmarkEnd w:id="8"/>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ind w:left="4980"/>
        <w:spacing w:after="0" w:line="208"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September 30, 2022</w:t>
            </w:r>
          </w:p>
        </w:tc>
      </w:tr>
      <w:tr>
        <w:trPr>
          <w:trHeight w:val="228"/>
        </w:trPr>
        <w:tc>
          <w:tcPr>
            <w:tcW w:w="7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ind w:right="399"/>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1"/>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20"/>
        </w:trPr>
        <w:tc>
          <w:tcPr>
            <w:tcW w:w="740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3"/>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330.9</w:t>
            </w:r>
          </w:p>
        </w:tc>
      </w:tr>
      <w:tr>
        <w:trPr>
          <w:trHeight w:val="192"/>
        </w:trPr>
        <w:tc>
          <w:tcPr>
            <w:tcW w:w="7400" w:type="dxa"/>
            <w:vAlign w:val="bottom"/>
          </w:tcPr>
          <w:p>
            <w:pPr>
              <w:ind w:left="680"/>
              <w:spacing w:after="0"/>
              <w:rPr>
                <w:sz w:val="20"/>
                <w:szCs w:val="20"/>
                <w:color w:val="auto"/>
              </w:rPr>
            </w:pPr>
            <w:r>
              <w:rPr>
                <w:rFonts w:ascii="Arial" w:cs="Arial" w:eastAsia="Arial" w:hAnsi="Arial"/>
                <w:sz w:val="16"/>
                <w:szCs w:val="16"/>
                <w:color w:val="auto"/>
              </w:rPr>
              <w:t>Trade receivables, net (net of allowance for doubtful accounts of $1.1 million and $1.3 million</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7"/>
        </w:trPr>
        <w:tc>
          <w:tcPr>
            <w:tcW w:w="7400" w:type="dxa"/>
            <w:vAlign w:val="bottom"/>
          </w:tcPr>
          <w:p>
            <w:pPr>
              <w:ind w:left="840"/>
              <w:spacing w:after="0"/>
              <w:rPr>
                <w:sz w:val="20"/>
                <w:szCs w:val="20"/>
                <w:color w:val="auto"/>
              </w:rPr>
            </w:pPr>
            <w:r>
              <w:rPr>
                <w:rFonts w:ascii="Arial" w:cs="Arial" w:eastAsia="Arial" w:hAnsi="Arial"/>
                <w:sz w:val="16"/>
                <w:szCs w:val="16"/>
                <w:color w:val="auto"/>
              </w:rPr>
              <w:t>as of June 30, 2023 and September 30, 2022, respectively)</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0"/>
        </w:trPr>
        <w:tc>
          <w:tcPr>
            <w:tcW w:w="74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0"/>
        </w:trPr>
        <w:tc>
          <w:tcPr>
            <w:tcW w:w="7400" w:type="dxa"/>
            <w:vAlign w:val="bottom"/>
          </w:tcPr>
          <w:p>
            <w:pPr>
              <w:ind w:left="1060"/>
              <w:spacing w:after="0"/>
              <w:rPr>
                <w:sz w:val="20"/>
                <w:szCs w:val="20"/>
                <w:color w:val="auto"/>
              </w:rPr>
            </w:pPr>
            <w:r>
              <w:rPr>
                <w:rFonts w:ascii="Arial" w:cs="Arial" w:eastAsia="Arial" w:hAnsi="Arial"/>
                <w:sz w:val="16"/>
                <w:szCs w:val="16"/>
                <w:color w:val="auto"/>
              </w:rPr>
              <w:t>Materials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Work in process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23"/>
        </w:trPr>
        <w:tc>
          <w:tcPr>
            <w:tcW w:w="7400" w:type="dxa"/>
            <w:vAlign w:val="bottom"/>
          </w:tcPr>
          <w:p>
            <w:pPr>
              <w:ind w:left="1060"/>
              <w:spacing w:after="0"/>
              <w:rPr>
                <w:sz w:val="20"/>
                <w:szCs w:val="20"/>
                <w:color w:val="auto"/>
              </w:rPr>
            </w:pPr>
            <w:r>
              <w:rPr>
                <w:rFonts w:ascii="Arial" w:cs="Arial" w:eastAsia="Arial" w:hAnsi="Arial"/>
                <w:sz w:val="16"/>
                <w:szCs w:val="16"/>
                <w:color w:val="auto"/>
              </w:rPr>
              <w:t>Finished products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w:t>
            </w: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Inventories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r>
      <w:tr>
        <w:trPr>
          <w:trHeight w:val="210"/>
        </w:trPr>
        <w:tc>
          <w:tcPr>
            <w:tcW w:w="7400" w:type="dxa"/>
            <w:vAlign w:val="bottom"/>
          </w:tcPr>
          <w:p>
            <w:pPr>
              <w:ind w:left="700"/>
              <w:spacing w:after="0"/>
              <w:rPr>
                <w:sz w:val="20"/>
                <w:szCs w:val="20"/>
                <w:color w:val="auto"/>
              </w:rPr>
            </w:pPr>
            <w:r>
              <w:rPr>
                <w:rFonts w:ascii="Arial" w:cs="Arial" w:eastAsia="Arial" w:hAnsi="Arial"/>
                <w:sz w:val="16"/>
                <w:szCs w:val="16"/>
                <w:color w:val="auto"/>
              </w:rPr>
              <w:t>Amounts due from Becton, Dickinson and Company</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110.9</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Prepaid expenses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w:t>
            </w:r>
          </w:p>
        </w:tc>
      </w:tr>
      <w:tr>
        <w:trPr>
          <w:trHeight w:val="210"/>
        </w:trPr>
        <w:tc>
          <w:tcPr>
            <w:tcW w:w="7400" w:type="dxa"/>
            <w:vAlign w:val="bottom"/>
          </w:tcPr>
          <w:p>
            <w:pPr>
              <w:ind w:left="106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787.5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664.7</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301.6</w:t>
            </w:r>
          </w:p>
        </w:tc>
      </w:tr>
      <w:tr>
        <w:trPr>
          <w:trHeight w:val="220"/>
        </w:trPr>
        <w:tc>
          <w:tcPr>
            <w:tcW w:w="740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5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w:t>
            </w:r>
          </w:p>
        </w:tc>
      </w:tr>
      <w:tr>
        <w:trPr>
          <w:trHeight w:val="204"/>
        </w:trPr>
        <w:tc>
          <w:tcPr>
            <w:tcW w:w="74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1,252.1</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1,086.4</w:t>
            </w:r>
          </w:p>
        </w:tc>
      </w:tr>
      <w:tr>
        <w:trPr>
          <w:trHeight w:val="33"/>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0"/>
        </w:trPr>
        <w:tc>
          <w:tcPr>
            <w:tcW w:w="7400" w:type="dxa"/>
            <w:vAlign w:val="bottom"/>
          </w:tcPr>
          <w:p>
            <w:pPr>
              <w:ind w:left="36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r>
      <w:tr>
        <w:trPr>
          <w:trHeight w:val="220"/>
        </w:trPr>
        <w:tc>
          <w:tcPr>
            <w:tcW w:w="7400" w:type="dxa"/>
            <w:vAlign w:val="bottom"/>
          </w:tcPr>
          <w:p>
            <w:pPr>
              <w:ind w:left="70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104.3</w:t>
            </w:r>
          </w:p>
        </w:tc>
      </w:tr>
      <w:tr>
        <w:trPr>
          <w:trHeight w:val="233"/>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Amounts due to Becton, Dickinson and Company</w:t>
            </w: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w:t>
            </w:r>
          </w:p>
        </w:tc>
      </w:tr>
      <w:tr>
        <w:trPr>
          <w:trHeight w:val="210"/>
        </w:trPr>
        <w:tc>
          <w:tcPr>
            <w:tcW w:w="7400" w:type="dxa"/>
            <w:vAlign w:val="bottom"/>
          </w:tcPr>
          <w:p>
            <w:pPr>
              <w:ind w:left="700"/>
              <w:spacing w:after="0"/>
              <w:rPr>
                <w:sz w:val="20"/>
                <w:szCs w:val="20"/>
                <w:color w:val="auto"/>
              </w:rPr>
            </w:pPr>
            <w:r>
              <w:rPr>
                <w:rFonts w:ascii="Arial" w:cs="Arial" w:eastAsia="Arial" w:hAnsi="Arial"/>
                <w:sz w:val="16"/>
                <w:szCs w:val="16"/>
                <w:color w:val="auto"/>
              </w:rPr>
              <w:t>Salaries, wages and related items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9"/>
        </w:trPr>
        <w:tc>
          <w:tcPr>
            <w:tcW w:w="74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Current debt obligations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0"/>
        </w:trPr>
        <w:tc>
          <w:tcPr>
            <w:tcW w:w="7400" w:type="dxa"/>
            <w:vAlign w:val="bottom"/>
          </w:tcPr>
          <w:p>
            <w:pPr>
              <w:ind w:left="700"/>
              <w:spacing w:after="0"/>
              <w:rPr>
                <w:sz w:val="20"/>
                <w:szCs w:val="20"/>
                <w:color w:val="auto"/>
              </w:rPr>
            </w:pPr>
            <w:r>
              <w:rPr>
                <w:rFonts w:ascii="Arial" w:cs="Arial" w:eastAsia="Arial" w:hAnsi="Arial"/>
                <w:sz w:val="16"/>
                <w:szCs w:val="16"/>
                <w:color w:val="auto"/>
              </w:rPr>
              <w:t>Current finance lease liabilities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3"/>
        </w:trPr>
        <w:tc>
          <w:tcPr>
            <w:tcW w:w="7400" w:type="dxa"/>
            <w:vAlign w:val="bottom"/>
          </w:tcPr>
          <w:p>
            <w:pPr>
              <w:ind w:left="10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301.0</w:t>
            </w:r>
          </w:p>
        </w:tc>
      </w:tr>
      <w:tr>
        <w:trPr>
          <w:trHeight w:val="23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r>
      <w:tr>
        <w:trPr>
          <w:trHeight w:val="210"/>
        </w:trPr>
        <w:tc>
          <w:tcPr>
            <w:tcW w:w="74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1,595.0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1,598.1</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 Current Finance Lease Liabilities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10"/>
        </w:trPr>
        <w:tc>
          <w:tcPr>
            <w:tcW w:w="74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Embecta Corp. Equity</w:t>
            </w: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179"/>
        </w:trPr>
        <w:tc>
          <w:tcPr>
            <w:tcW w:w="7400" w:type="dxa"/>
            <w:vAlign w:val="bottom"/>
          </w:tcPr>
          <w:p>
            <w:pPr>
              <w:ind w:left="700"/>
              <w:spacing w:after="0" w:line="179" w:lineRule="exact"/>
              <w:rPr>
                <w:sz w:val="20"/>
                <w:szCs w:val="20"/>
                <w:color w:val="auto"/>
              </w:rPr>
            </w:pPr>
            <w:r>
              <w:rPr>
                <w:rFonts w:ascii="Arial" w:cs="Arial" w:eastAsia="Arial" w:hAnsi="Arial"/>
                <w:sz w:val="16"/>
                <w:szCs w:val="16"/>
                <w:color w:val="auto"/>
              </w:rPr>
              <w:t>Common stock, $0.01 par value</w:t>
            </w: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9"/>
        </w:trPr>
        <w:tc>
          <w:tcPr>
            <w:tcW w:w="7400" w:type="dxa"/>
            <w:vAlign w:val="bottom"/>
          </w:tcPr>
          <w:p>
            <w:pPr>
              <w:ind w:left="700"/>
              <w:spacing w:after="0"/>
              <w:rPr>
                <w:sz w:val="20"/>
                <w:szCs w:val="20"/>
                <w:color w:val="auto"/>
              </w:rPr>
            </w:pPr>
            <w:r>
              <w:rPr>
                <w:rFonts w:ascii="Arial" w:cs="Arial" w:eastAsia="Arial" w:hAnsi="Arial"/>
                <w:sz w:val="16"/>
                <w:szCs w:val="16"/>
                <w:color w:val="auto"/>
              </w:rPr>
              <w:t>Authorized - 250,000,000</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9"/>
        </w:trPr>
        <w:tc>
          <w:tcPr>
            <w:tcW w:w="7400" w:type="dxa"/>
            <w:vAlign w:val="bottom"/>
          </w:tcPr>
          <w:p>
            <w:pPr>
              <w:ind w:left="700"/>
              <w:spacing w:after="0"/>
              <w:rPr>
                <w:sz w:val="20"/>
                <w:szCs w:val="20"/>
                <w:color w:val="auto"/>
              </w:rPr>
            </w:pPr>
            <w:r>
              <w:rPr>
                <w:rFonts w:ascii="Arial" w:cs="Arial" w:eastAsia="Arial" w:hAnsi="Arial"/>
                <w:sz w:val="16"/>
                <w:szCs w:val="16"/>
                <w:color w:val="auto"/>
              </w:rPr>
              <w:t>Issued and outstanding - 57,302,056 as of June 30, 2023 and 57,055,327 as of</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6"/>
        </w:trPr>
        <w:tc>
          <w:tcPr>
            <w:tcW w:w="7400" w:type="dxa"/>
            <w:vAlign w:val="bottom"/>
          </w:tcPr>
          <w:p>
            <w:pPr>
              <w:ind w:left="880"/>
              <w:spacing w:after="0"/>
              <w:rPr>
                <w:sz w:val="20"/>
                <w:szCs w:val="20"/>
                <w:color w:val="auto"/>
              </w:rPr>
            </w:pPr>
            <w:r>
              <w:rPr>
                <w:rFonts w:ascii="Arial" w:cs="Arial" w:eastAsia="Arial" w:hAnsi="Arial"/>
                <w:sz w:val="16"/>
                <w:szCs w:val="16"/>
                <w:color w:val="auto"/>
              </w:rPr>
              <w:t>September 30, 2022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0.6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33"/>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7400" w:type="dxa"/>
            <w:vAlign w:val="bottom"/>
          </w:tcPr>
          <w:p>
            <w:pPr>
              <w:ind w:left="70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(538.5)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(577.1)</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w:t>
            </w:r>
          </w:p>
        </w:tc>
      </w:tr>
      <w:tr>
        <w:trPr>
          <w:trHeight w:val="210"/>
        </w:trPr>
        <w:tc>
          <w:tcPr>
            <w:tcW w:w="7400" w:type="dxa"/>
            <w:vAlign w:val="bottom"/>
          </w:tcPr>
          <w:p>
            <w:pPr>
              <w:ind w:left="1060"/>
              <w:spacing w:after="0"/>
              <w:rPr>
                <w:sz w:val="20"/>
                <w:szCs w:val="20"/>
                <w:color w:val="auto"/>
              </w:rPr>
            </w:pPr>
            <w:r>
              <w:rPr>
                <w:rFonts w:ascii="Arial" w:cs="Arial" w:eastAsia="Arial" w:hAnsi="Arial"/>
                <w:sz w:val="16"/>
                <w:szCs w:val="16"/>
                <w:color w:val="auto"/>
              </w:rPr>
              <w:t>Total Equity</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(809.4)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(891.4)</w:t>
            </w:r>
          </w:p>
        </w:tc>
      </w:tr>
      <w:tr>
        <w:trPr>
          <w:trHeight w:val="33"/>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2"/>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008" w:right="339" w:bottom="1440" w:gutter="0" w:footer="0" w:header="0"/>
        </w:sectPr>
      </w:pPr>
    </w:p>
    <w:bookmarkStart w:id="9" w:name="page10"/>
    <w:bookmarkEnd w:id="9"/>
    <w:p>
      <w:pPr>
        <w:ind w:left="3160"/>
        <w:spacing w:after="0"/>
        <w:rPr>
          <w:sz w:val="20"/>
          <w:szCs w:val="20"/>
          <w:color w:val="auto"/>
        </w:rPr>
      </w:pPr>
      <w:r>
        <w:rPr>
          <w:rFonts w:ascii="Arial" w:cs="Arial" w:eastAsia="Arial" w:hAnsi="Arial"/>
          <w:sz w:val="18"/>
          <w:szCs w:val="18"/>
          <w:b w:val="1"/>
          <w:bCs w:val="1"/>
          <w:color w:val="auto"/>
        </w:rPr>
        <w:t>Condensed Consolidated Statements of Cash Flows</w:t>
      </w:r>
    </w:p>
    <w:p>
      <w:pPr>
        <w:ind w:left="4740"/>
        <w:spacing w:after="0" w:line="208" w:lineRule="auto"/>
        <w:rPr>
          <w:sz w:val="20"/>
          <w:szCs w:val="20"/>
          <w:color w:val="auto"/>
        </w:rPr>
      </w:pPr>
      <w:r>
        <w:rPr>
          <w:rFonts w:ascii="Arial" w:cs="Arial" w:eastAsia="Arial" w:hAnsi="Arial"/>
          <w:sz w:val="18"/>
          <w:szCs w:val="18"/>
          <w:b w:val="1"/>
          <w:bCs w:val="1"/>
          <w:color w:val="auto"/>
        </w:rPr>
        <w:t>Embecta Corp.</w:t>
      </w:r>
    </w:p>
    <w:p>
      <w:pPr>
        <w:jc w:val="center"/>
        <w:ind w:right="20"/>
        <w:spacing w:after="0"/>
        <w:rPr>
          <w:sz w:val="20"/>
          <w:szCs w:val="20"/>
          <w:color w:val="auto"/>
        </w:rPr>
      </w:pPr>
      <w:r>
        <w:rPr>
          <w:rFonts w:ascii="Arial" w:cs="Arial" w:eastAsia="Arial" w:hAnsi="Arial"/>
          <w:sz w:val="18"/>
          <w:szCs w:val="18"/>
          <w:b w:val="1"/>
          <w:bCs w:val="1"/>
          <w:color w:val="auto"/>
        </w:rPr>
        <w:t>(Unaudited, in millions)</w:t>
      </w:r>
    </w:p>
    <w:p>
      <w:pPr>
        <w:spacing w:after="0" w:line="3" w:lineRule="exact"/>
        <w:rPr>
          <w:sz w:val="20"/>
          <w:szCs w:val="20"/>
          <w:color w:val="auto"/>
        </w:rPr>
      </w:pPr>
    </w:p>
    <w:p>
      <w:pPr>
        <w:jc w:val="center"/>
        <w:ind w:left="7720"/>
        <w:spacing w:after="0"/>
        <w:rPr>
          <w:sz w:val="20"/>
          <w:szCs w:val="20"/>
          <w:color w:val="auto"/>
        </w:rPr>
      </w:pPr>
      <w:r>
        <w:rPr>
          <w:rFonts w:ascii="Arial" w:cs="Arial" w:eastAsia="Arial" w:hAnsi="Arial"/>
          <w:sz w:val="16"/>
          <w:szCs w:val="16"/>
          <w:b w:val="1"/>
          <w:bCs w:val="1"/>
          <w:color w:val="auto"/>
        </w:rPr>
        <w:t>Nine Months Ended</w:t>
      </w:r>
    </w:p>
    <w:p>
      <w:pPr>
        <w:jc w:val="center"/>
        <w:ind w:left="77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19284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2"/>
        </w:trPr>
        <w:tc>
          <w:tcPr>
            <w:tcW w:w="774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240.8</w:t>
            </w:r>
          </w:p>
        </w:tc>
        <w:tc>
          <w:tcPr>
            <w:tcW w:w="0" w:type="dxa"/>
            <w:vAlign w:val="bottom"/>
          </w:tcPr>
          <w:p>
            <w:pPr>
              <w:spacing w:after="0"/>
              <w:rPr>
                <w:sz w:val="1"/>
                <w:szCs w:val="1"/>
                <w:color w:val="auto"/>
              </w:rPr>
            </w:pPr>
          </w:p>
        </w:tc>
      </w:tr>
      <w:tr>
        <w:trPr>
          <w:trHeight w:val="220"/>
        </w:trPr>
        <w:tc>
          <w:tcPr>
            <w:tcW w:w="7740" w:type="dxa"/>
            <w:vAlign w:val="bottom"/>
          </w:tcPr>
          <w:p>
            <w:pPr>
              <w:ind w:left="34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0"/>
        </w:trPr>
        <w:tc>
          <w:tcPr>
            <w:tcW w:w="7740" w:type="dxa"/>
            <w:vAlign w:val="bottom"/>
          </w:tcPr>
          <w:p>
            <w:pPr>
              <w:ind w:left="700"/>
              <w:spacing w:after="0"/>
              <w:rPr>
                <w:sz w:val="20"/>
                <w:szCs w:val="20"/>
                <w:color w:val="auto"/>
              </w:rPr>
            </w:pPr>
            <w:r>
              <w:rPr>
                <w:rFonts w:ascii="Arial" w:cs="Arial" w:eastAsia="Arial" w:hAnsi="Arial"/>
                <w:sz w:val="16"/>
                <w:szCs w:val="16"/>
                <w:color w:val="auto"/>
              </w:rPr>
              <w:t>Amortization of debt issuance costs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Stock-based compensation</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0"/>
        </w:trPr>
        <w:tc>
          <w:tcPr>
            <w:tcW w:w="7740" w:type="dxa"/>
            <w:vAlign w:val="bottom"/>
          </w:tcPr>
          <w:p>
            <w:pPr>
              <w:ind w:left="700"/>
              <w:spacing w:after="0"/>
              <w:rPr>
                <w:sz w:val="20"/>
                <w:szCs w:val="20"/>
                <w:color w:val="auto"/>
              </w:rPr>
            </w:pPr>
            <w:r>
              <w:rPr>
                <w:rFonts w:ascii="Arial" w:cs="Arial" w:eastAsia="Arial" w:hAnsi="Arial"/>
                <w:sz w:val="16"/>
                <w:szCs w:val="16"/>
                <w:color w:val="auto"/>
              </w:rPr>
              <w:t>Net periodic pension benefit and other postretirement costs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income taxes</w:t>
            </w:r>
          </w:p>
        </w:tc>
        <w:tc>
          <w:tcPr>
            <w:tcW w:w="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20"/>
        </w:trPr>
        <w:tc>
          <w:tcPr>
            <w:tcW w:w="7740" w:type="dxa"/>
            <w:vAlign w:val="bottom"/>
          </w:tcPr>
          <w:p>
            <w:pPr>
              <w:ind w:left="700"/>
              <w:spacing w:after="0"/>
              <w:rPr>
                <w:sz w:val="20"/>
                <w:szCs w:val="20"/>
                <w:color w:val="auto"/>
              </w:rPr>
            </w:pPr>
            <w:r>
              <w:rPr>
                <w:rFonts w:ascii="Arial" w:cs="Arial" w:eastAsia="Arial" w:hAnsi="Arial"/>
                <w:sz w:val="16"/>
                <w:szCs w:val="16"/>
                <w:color w:val="auto"/>
              </w:rPr>
              <w:t>Change in operating assets and liabilities:</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Trade receivables, net</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10"/>
        </w:trPr>
        <w:tc>
          <w:tcPr>
            <w:tcW w:w="7740" w:type="dxa"/>
            <w:vAlign w:val="bottom"/>
          </w:tcPr>
          <w:p>
            <w:pPr>
              <w:ind w:left="1060"/>
              <w:spacing w:after="0"/>
              <w:rPr>
                <w:sz w:val="20"/>
                <w:szCs w:val="20"/>
                <w:color w:val="auto"/>
              </w:rPr>
            </w:pPr>
            <w:r>
              <w:rPr>
                <w:rFonts w:ascii="Arial" w:cs="Arial" w:eastAsia="Arial" w:hAnsi="Arial"/>
                <w:sz w:val="16"/>
                <w:szCs w:val="16"/>
                <w:color w:val="auto"/>
              </w:rPr>
              <w:t>Inventories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4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Due from/due to Becton, Dickinson and Company</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210"/>
        </w:trPr>
        <w:tc>
          <w:tcPr>
            <w:tcW w:w="7740" w:type="dxa"/>
            <w:vAlign w:val="bottom"/>
          </w:tcPr>
          <w:p>
            <w:pPr>
              <w:ind w:left="1060"/>
              <w:spacing w:after="0"/>
              <w:rPr>
                <w:sz w:val="20"/>
                <w:szCs w:val="20"/>
                <w:color w:val="auto"/>
              </w:rPr>
            </w:pPr>
            <w:r>
              <w:rPr>
                <w:rFonts w:ascii="Arial" w:cs="Arial" w:eastAsia="Arial" w:hAnsi="Arial"/>
                <w:sz w:val="16"/>
                <w:szCs w:val="16"/>
                <w:color w:val="auto"/>
              </w:rPr>
              <w:t>Prepaid expenses and other</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Accounts payable, accrued expenses and other current liabilities</w:t>
            </w:r>
          </w:p>
        </w:tc>
        <w:tc>
          <w:tcPr>
            <w:tcW w:w="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20"/>
        </w:trPr>
        <w:tc>
          <w:tcPr>
            <w:tcW w:w="7740" w:type="dxa"/>
            <w:vAlign w:val="bottom"/>
          </w:tcPr>
          <w:p>
            <w:pPr>
              <w:ind w:left="1060"/>
              <w:spacing w:after="0"/>
              <w:rPr>
                <w:sz w:val="20"/>
                <w:szCs w:val="20"/>
                <w:color w:val="auto"/>
              </w:rPr>
            </w:pPr>
            <w:r>
              <w:rPr>
                <w:rFonts w:ascii="Arial" w:cs="Arial" w:eastAsia="Arial" w:hAnsi="Arial"/>
                <w:sz w:val="16"/>
                <w:szCs w:val="16"/>
                <w:color w:val="auto"/>
              </w:rPr>
              <w:t>Income and other net taxes payable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58"/>
        </w:trPr>
        <w:tc>
          <w:tcPr>
            <w:tcW w:w="7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Other assets and liabilities, net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3"/>
        </w:trPr>
        <w:tc>
          <w:tcPr>
            <w:tcW w:w="7740" w:type="dxa"/>
            <w:vAlign w:val="bottom"/>
            <w:tcBorders>
              <w:top w:val="single" w:sz="8" w:color="CCEEFF"/>
            </w:tcBorders>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354.2</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700"/>
              <w:spacing w:after="0"/>
              <w:rPr>
                <w:sz w:val="20"/>
                <w:szCs w:val="20"/>
                <w:color w:val="auto"/>
              </w:rPr>
            </w:pPr>
            <w:r>
              <w:rPr>
                <w:rFonts w:ascii="Arial" w:cs="Arial" w:eastAsia="Arial" w:hAnsi="Arial"/>
                <w:sz w:val="16"/>
                <w:szCs w:val="16"/>
                <w:color w:val="auto"/>
              </w:rPr>
              <w:t>Capital expenditures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(17.3)</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Acquisition of intangible assets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0"/>
        </w:trPr>
        <w:tc>
          <w:tcPr>
            <w:tcW w:w="7740" w:type="dxa"/>
            <w:vAlign w:val="bottom"/>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(17.3)</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700"/>
              <w:spacing w:after="0"/>
              <w:rPr>
                <w:sz w:val="20"/>
                <w:szCs w:val="20"/>
                <w:color w:val="auto"/>
              </w:rPr>
            </w:pPr>
            <w:r>
              <w:rPr>
                <w:rFonts w:ascii="Arial" w:cs="Arial" w:eastAsia="Arial" w:hAnsi="Arial"/>
                <w:sz w:val="16"/>
                <w:szCs w:val="16"/>
                <w:color w:val="auto"/>
              </w:rPr>
              <w:t>Proceeds from the issuance of long-term debt</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1,450.0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Payments on long-term debt</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7740" w:type="dxa"/>
            <w:vAlign w:val="bottom"/>
          </w:tcPr>
          <w:p>
            <w:pPr>
              <w:ind w:left="700"/>
              <w:spacing w:after="0"/>
              <w:rPr>
                <w:sz w:val="20"/>
                <w:szCs w:val="20"/>
                <w:color w:val="auto"/>
              </w:rPr>
            </w:pPr>
            <w:r>
              <w:rPr>
                <w:rFonts w:ascii="Arial" w:cs="Arial" w:eastAsia="Arial" w:hAnsi="Arial"/>
                <w:sz w:val="16"/>
                <w:szCs w:val="16"/>
                <w:color w:val="auto"/>
              </w:rPr>
              <w:t>Payment of long-term debt issuance costs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 of revolving credit facility fees</w:t>
            </w:r>
          </w:p>
        </w:tc>
        <w:tc>
          <w:tcPr>
            <w:tcW w:w="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0"/>
        </w:trPr>
        <w:tc>
          <w:tcPr>
            <w:tcW w:w="7740" w:type="dxa"/>
            <w:vAlign w:val="bottom"/>
          </w:tcPr>
          <w:p>
            <w:pPr>
              <w:ind w:left="700"/>
              <w:spacing w:after="0"/>
              <w:rPr>
                <w:sz w:val="20"/>
                <w:szCs w:val="20"/>
                <w:color w:val="auto"/>
              </w:rPr>
            </w:pPr>
            <w:r>
              <w:rPr>
                <w:rFonts w:ascii="Arial" w:cs="Arial" w:eastAsia="Arial" w:hAnsi="Arial"/>
                <w:sz w:val="16"/>
                <w:szCs w:val="16"/>
                <w:color w:val="auto"/>
              </w:rPr>
              <w:t>Payments related to tax withholding for stock-based compensation</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Payments on finance lease</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10"/>
        </w:trPr>
        <w:tc>
          <w:tcPr>
            <w:tcW w:w="7740" w:type="dxa"/>
            <w:vAlign w:val="bottom"/>
          </w:tcPr>
          <w:p>
            <w:pPr>
              <w:ind w:left="700"/>
              <w:spacing w:after="0"/>
              <w:rPr>
                <w:sz w:val="20"/>
                <w:szCs w:val="20"/>
                <w:color w:val="auto"/>
              </w:rPr>
            </w:pPr>
            <w:r>
              <w:rPr>
                <w:rFonts w:ascii="Arial" w:cs="Arial" w:eastAsia="Arial" w:hAnsi="Arial"/>
                <w:sz w:val="16"/>
                <w:szCs w:val="16"/>
                <w:color w:val="auto"/>
              </w:rPr>
              <w:t>Dividend payments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consideration paid to Becton, Dickinson and Company in connection with the Separation</w:t>
            </w:r>
          </w:p>
        </w:tc>
        <w:tc>
          <w:tcPr>
            <w:tcW w:w="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(1,266.0)</w:t>
            </w:r>
          </w:p>
        </w:tc>
        <w:tc>
          <w:tcPr>
            <w:tcW w:w="0" w:type="dxa"/>
            <w:vAlign w:val="bottom"/>
          </w:tcPr>
          <w:p>
            <w:pPr>
              <w:spacing w:after="0"/>
              <w:rPr>
                <w:sz w:val="1"/>
                <w:szCs w:val="1"/>
                <w:color w:val="auto"/>
              </w:rPr>
            </w:pPr>
          </w:p>
        </w:tc>
      </w:tr>
      <w:tr>
        <w:trPr>
          <w:trHeight w:val="223"/>
        </w:trPr>
        <w:tc>
          <w:tcPr>
            <w:tcW w:w="7740" w:type="dxa"/>
            <w:vAlign w:val="bottom"/>
          </w:tcPr>
          <w:p>
            <w:pPr>
              <w:ind w:left="700"/>
              <w:spacing w:after="0"/>
              <w:rPr>
                <w:sz w:val="20"/>
                <w:szCs w:val="20"/>
                <w:color w:val="auto"/>
              </w:rPr>
            </w:pPr>
            <w:r>
              <w:rPr>
                <w:rFonts w:ascii="Arial" w:cs="Arial" w:eastAsia="Arial" w:hAnsi="Arial"/>
                <w:sz w:val="16"/>
                <w:szCs w:val="16"/>
                <w:color w:val="auto"/>
              </w:rPr>
              <w:t>Net transfers to Becton, Dickinson and Company</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03"/>
        </w:trPr>
        <w:tc>
          <w:tcPr>
            <w:tcW w:w="7740" w:type="dxa"/>
            <w:vAlign w:val="bottom"/>
          </w:tcPr>
          <w:p>
            <w:pPr>
              <w:ind w:left="340"/>
              <w:spacing w:after="0"/>
              <w:rPr>
                <w:sz w:val="20"/>
                <w:szCs w:val="20"/>
                <w:color w:val="auto"/>
              </w:rPr>
            </w:pPr>
            <w:r>
              <w:rPr>
                <w:rFonts w:ascii="Arial" w:cs="Arial" w:eastAsia="Arial" w:hAnsi="Arial"/>
                <w:sz w:val="16"/>
                <w:szCs w:val="16"/>
                <w:color w:val="auto"/>
              </w:rPr>
              <w:t>Effect of exchange rate changes on cash and cash equivalents</w:t>
            </w: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Change in Cash and cash equivalents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292.3</w:t>
            </w:r>
          </w:p>
        </w:tc>
        <w:tc>
          <w:tcPr>
            <w:tcW w:w="0" w:type="dxa"/>
            <w:vAlign w:val="bottom"/>
          </w:tcPr>
          <w:p>
            <w:pPr>
              <w:spacing w:after="0"/>
              <w:rPr>
                <w:sz w:val="1"/>
                <w:szCs w:val="1"/>
                <w:color w:val="auto"/>
              </w:rPr>
            </w:pPr>
          </w:p>
        </w:tc>
      </w:tr>
      <w:tr>
        <w:trPr>
          <w:trHeight w:val="210"/>
        </w:trPr>
        <w:tc>
          <w:tcPr>
            <w:tcW w:w="7740" w:type="dxa"/>
            <w:vAlign w:val="bottom"/>
          </w:tcPr>
          <w:p>
            <w:pPr>
              <w:ind w:left="340"/>
              <w:spacing w:after="0"/>
              <w:rPr>
                <w:sz w:val="20"/>
                <w:szCs w:val="20"/>
                <w:color w:val="auto"/>
              </w:rPr>
            </w:pPr>
            <w:r>
              <w:rPr>
                <w:rFonts w:ascii="Arial" w:cs="Arial" w:eastAsia="Arial" w:hAnsi="Arial"/>
                <w:sz w:val="16"/>
                <w:szCs w:val="16"/>
                <w:color w:val="auto"/>
              </w:rPr>
              <w:t>Opening Cash and cash equivalents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Closing Cash and cash equivalents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292.3</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780"/>
          </w:cols>
          <w:pgMar w:left="560" w:top="1008" w:right="559" w:bottom="1440" w:gutter="0" w:footer="0" w:header="0"/>
        </w:sectPr>
      </w:pPr>
    </w:p>
    <w:bookmarkStart w:id="10" w:name="page11"/>
    <w:bookmarkEnd w:id="10"/>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About Non-GAAP financial measures</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evaluating our operating performance, we supplement the reporting of our financial information determined under GAAP with certain non-GAAP financial measures including (i) earnings before interest, taxes, depreciation, and amortization (“EBITDA”), (ii) Adjusted EBITDA and Adjusted EBITDA Margin, (iii) Adjusted Gross Profit and Adjusted Gross Profit Margin, (iv) Constant Currency revenue growth, (v) Adjusted Operating Income and Adjusted Operating Income Margin (vi) Non-GAAP Pre-tax Income and, (vii) Adjusted Net Income and Adjusted earnings per diluted share.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ectPr>
          <w:pgSz w:w="11900" w:h="16866" w:orient="portrait"/>
          <w:cols w:equalWidth="0" w:num="1">
            <w:col w:w="11240"/>
          </w:cols>
          <w:pgMar w:left="320" w:top="118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66" w:orient="portrait"/>
          <w:cols w:equalWidth="0" w:num="1">
            <w:col w:w="11240"/>
          </w:cols>
          <w:pgMar w:left="320" w:top="1180" w:right="339" w:bottom="0" w:gutter="0" w:footer="0" w:header="0"/>
          <w:type w:val="continuous"/>
        </w:sectPr>
      </w:pPr>
    </w:p>
    <w:bookmarkStart w:id="11" w:name="page12"/>
    <w:bookmarkEnd w:id="1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ind w:right="460"/>
        <w:spacing w:after="0" w:line="258" w:lineRule="auto"/>
        <w:rPr>
          <w:sz w:val="20"/>
          <w:szCs w:val="20"/>
          <w:color w:val="auto"/>
        </w:rPr>
      </w:pPr>
      <w:r>
        <w:rPr>
          <w:rFonts w:ascii="Arial" w:cs="Arial" w:eastAsia="Arial" w:hAnsi="Arial"/>
          <w:sz w:val="17"/>
          <w:szCs w:val="17"/>
          <w:color w:val="auto"/>
        </w:rPr>
        <w:t>For the three and nine month periods ended June 30, 2023 and 2022, the reconciliation of net income to EBITDA and adjusted EBITDA was as follows (unaudited, in millions)</w:t>
      </w:r>
    </w:p>
    <w:p>
      <w:pPr>
        <w:spacing w:after="0" w:line="210"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310"/>
        </w:trPr>
        <w:tc>
          <w:tcPr>
            <w:tcW w:w="4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4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GAAP 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240.8</w:t>
            </w: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33"/>
        </w:trPr>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r>
      <w:tr>
        <w:trPr>
          <w:trHeight w:val="223"/>
        </w:trPr>
        <w:tc>
          <w:tcPr>
            <w:tcW w:w="40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r>
      <w:tr>
        <w:trPr>
          <w:trHeight w:val="227"/>
        </w:trPr>
        <w:tc>
          <w:tcPr>
            <w:tcW w:w="4020" w:type="dxa"/>
            <w:vAlign w:val="bottom"/>
          </w:tcPr>
          <w:p>
            <w:pPr>
              <w:spacing w:after="0"/>
              <w:rPr>
                <w:sz w:val="20"/>
                <w:szCs w:val="20"/>
                <w:color w:val="auto"/>
              </w:rPr>
            </w:pPr>
            <w:r>
              <w:rPr>
                <w:rFonts w:ascii="Arial" w:cs="Arial" w:eastAsia="Arial" w:hAnsi="Arial"/>
                <w:sz w:val="16"/>
                <w:szCs w:val="16"/>
                <w:b w:val="1"/>
                <w:bCs w:val="1"/>
                <w:color w:val="auto"/>
              </w:rPr>
              <w:t>EBITDA</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55.2</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102.2</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203.4</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332.7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-143510</wp:posOffset>
            </wp:positionV>
            <wp:extent cx="618934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9345" cy="16319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p>
      <w:pPr>
        <w:spacing w:after="0" w:line="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(1)</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p>
      <w:pPr>
        <w:ind w:left="760"/>
        <w:spacing w:after="0" w:line="183" w:lineRule="auto"/>
        <w:rPr>
          <w:sz w:val="20"/>
          <w:szCs w:val="20"/>
          <w:color w:val="auto"/>
        </w:rPr>
      </w:pPr>
      <w:r>
        <w:rPr>
          <w:rFonts w:ascii="Arial" w:cs="Arial" w:eastAsia="Arial" w:hAnsi="Arial"/>
          <w:sz w:val="14"/>
          <w:szCs w:val="14"/>
          <w:color w:val="auto"/>
        </w:rPr>
        <w:t>European regulatory initiative-related costs ("EU MDR")</w:t>
      </w:r>
    </w:p>
    <w:p>
      <w:pPr>
        <w:ind w:left="940"/>
        <w:spacing w:after="0"/>
        <w:rPr>
          <w:sz w:val="20"/>
          <w:szCs w:val="20"/>
          <w:color w:val="auto"/>
        </w:rPr>
      </w:pPr>
      <w:r>
        <w:rPr>
          <w:rFonts w:ascii="Arial" w:cs="Arial" w:eastAsia="Arial" w:hAnsi="Arial"/>
          <w:sz w:val="11"/>
          <w:szCs w:val="11"/>
          <w:color w:val="auto"/>
        </w:rPr>
        <w:t>(3)</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Restructuring-related costs </w:t>
      </w:r>
      <w:r>
        <w:rPr>
          <w:rFonts w:ascii="Arial" w:cs="Arial" w:eastAsia="Arial" w:hAnsi="Arial"/>
          <w:sz w:val="21"/>
          <w:szCs w:val="21"/>
          <w:color w:val="auto"/>
          <w:vertAlign w:val="superscript"/>
        </w:rPr>
        <w:t>(4)</w:t>
      </w:r>
    </w:p>
    <w:p>
      <w:pPr>
        <w:spacing w:after="0" w:line="14" w:lineRule="exact"/>
        <w:rPr>
          <w:sz w:val="20"/>
          <w:szCs w:val="20"/>
          <w:color w:val="auto"/>
        </w:rPr>
      </w:pPr>
    </w:p>
    <w:p>
      <w:pPr>
        <w:ind w:left="940" w:right="420" w:hanging="179"/>
        <w:spacing w:after="0" w:line="227" w:lineRule="auto"/>
        <w:rPr>
          <w:sz w:val="20"/>
          <w:szCs w:val="20"/>
          <w:color w:val="auto"/>
        </w:rPr>
      </w:pPr>
      <w:r>
        <w:rPr>
          <w:rFonts w:ascii="Arial" w:cs="Arial" w:eastAsia="Arial" w:hAnsi="Arial"/>
          <w:sz w:val="16"/>
          <w:szCs w:val="16"/>
          <w:color w:val="auto"/>
        </w:rPr>
        <w:t xml:space="preserve">Deferred jurisdiction adjustments in Other income (expense), net for taxes </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43"/>
        </w:trPr>
        <w:tc>
          <w:tcPr>
            <w:tcW w:w="1340" w:type="dxa"/>
            <w:vAlign w:val="bottom"/>
          </w:tcPr>
          <w:p>
            <w:pPr>
              <w:jc w:val="right"/>
              <w:spacing w:after="0"/>
              <w:rPr>
                <w:sz w:val="20"/>
                <w:szCs w:val="20"/>
                <w:color w:val="auto"/>
              </w:rPr>
            </w:pPr>
            <w:r>
              <w:rPr>
                <w:rFonts w:ascii="Arial" w:cs="Arial" w:eastAsia="Arial" w:hAnsi="Arial"/>
                <w:sz w:val="16"/>
                <w:szCs w:val="16"/>
                <w:color w:val="auto"/>
              </w:rPr>
              <w:t>25.5</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61.9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25.7</w:t>
            </w:r>
          </w:p>
        </w:tc>
      </w:tr>
      <w:tr>
        <w:trPr>
          <w:trHeight w:val="364"/>
        </w:trPr>
        <w:tc>
          <w:tcPr>
            <w:tcW w:w="1340" w:type="dxa"/>
            <w:vAlign w:val="bottom"/>
          </w:tcPr>
          <w:p>
            <w:pPr>
              <w:jc w:val="right"/>
              <w:spacing w:after="0"/>
              <w:rPr>
                <w:sz w:val="20"/>
                <w:szCs w:val="20"/>
                <w:color w:val="auto"/>
              </w:rPr>
            </w:pPr>
            <w:r>
              <w:rPr>
                <w:rFonts w:ascii="Arial" w:cs="Arial" w:eastAsia="Arial" w:hAnsi="Arial"/>
                <w:sz w:val="16"/>
                <w:szCs w:val="16"/>
                <w:color w:val="auto"/>
              </w:rPr>
              <w:t>0.2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30"/>
        </w:trPr>
        <w:tc>
          <w:tcPr>
            <w:tcW w:w="13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2"/>
        </w:trPr>
        <w:tc>
          <w:tcPr>
            <w:tcW w:w="13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-784225</wp:posOffset>
            </wp:positionV>
            <wp:extent cx="618934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89345" cy="15430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-407035</wp:posOffset>
            </wp:positionV>
            <wp:extent cx="618934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89345" cy="15430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740" w:space="40"/>
            <w:col w:w="6460"/>
          </w:cols>
          <w:pgMar w:left="320" w:top="1026" w:right="339" w:bottom="1440" w:gutter="0" w:footer="0" w:header="0"/>
          <w:type w:val="continuous"/>
        </w:sectPr>
      </w:pPr>
    </w:p>
    <w:tbl>
      <w:tblPr>
        <w:tblLayout w:type="fixed"/>
        <w:tblInd w:w="760" w:type="dxa"/>
        <w:tblCellMar>
          <w:top w:w="0" w:type="dxa"/>
          <w:left w:w="0" w:type="dxa"/>
          <w:bottom w:w="0" w:type="dxa"/>
          <w:right w:w="0" w:type="dxa"/>
        </w:tblCellMar>
      </w:tblPr>
      <w:tr>
        <w:trPr>
          <w:trHeight w:val="257"/>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Adjusted EBITDA</w:t>
            </w: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299.1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373.7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i w:val="1"/>
                <w:iCs w:val="1"/>
                <w:color w:val="auto"/>
              </w:rPr>
              <w:t>Adjusted EBITDA Margin</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ind w:left="360"/>
              <w:spacing w:after="0"/>
              <w:rPr>
                <w:sz w:val="20"/>
                <w:szCs w:val="20"/>
                <w:color w:val="auto"/>
              </w:rPr>
            </w:pPr>
            <w:r>
              <w:rPr>
                <w:rFonts w:ascii="Arial" w:cs="Arial" w:eastAsia="Arial" w:hAnsi="Arial"/>
                <w:sz w:val="16"/>
                <w:szCs w:val="16"/>
                <w:b w:val="1"/>
                <w:bCs w:val="1"/>
                <w:i w:val="1"/>
                <w:iCs w:val="1"/>
                <w:color w:val="auto"/>
              </w:rPr>
              <w:t>32.2 %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40.6 %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35.7 %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43.7 %</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00" w:hanging="388"/>
        <w:spacing w:after="0" w:line="222"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stock-based compensation expense incurred during the three and nine months ended June 30, 2023 and 2022, respectively. For the three months ended June 30, 2023, $4.6 million is recorded in Selling and administrative expense, $0.6 million is recorded in Cost of products sold, and $0.5 million is recorded in Research and development expense. For the nine months ended, June 30, 2023, $14.0 million is recorded in Selling and administrative expense, $1.7 million is recorded in Cost of products sold, and $1.3 million is recorded in Research and development expense. For the three months ended June 30, 2022, $5.0 million is recorded in Selling and administrative expense, $0.3 million is recorded in Cost of products sold, and $0.5 million is recorded in Research and development expense. For the nine months ended June 30, 2022, $10.7 million is recorded in Selling and administrative expense, $2.0 million is recorded in Cost of products sold, and $1.6 million is recorded in Research and development expense.</w:t>
      </w:r>
    </w:p>
    <w:p>
      <w:pPr>
        <w:spacing w:after="0" w:line="24" w:lineRule="exact"/>
        <w:rPr>
          <w:rFonts w:ascii="Arial" w:cs="Arial" w:eastAsia="Arial" w:hAnsi="Arial"/>
          <w:sz w:val="14"/>
          <w:szCs w:val="14"/>
          <w:color w:val="auto"/>
        </w:rPr>
      </w:pPr>
    </w:p>
    <w:p>
      <w:pPr>
        <w:jc w:val="both"/>
        <w:ind w:left="500" w:hanging="388"/>
        <w:spacing w:after="0" w:line="228"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One-time stand up costs incurred primarily include costs to stand up the Company. For the three months ended June 30, 2023, approximately $25.5 million is recorded in Other operating expenses. For the nine months ended June 30, 2023, approximately $61.1 million and $0.8 million are recorded in Other operating expenses and Selling and administrative expense, respectively. For the three and nine months ended June 30, 2022, $7.7 million and $23.5 million of the one-time stand up costs are recorded in Other operating expenses, respectively.</w:t>
      </w:r>
    </w:p>
    <w:p>
      <w:pPr>
        <w:spacing w:after="0" w:line="9" w:lineRule="exact"/>
        <w:rPr>
          <w:rFonts w:ascii="Arial" w:cs="Arial" w:eastAsia="Arial" w:hAnsi="Arial"/>
          <w:sz w:val="14"/>
          <w:szCs w:val="14"/>
          <w:color w:val="auto"/>
        </w:rPr>
      </w:pPr>
    </w:p>
    <w:p>
      <w:pPr>
        <w:ind w:left="500" w:right="60" w:hanging="388"/>
        <w:spacing w:after="0" w:line="227"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General Data Protection Regulation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 During the fourth quarter of fiscal year 2022, the Company updated its definition for adjustments to include costs associated with developing processes and systems to comply with EU MDR. This amount was not previously included as an adjustment in the prior period.</w:t>
      </w:r>
    </w:p>
    <w:p>
      <w:pPr>
        <w:spacing w:after="0" w:line="21" w:lineRule="exact"/>
        <w:rPr>
          <w:rFonts w:ascii="Arial" w:cs="Arial" w:eastAsia="Arial" w:hAnsi="Arial"/>
          <w:sz w:val="14"/>
          <w:szCs w:val="14"/>
          <w:color w:val="auto"/>
        </w:rPr>
      </w:pP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restructuring-related costs recorded in Other operating expenses.</w:t>
      </w:r>
    </w:p>
    <w:p>
      <w:pPr>
        <w:spacing w:after="0" w:line="28" w:lineRule="exact"/>
        <w:rPr>
          <w:rFonts w:ascii="Arial" w:cs="Arial" w:eastAsia="Arial" w:hAnsi="Arial"/>
          <w:sz w:val="14"/>
          <w:szCs w:val="14"/>
          <w:color w:val="auto"/>
        </w:rPr>
      </w:pP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closing jurisdictions where BD is considered the primary obligor.</w:t>
      </w:r>
    </w:p>
    <w:p>
      <w:pPr>
        <w:sectPr>
          <w:pgSz w:w="11900" w:h="16838" w:orient="portrait"/>
          <w:cols w:equalWidth="0" w:num="1">
            <w:col w:w="11240"/>
          </w:cols>
          <w:pgMar w:left="320" w:top="10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026" w:right="339" w:bottom="1440" w:gutter="0" w:footer="0" w:header="0"/>
          <w:type w:val="continuous"/>
        </w:sectPr>
      </w:pPr>
    </w:p>
    <w:bookmarkStart w:id="13" w:name="page14"/>
    <w:bookmarkEnd w:id="13"/>
    <w:p>
      <w:pPr>
        <w:jc w:val="both"/>
        <w:spacing w:after="0" w:line="246" w:lineRule="auto"/>
        <w:rPr>
          <w:sz w:val="20"/>
          <w:szCs w:val="20"/>
          <w:color w:val="auto"/>
        </w:rPr>
      </w:pPr>
      <w:r>
        <w:rPr>
          <w:rFonts w:ascii="Arial" w:cs="Arial" w:eastAsia="Arial" w:hAnsi="Arial"/>
          <w:sz w:val="17"/>
          <w:szCs w:val="17"/>
          <w:color w:val="auto"/>
        </w:rPr>
        <w:t>For the three and nine month periods ended June 30, 2023, the reconciliations of (1) GAAP Gross Profit and Gross Margin to Adjusted Gross Profit and Adjusted Gross Margin, (2) GAAP Operating Income and Operating Margin to Adjusted Operating Income and Adjusted Operating Income Margin and (3) GAAP Net Income Per Diluted Share to Adjusted Net Income Per Diluted Share are as follows (unaudited in millions, except per share amounts):</w:t>
      </w:r>
    </w:p>
    <w:p>
      <w:pPr>
        <w:spacing w:after="0" w:line="20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June 30,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June 30,</w:t>
            </w:r>
          </w:p>
        </w:tc>
        <w:tc>
          <w:tcPr>
            <w:tcW w:w="0" w:type="dxa"/>
            <w:vAlign w:val="bottom"/>
          </w:tcPr>
          <w:p>
            <w:pPr>
              <w:spacing w:after="0"/>
              <w:rPr>
                <w:sz w:val="1"/>
                <w:szCs w:val="1"/>
                <w:color w:val="auto"/>
              </w:rPr>
            </w:pPr>
          </w:p>
        </w:tc>
      </w:tr>
      <w:tr>
        <w:trPr>
          <w:trHeight w:val="331"/>
        </w:trPr>
        <w:tc>
          <w:tcPr>
            <w:tcW w:w="7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 xml:space="preserve">2023 </w:t>
            </w:r>
            <w:r>
              <w:rPr>
                <w:rFonts w:ascii="Arial" w:cs="Arial" w:eastAsia="Arial" w:hAnsi="Arial"/>
                <w:sz w:val="21"/>
                <w:szCs w:val="21"/>
                <w:b w:val="1"/>
                <w:bCs w:val="1"/>
                <w:color w:val="auto"/>
                <w:vertAlign w:val="superscript"/>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 xml:space="preserve">2023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3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568.1</w:t>
            </w:r>
          </w:p>
        </w:tc>
        <w:tc>
          <w:tcPr>
            <w:tcW w:w="0" w:type="dxa"/>
            <w:vAlign w:val="bottom"/>
          </w:tcPr>
          <w:p>
            <w:pPr>
              <w:spacing w:after="0"/>
              <w:rPr>
                <w:sz w:val="1"/>
                <w:szCs w:val="1"/>
                <w:color w:val="auto"/>
              </w:rPr>
            </w:pP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Gross Profit Margin</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66.2 %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67.7 %</w:t>
            </w:r>
          </w:p>
        </w:tc>
        <w:tc>
          <w:tcPr>
            <w:tcW w:w="0" w:type="dxa"/>
            <w:vAlign w:val="bottom"/>
          </w:tcPr>
          <w:p>
            <w:pPr>
              <w:spacing w:after="0"/>
              <w:rPr>
                <w:sz w:val="1"/>
                <w:szCs w:val="1"/>
                <w:color w:val="auto"/>
              </w:rPr>
            </w:pPr>
          </w:p>
        </w:tc>
      </w:tr>
      <w:tr>
        <w:trPr>
          <w:trHeight w:val="22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(2)</w:t>
            </w:r>
          </w:p>
        </w:tc>
        <w:tc>
          <w:tcPr>
            <w:tcW w:w="140" w:type="dxa"/>
            <w:vAlign w:val="bottom"/>
          </w:tcPr>
          <w:p>
            <w:pPr>
              <w:spacing w:after="0"/>
              <w:rPr>
                <w:sz w:val="21"/>
                <w:szCs w:val="21"/>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568.6</w:t>
            </w:r>
          </w:p>
        </w:tc>
        <w:tc>
          <w:tcPr>
            <w:tcW w:w="0" w:type="dxa"/>
            <w:vAlign w:val="bottom"/>
          </w:tcPr>
          <w:p>
            <w:pPr>
              <w:spacing w:after="0"/>
              <w:rPr>
                <w:sz w:val="1"/>
                <w:szCs w:val="1"/>
                <w:color w:val="auto"/>
              </w:rPr>
            </w:pP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Adjusted Gross Profit Margin</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66.3 %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67.8 %</w:t>
            </w:r>
          </w:p>
        </w:tc>
        <w:tc>
          <w:tcPr>
            <w:tcW w:w="0" w:type="dxa"/>
            <w:vAlign w:val="bottom"/>
          </w:tcPr>
          <w:p>
            <w:pPr>
              <w:spacing w:after="0"/>
              <w:rPr>
                <w:sz w:val="1"/>
                <w:szCs w:val="1"/>
                <w:color w:val="auto"/>
              </w:rPr>
            </w:pPr>
          </w:p>
        </w:tc>
      </w:tr>
      <w:tr>
        <w:trPr>
          <w:trHeight w:val="271"/>
        </w:trPr>
        <w:tc>
          <w:tcPr>
            <w:tcW w:w="7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GAAP Operating Income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rPr>
              <w:t>51.3</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rPr>
              <w:t>195.7</w:t>
            </w:r>
          </w:p>
        </w:tc>
        <w:tc>
          <w:tcPr>
            <w:tcW w:w="0" w:type="dxa"/>
            <w:vAlign w:val="bottom"/>
          </w:tcPr>
          <w:p>
            <w:pPr>
              <w:spacing w:after="0"/>
              <w:rPr>
                <w:sz w:val="1"/>
                <w:szCs w:val="1"/>
                <w:color w:val="auto"/>
              </w:rPr>
            </w:pPr>
          </w:p>
        </w:tc>
      </w:tr>
      <w:tr>
        <w:trPr>
          <w:trHeight w:val="251"/>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GAAP Operating Income Margin</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17.9 %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23.3 %</w:t>
            </w: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(2)</w:t>
            </w:r>
          </w:p>
        </w:tc>
        <w:tc>
          <w:tcPr>
            <w:tcW w:w="140" w:type="dxa"/>
            <w:vAlign w:val="bottom"/>
          </w:tcPr>
          <w:p>
            <w:pPr>
              <w:spacing w:after="0"/>
              <w:rPr>
                <w:sz w:val="19"/>
                <w:szCs w:val="19"/>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(4)</w:t>
            </w:r>
          </w:p>
        </w:tc>
        <w:tc>
          <w:tcPr>
            <w:tcW w:w="140" w:type="dxa"/>
            <w:vAlign w:val="bottom"/>
          </w:tcPr>
          <w:p>
            <w:pPr>
              <w:spacing w:after="0"/>
              <w:rPr>
                <w:sz w:val="21"/>
                <w:szCs w:val="21"/>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(5)</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6"/>
                <w:szCs w:val="16"/>
                <w:color w:val="auto"/>
              </w:rPr>
              <w:t xml:space="preserve">Restructuring-related costs </w:t>
            </w:r>
            <w:r>
              <w:rPr>
                <w:rFonts w:ascii="Arial" w:cs="Arial" w:eastAsia="Arial" w:hAnsi="Arial"/>
                <w:sz w:val="21"/>
                <w:szCs w:val="21"/>
                <w:color w:val="auto"/>
                <w:vertAlign w:val="superscript"/>
              </w:rPr>
              <w:t>(6)</w:t>
            </w:r>
          </w:p>
        </w:tc>
        <w:tc>
          <w:tcPr>
            <w:tcW w:w="140" w:type="dxa"/>
            <w:vAlign w:val="bottom"/>
          </w:tcPr>
          <w:p>
            <w:pPr>
              <w:spacing w:after="0"/>
              <w:rPr>
                <w:sz w:val="21"/>
                <w:szCs w:val="21"/>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266.3</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Operating Income Margin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27.9 %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31.7 %</w:t>
            </w:r>
          </w:p>
        </w:tc>
        <w:tc>
          <w:tcPr>
            <w:tcW w:w="0" w:type="dxa"/>
            <w:vAlign w:val="bottom"/>
          </w:tcPr>
          <w:p>
            <w:pPr>
              <w:spacing w:after="0"/>
              <w:rPr>
                <w:sz w:val="1"/>
                <w:szCs w:val="1"/>
                <w:color w:val="auto"/>
              </w:rPr>
            </w:pPr>
          </w:p>
        </w:tc>
      </w:tr>
      <w:tr>
        <w:trPr>
          <w:trHeight w:val="271"/>
        </w:trPr>
        <w:tc>
          <w:tcPr>
            <w:tcW w:w="7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rPr>
              <w:t>20.1</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rPr>
              <w:t>100.7</w:t>
            </w:r>
          </w:p>
        </w:tc>
        <w:tc>
          <w:tcPr>
            <w:tcW w:w="0" w:type="dxa"/>
            <w:vAlign w:val="bottom"/>
          </w:tcPr>
          <w:p>
            <w:pPr>
              <w:spacing w:after="0"/>
              <w:rPr>
                <w:sz w:val="1"/>
                <w:szCs w:val="1"/>
                <w:color w:val="auto"/>
              </w:rPr>
            </w:pPr>
          </w:p>
        </w:tc>
      </w:tr>
      <w:tr>
        <w:trPr>
          <w:trHeight w:val="231"/>
        </w:trPr>
        <w:tc>
          <w:tcPr>
            <w:tcW w:w="7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Adjustments:</w:t>
            </w:r>
          </w:p>
        </w:tc>
        <w:tc>
          <w:tcPr>
            <w:tcW w:w="1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240"/>
              <w:spacing w:after="0" w:line="230"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(2)</w:t>
            </w:r>
          </w:p>
        </w:tc>
        <w:tc>
          <w:tcPr>
            <w:tcW w:w="140" w:type="dxa"/>
            <w:vAlign w:val="bottom"/>
          </w:tcPr>
          <w:p>
            <w:pPr>
              <w:spacing w:after="0"/>
              <w:rPr>
                <w:sz w:val="19"/>
                <w:szCs w:val="19"/>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43"/>
        </w:trPr>
        <w:tc>
          <w:tcPr>
            <w:tcW w:w="7300" w:type="dxa"/>
            <w:vAlign w:val="bottom"/>
          </w:tcPr>
          <w:p>
            <w:pPr>
              <w:ind w:left="24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(4)</w:t>
            </w:r>
          </w:p>
        </w:tc>
        <w:tc>
          <w:tcPr>
            <w:tcW w:w="140" w:type="dxa"/>
            <w:vAlign w:val="bottom"/>
          </w:tcPr>
          <w:p>
            <w:pPr>
              <w:spacing w:after="0"/>
              <w:rPr>
                <w:sz w:val="21"/>
                <w:szCs w:val="21"/>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40"/>
              <w:spacing w:after="0" w:line="230"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(5)</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3"/>
        </w:trPr>
        <w:tc>
          <w:tcPr>
            <w:tcW w:w="7300" w:type="dxa"/>
            <w:vAlign w:val="bottom"/>
          </w:tcPr>
          <w:p>
            <w:pPr>
              <w:ind w:left="240"/>
              <w:spacing w:after="0"/>
              <w:rPr>
                <w:sz w:val="20"/>
                <w:szCs w:val="20"/>
                <w:color w:val="auto"/>
              </w:rPr>
            </w:pPr>
            <w:r>
              <w:rPr>
                <w:rFonts w:ascii="Arial" w:cs="Arial" w:eastAsia="Arial" w:hAnsi="Arial"/>
                <w:sz w:val="16"/>
                <w:szCs w:val="16"/>
                <w:color w:val="auto"/>
              </w:rPr>
              <w:t xml:space="preserve">Restructuring-related costs </w:t>
            </w:r>
            <w:r>
              <w:rPr>
                <w:rFonts w:ascii="Arial" w:cs="Arial" w:eastAsia="Arial" w:hAnsi="Arial"/>
                <w:sz w:val="21"/>
                <w:szCs w:val="21"/>
                <w:color w:val="auto"/>
                <w:vertAlign w:val="superscript"/>
              </w:rPr>
              <w:t>(6)</w:t>
            </w:r>
          </w:p>
        </w:tc>
        <w:tc>
          <w:tcPr>
            <w:tcW w:w="140" w:type="dxa"/>
            <w:vAlign w:val="bottom"/>
          </w:tcPr>
          <w:p>
            <w:pPr>
              <w:spacing w:after="0"/>
              <w:rPr>
                <w:sz w:val="21"/>
                <w:szCs w:val="21"/>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Deferred jurisdiction adjustments in Other income (expense), net for taxes </w:t>
            </w:r>
            <w:r>
              <w:rPr>
                <w:rFonts w:ascii="Arial" w:cs="Arial" w:eastAsia="Arial" w:hAnsi="Arial"/>
                <w:sz w:val="21"/>
                <w:szCs w:val="21"/>
                <w:color w:val="auto"/>
                <w:vertAlign w:val="superscript"/>
              </w:rPr>
              <w:t>(7)</w:t>
            </w: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22"/>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Total Adjustments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32.7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83.7</w:t>
            </w:r>
          </w:p>
        </w:tc>
        <w:tc>
          <w:tcPr>
            <w:tcW w:w="0" w:type="dxa"/>
            <w:vAlign w:val="bottom"/>
          </w:tcPr>
          <w:p>
            <w:pPr>
              <w:spacing w:after="0"/>
              <w:rPr>
                <w:sz w:val="1"/>
                <w:szCs w:val="1"/>
                <w:color w:val="auto"/>
              </w:rPr>
            </w:pPr>
          </w:p>
        </w:tc>
      </w:tr>
      <w:tr>
        <w:trPr>
          <w:trHeight w:val="231"/>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Pre-Tax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184.4</w:t>
            </w: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6"/>
                <w:szCs w:val="16"/>
                <w:color w:val="auto"/>
              </w:rPr>
              <w:t>Adjusted Taxes on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(13.0)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138.5</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Net Income per Diluted share</w:t>
            </w:r>
          </w:p>
        </w:tc>
        <w:tc>
          <w:tcPr>
            <w:tcW w:w="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tcBorders>
              <w:top w:val="single" w:sz="8" w:color="CCEEFF"/>
            </w:tcBorders>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16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i w:val="1"/>
                <w:iCs w:val="1"/>
                <w:color w:val="auto"/>
              </w:rPr>
              <w:t>0.69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w w:val="89"/>
              </w:rPr>
              <w:t>$</w:t>
            </w:r>
          </w:p>
        </w:tc>
        <w:tc>
          <w:tcPr>
            <w:tcW w:w="16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i w:val="1"/>
                <w:iCs w:val="1"/>
                <w:color w:val="auto"/>
              </w:rPr>
              <w:t>2.40</w:t>
            </w:r>
          </w:p>
        </w:tc>
        <w:tc>
          <w:tcPr>
            <w:tcW w:w="0" w:type="dxa"/>
            <w:vAlign w:val="bottom"/>
          </w:tcPr>
          <w:p>
            <w:pPr>
              <w:spacing w:after="0"/>
              <w:rPr>
                <w:sz w:val="1"/>
                <w:szCs w:val="1"/>
                <w:color w:val="auto"/>
              </w:rPr>
            </w:pPr>
          </w:p>
        </w:tc>
      </w:tr>
      <w:tr>
        <w:trPr>
          <w:trHeight w:val="103"/>
        </w:trPr>
        <w:tc>
          <w:tcPr>
            <w:tcW w:w="7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GAAP Net Income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rPr>
              <w:t>15.2</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rPr>
              <w:t>64.4</w:t>
            </w:r>
          </w:p>
        </w:tc>
        <w:tc>
          <w:tcPr>
            <w:tcW w:w="0" w:type="dxa"/>
            <w:vAlign w:val="bottom"/>
          </w:tcPr>
          <w:p>
            <w:pPr>
              <w:spacing w:after="0"/>
              <w:rPr>
                <w:sz w:val="1"/>
                <w:szCs w:val="1"/>
                <w:color w:val="auto"/>
              </w:rPr>
            </w:pPr>
          </w:p>
        </w:tc>
      </w:tr>
      <w:tr>
        <w:trPr>
          <w:trHeight w:val="244"/>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GAAP Net Income per Diluted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1.12</w:t>
            </w:r>
          </w:p>
        </w:tc>
        <w:tc>
          <w:tcPr>
            <w:tcW w:w="0" w:type="dxa"/>
            <w:vAlign w:val="bottom"/>
          </w:tcPr>
          <w:p>
            <w:pPr>
              <w:spacing w:after="0"/>
              <w:rPr>
                <w:sz w:val="1"/>
                <w:szCs w:val="1"/>
                <w:color w:val="auto"/>
              </w:rPr>
            </w:pPr>
          </w:p>
        </w:tc>
      </w:tr>
      <w:tr>
        <w:trPr>
          <w:trHeight w:val="162"/>
        </w:trPr>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and Adjusted Diluted weighted-average shares outstanding (in thousands)</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57,582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57,714</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right="180" w:hanging="388"/>
        <w:spacing w:after="0" w:line="228"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Prior to the Separation on April 1, 2022, the Company’s historical combined financial statements were prepared on a standalone basis. These results did not purport to reflect what the Company’s results of operations, comprehensive income, financial position, equity or cash flows would have been had the Company operated as a standalone public company. As such, the Company is not presenting comparable prior period results for the Non-GAAP metrics in the table above. The Company believes these metrics are not meaningful for periods prior to the Separation.</w:t>
      </w:r>
    </w:p>
    <w:p>
      <w:pPr>
        <w:spacing w:after="0" w:line="22" w:lineRule="exact"/>
        <w:rPr>
          <w:rFonts w:ascii="Arial" w:cs="Arial" w:eastAsia="Arial" w:hAnsi="Arial"/>
          <w:sz w:val="14"/>
          <w:szCs w:val="14"/>
          <w:color w:val="auto"/>
        </w:rPr>
      </w:pPr>
    </w:p>
    <w:p>
      <w:pPr>
        <w:ind w:left="500" w:hanging="388"/>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026" w:right="339" w:bottom="1440" w:gutter="0" w:footer="0" w:header="0"/>
          <w:type w:val="continuous"/>
        </w:sectPr>
      </w:pPr>
    </w:p>
    <w:bookmarkStart w:id="14" w:name="page15"/>
    <w:bookmarkEnd w:id="14"/>
    <w:p>
      <w:pPr>
        <w:jc w:val="both"/>
        <w:ind w:left="500" w:hanging="388"/>
        <w:spacing w:after="0" w:line="238"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One-time stand up costs incurred primarily include costs to stand up the Company. For the three months ended June 30, 2023, approximately $25.5 million is recorded in Other operating expenses. For the nine months ended June 30, 2023, approximately $61.1 million and $0.8 million are recorded in Other operating expenses and Selling and administrative expense, respectively.</w:t>
      </w:r>
    </w:p>
    <w:p>
      <w:pPr>
        <w:spacing w:after="0" w:line="7" w:lineRule="exact"/>
        <w:rPr>
          <w:rFonts w:ascii="Arial" w:cs="Arial" w:eastAsia="Arial" w:hAnsi="Arial"/>
          <w:sz w:val="14"/>
          <w:szCs w:val="14"/>
          <w:color w:val="auto"/>
        </w:rPr>
      </w:pPr>
    </w:p>
    <w:p>
      <w:pPr>
        <w:jc w:val="both"/>
        <w:ind w:left="500" w:right="60" w:hanging="388"/>
        <w:spacing w:after="0" w:line="231"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w:t>
      </w:r>
    </w:p>
    <w:p>
      <w:pPr>
        <w:spacing w:after="0" w:line="21" w:lineRule="exact"/>
        <w:rPr>
          <w:rFonts w:ascii="Arial" w:cs="Arial" w:eastAsia="Arial" w:hAnsi="Arial"/>
          <w:sz w:val="14"/>
          <w:szCs w:val="14"/>
          <w:color w:val="auto"/>
        </w:rPr>
      </w:pPr>
    </w:p>
    <w:p>
      <w:pPr>
        <w:ind w:left="500" w:right="220" w:hanging="388"/>
        <w:spacing w:after="0" w:line="228"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stock-based compensation expense recognized during the period associated with the incremental value of converted legacy BD share-based awards and one-time sign-on equity awards granted to certain members of the Embecta leadership team in connection with the separation from BD. For the three months ended June 30, 2023, $1.3 million is recorded in Selling and administrative expense. For the nine months ended June 30, 2023, $4.4 million is recorded in Selling and administrative expense, $0.1 million is recorded in Cost of products sold, and $0.1 million is recorded in Research and development expense.</w:t>
      </w:r>
    </w:p>
    <w:p>
      <w:pPr>
        <w:spacing w:after="0" w:line="22" w:lineRule="exact"/>
        <w:rPr>
          <w:rFonts w:ascii="Arial" w:cs="Arial" w:eastAsia="Arial" w:hAnsi="Arial"/>
          <w:sz w:val="14"/>
          <w:szCs w:val="14"/>
          <w:color w:val="auto"/>
        </w:rPr>
      </w:pPr>
    </w:p>
    <w:p>
      <w:pPr>
        <w:ind w:left="500" w:hanging="388"/>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restructuring-related costs recorded in Other operating expenses.</w:t>
      </w:r>
    </w:p>
    <w:p>
      <w:pPr>
        <w:spacing w:after="0" w:line="28" w:lineRule="exact"/>
        <w:rPr>
          <w:rFonts w:ascii="Arial" w:cs="Arial" w:eastAsia="Arial" w:hAnsi="Arial"/>
          <w:sz w:val="14"/>
          <w:szCs w:val="14"/>
          <w:color w:val="auto"/>
        </w:rPr>
      </w:pPr>
    </w:p>
    <w:p>
      <w:pPr>
        <w:ind w:left="500" w:hanging="388"/>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jurisdictions where BD is considered the primary obligor.</w:t>
      </w:r>
    </w:p>
    <w:p>
      <w:pPr>
        <w:spacing w:after="0" w:line="200" w:lineRule="exact"/>
        <w:rPr>
          <w:sz w:val="20"/>
          <w:szCs w:val="20"/>
          <w:color w:val="auto"/>
        </w:rPr>
      </w:pPr>
    </w:p>
    <w:p>
      <w:pPr>
        <w:spacing w:after="0" w:line="28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U.S. dollar at exchange rates that fluctuate from the beginning of such period. A stronger U.S. dollar, compared to the prior-year period, resulted in an unfavorable foreign currency translation impact to our revenues as compared to the prior-year period. We evaluate our results of operations on both a reported and a Constant Currency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Constant Currency basis in addition to reported results helps improve investors’ ability to understand our operating results and evaluate our performance in comparison to prior periods. We calculate Constant Currency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 periods ended June 30, 2023 and 2022, the reconciliation of revenue growth to Constant Currency was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5"/>
          </w:tcPr>
          <w:p>
            <w:pPr>
              <w:jc w:val="right"/>
              <w:ind w:right="73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9"/>
              </w:rPr>
              <w:t>Total</w:t>
            </w:r>
          </w:p>
        </w:tc>
        <w:tc>
          <w:tcPr>
            <w:tcW w:w="100" w:type="dxa"/>
            <w:vAlign w:val="bottom"/>
          </w:tcPr>
          <w:p>
            <w:pPr>
              <w:spacing w:after="0"/>
              <w:rPr>
                <w:sz w:val="15"/>
                <w:szCs w:val="15"/>
                <w:color w:val="auto"/>
              </w:rPr>
            </w:pPr>
          </w:p>
        </w:tc>
        <w:tc>
          <w:tcPr>
            <w:tcW w:w="13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Estimated FX</w:t>
            </w:r>
          </w:p>
        </w:tc>
        <w:tc>
          <w:tcPr>
            <w:tcW w:w="100" w:type="dxa"/>
            <w:vAlign w:val="bottom"/>
          </w:tcPr>
          <w:p>
            <w:pPr>
              <w:spacing w:after="0"/>
              <w:rPr>
                <w:sz w:val="15"/>
                <w:szCs w:val="15"/>
                <w:color w:val="auto"/>
              </w:rPr>
            </w:pPr>
          </w:p>
        </w:tc>
        <w:tc>
          <w:tcPr>
            <w:tcW w:w="13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9"/>
              </w:rPr>
              <w:t>Currency</w:t>
            </w:r>
          </w:p>
        </w:tc>
        <w:tc>
          <w:tcPr>
            <w:tcW w:w="0" w:type="dxa"/>
            <w:vAlign w:val="bottom"/>
          </w:tcPr>
          <w:p>
            <w:pPr>
              <w:spacing w:after="0"/>
              <w:rPr>
                <w:sz w:val="1"/>
                <w:szCs w:val="1"/>
                <w:color w:val="auto"/>
              </w:rPr>
            </w:pPr>
          </w:p>
        </w:tc>
      </w:tr>
      <w:tr>
        <w:trPr>
          <w:trHeight w:val="244"/>
        </w:trPr>
        <w:tc>
          <w:tcPr>
            <w:tcW w:w="44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Impact</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6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5"/>
          </w:tcPr>
          <w:p>
            <w:pPr>
              <w:jc w:val="right"/>
              <w:ind w:right="799"/>
              <w:spacing w:after="0"/>
              <w:rPr>
                <w:sz w:val="20"/>
                <w:szCs w:val="20"/>
                <w:color w:val="auto"/>
              </w:rPr>
            </w:pPr>
            <w:r>
              <w:rPr>
                <w:rFonts w:ascii="Arial" w:cs="Arial" w:eastAsia="Arial" w:hAnsi="Arial"/>
                <w:sz w:val="16"/>
                <w:szCs w:val="16"/>
                <w:b w:val="1"/>
                <w:bCs w:val="1"/>
                <w:color w:val="auto"/>
              </w:rPr>
              <w:t>Nine months ended June 30,</w:t>
            </w: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w:t>
            </w:r>
          </w:p>
        </w:tc>
        <w:tc>
          <w:tcPr>
            <w:tcW w:w="10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Estimated FX</w:t>
            </w:r>
          </w:p>
        </w:tc>
        <w:tc>
          <w:tcPr>
            <w:tcW w:w="100" w:type="dxa"/>
            <w:vAlign w:val="bottom"/>
          </w:tcPr>
          <w:p>
            <w:pPr>
              <w:spacing w:after="0"/>
              <w:rPr>
                <w:sz w:val="14"/>
                <w:szCs w:val="14"/>
                <w:color w:val="auto"/>
              </w:rPr>
            </w:pPr>
          </w:p>
        </w:tc>
        <w:tc>
          <w:tcPr>
            <w:tcW w:w="13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Currency</w:t>
            </w: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Impact</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6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838.9</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079"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About Embecta</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embecta is a global diabetes care company that is leveraging its nearly 100-year legacy in insulin delivery to empower people with diabetes to live</w:t>
      </w:r>
    </w:p>
    <w:p>
      <w:pPr>
        <w:spacing w:after="0" w:line="14"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 xml:space="preserve">their best life through innovative solutions, partnerships and the passion of approximately 2,000 employees around the globe. For more information, visit </w:t>
      </w:r>
      <w:r>
        <w:rPr>
          <w:rFonts w:ascii="Arial" w:cs="Arial" w:eastAsia="Arial" w:hAnsi="Arial"/>
          <w:sz w:val="17"/>
          <w:szCs w:val="17"/>
          <w:color w:val="0000FF"/>
        </w:rPr>
        <w:t>embecta.com</w:t>
      </w:r>
      <w:r>
        <w:rPr>
          <w:rFonts w:ascii="Arial" w:cs="Arial" w:eastAsia="Arial" w:hAnsi="Arial"/>
          <w:sz w:val="17"/>
          <w:szCs w:val="17"/>
          <w:color w:val="auto"/>
        </w:rPr>
        <w:t xml:space="preserve"> or follow our social channels on </w:t>
      </w:r>
      <w:r>
        <w:rPr>
          <w:rFonts w:ascii="Arial" w:cs="Arial" w:eastAsia="Arial" w:hAnsi="Arial"/>
          <w:sz w:val="17"/>
          <w:szCs w:val="17"/>
          <w:color w:val="0000FF"/>
        </w:rPr>
        <w:t>LinkedIn</w:t>
      </w:r>
      <w:r>
        <w:rPr>
          <w:rFonts w:ascii="Arial" w:cs="Arial" w:eastAsia="Arial" w:hAnsi="Arial"/>
          <w:sz w:val="17"/>
          <w:szCs w:val="17"/>
          <w:color w:val="auto"/>
        </w:rPr>
        <w:t xml:space="preserve">, </w:t>
      </w:r>
      <w:r>
        <w:rPr>
          <w:rFonts w:ascii="Arial" w:cs="Arial" w:eastAsia="Arial" w:hAnsi="Arial"/>
          <w:sz w:val="17"/>
          <w:szCs w:val="17"/>
          <w:color w:val="0000FF"/>
        </w:rPr>
        <w:t>Facebook</w:t>
      </w:r>
      <w:r>
        <w:rPr>
          <w:rFonts w:ascii="Arial" w:cs="Arial" w:eastAsia="Arial" w:hAnsi="Arial"/>
          <w:sz w:val="17"/>
          <w:szCs w:val="17"/>
          <w:color w:val="auto"/>
        </w:rPr>
        <w:t xml:space="preserve">, </w:t>
      </w:r>
      <w:r>
        <w:rPr>
          <w:rFonts w:ascii="Arial" w:cs="Arial" w:eastAsia="Arial" w:hAnsi="Arial"/>
          <w:sz w:val="17"/>
          <w:szCs w:val="17"/>
          <w:color w:val="0000FF"/>
        </w:rPr>
        <w:t>Instagram</w:t>
      </w:r>
      <w:r>
        <w:rPr>
          <w:rFonts w:ascii="Arial" w:cs="Arial" w:eastAsia="Arial" w:hAnsi="Arial"/>
          <w:sz w:val="17"/>
          <w:szCs w:val="17"/>
          <w:color w:val="auto"/>
        </w:rPr>
        <w:t xml:space="preserve"> and </w:t>
      </w:r>
      <w:r>
        <w:rPr>
          <w:rFonts w:ascii="Arial" w:cs="Arial" w:eastAsia="Arial" w:hAnsi="Arial"/>
          <w:sz w:val="17"/>
          <w:szCs w:val="17"/>
          <w:color w:val="0000FF"/>
        </w:rPr>
        <w:t>Twitter</w:t>
      </w:r>
      <w:r>
        <w:rPr>
          <w:rFonts w:ascii="Arial" w:cs="Arial" w:eastAsia="Arial" w:hAnsi="Arial"/>
          <w:sz w:val="17"/>
          <w:szCs w:val="17"/>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 Regarding Forward-Looking Statements</w:t>
      </w:r>
    </w:p>
    <w:p>
      <w:pPr>
        <w:spacing w:after="0" w:line="5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and achievements.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"plans," "intends", “pursue”, “will” or similar expressions, we are making forward-looking statements. For example, embecta is using forward-looking statements when it discusses its fiscal 2023 financial guidance and its expectations with respect to strengthening its base business, separating and standing up embecta as an independent company, investing in growth, and its ability to obtain sustainable success.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events that adversely affect the sale or profitability of embecta’s products or the revenues delivered from sales to its customers, (iii) any failure by BD to perform of its obligations under the various separation agreements entered into in connection with the separation and distribution; (iv) increases in operating costs, including fluctuations in the cost and availability of raw materials or components used in its products, the ability to maintain favorable supplier arrangements and relationships, and the potential adverse effects of any disruption in the availability of such items; (v) changes in reimbursement practices of governments or private payers or other cost containment measures; (vi) the adverse financial impact resulting from unfavorable changes in foreign currency exchange rates, as well as regional, national and foreign economic factors, including inflation, deflation, and fluctuations in interest rates; (vii) the impact of changes in U.S. federal laws and policy that could affect fiscal and tax policies, healthcare and international trade, including import and export regulation and international trade agreements;</w:t>
      </w:r>
    </w:p>
    <w:p>
      <w:pPr>
        <w:spacing w:after="0" w:line="9" w:lineRule="exact"/>
        <w:rPr>
          <w:sz w:val="20"/>
          <w:szCs w:val="20"/>
          <w:color w:val="auto"/>
        </w:rPr>
      </w:pPr>
    </w:p>
    <w:p>
      <w:pPr>
        <w:jc w:val="both"/>
        <w:ind w:firstLine="8"/>
        <w:spacing w:after="0" w:line="236" w:lineRule="auto"/>
        <w:tabs>
          <w:tab w:leader="none" w:pos="3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continuing impact of the COVID-19 pandemic or geopolitical instability, including disruptions in its operations and supply chains; (ix) new or changing laws and regulations, or changes in enforcement practices, including laws relating to healthcare, environmental protection, trade, monetary and fiscal policies, taxation and licensing and regulatory requirements for products; (x) the expected benefits of the separation from BD; (xi) risks associated with embecta’s indebtedness; (xii) the risk that embecta’s separation from BD will be more difficult or costly than expected; (xiii) risks associated with not completing strategic collaborative partnerships and acquisitions for innovative technologies, complementary product lines, and new markets; and (xiv) the other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Pravesh Khandelwal</w:t>
      </w:r>
    </w:p>
    <w:p>
      <w:pPr>
        <w:spacing w:after="0" w:line="232" w:lineRule="auto"/>
        <w:rPr>
          <w:sz w:val="20"/>
          <w:szCs w:val="20"/>
          <w:color w:val="auto"/>
        </w:rPr>
      </w:pPr>
      <w:r>
        <w:rPr>
          <w:rFonts w:ascii="Arial" w:cs="Arial" w:eastAsia="Arial" w:hAnsi="Arial"/>
          <w:sz w:val="17"/>
          <w:szCs w:val="17"/>
          <w:color w:val="auto"/>
        </w:rPr>
        <w:t>VP, Head of Investor Relations</w:t>
      </w:r>
    </w:p>
    <w:p>
      <w:pPr>
        <w:spacing w:after="0" w:line="232" w:lineRule="auto"/>
        <w:rPr>
          <w:sz w:val="20"/>
          <w:szCs w:val="20"/>
          <w:color w:val="auto"/>
        </w:rPr>
      </w:pPr>
      <w:r>
        <w:rPr>
          <w:rFonts w:ascii="Arial" w:cs="Arial" w:eastAsia="Arial" w:hAnsi="Arial"/>
          <w:sz w:val="17"/>
          <w:szCs w:val="17"/>
          <w:color w:val="auto"/>
        </w:rPr>
        <w:t>551-264-6547</w:t>
      </w:r>
    </w:p>
    <w:p>
      <w:pPr>
        <w:spacing w:after="0"/>
        <w:rPr>
          <w:sz w:val="20"/>
          <w:szCs w:val="20"/>
          <w:color w:val="auto"/>
        </w:rPr>
      </w:pPr>
      <w:r>
        <w:rPr>
          <w:rFonts w:ascii="Arial" w:cs="Arial" w:eastAsia="Arial" w:hAnsi="Arial"/>
          <w:sz w:val="17"/>
          <w:szCs w:val="17"/>
          <w:color w:val="auto"/>
        </w:rPr>
        <w:t>Contact IR</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Christian Glazar</w:t>
      </w:r>
    </w:p>
    <w:p>
      <w:pPr>
        <w:spacing w:after="0" w:line="232" w:lineRule="auto"/>
        <w:rPr>
          <w:sz w:val="20"/>
          <w:szCs w:val="20"/>
          <w:color w:val="auto"/>
        </w:rPr>
      </w:pPr>
      <w:r>
        <w:rPr>
          <w:rFonts w:ascii="Arial" w:cs="Arial" w:eastAsia="Arial" w:hAnsi="Arial"/>
          <w:sz w:val="17"/>
          <w:szCs w:val="17"/>
          <w:color w:val="auto"/>
        </w:rPr>
        <w:t>Sr. Director, Corporate Communications</w:t>
      </w:r>
    </w:p>
    <w:p>
      <w:pPr>
        <w:spacing w:after="0" w:line="232" w:lineRule="auto"/>
        <w:rPr>
          <w:sz w:val="20"/>
          <w:szCs w:val="20"/>
          <w:color w:val="auto"/>
        </w:rPr>
      </w:pPr>
      <w:r>
        <w:rPr>
          <w:rFonts w:ascii="Arial" w:cs="Arial" w:eastAsia="Arial" w:hAnsi="Arial"/>
          <w:sz w:val="17"/>
          <w:szCs w:val="17"/>
          <w:color w:val="auto"/>
        </w:rPr>
        <w:t>908-821-6922</w:t>
      </w:r>
    </w:p>
    <w:p>
      <w:pPr>
        <w:spacing w:after="0"/>
        <w:rPr>
          <w:sz w:val="20"/>
          <w:szCs w:val="20"/>
          <w:color w:val="auto"/>
        </w:rPr>
      </w:pPr>
      <w:r>
        <w:rPr>
          <w:rFonts w:ascii="Arial" w:cs="Arial" w:eastAsia="Arial" w:hAnsi="Arial"/>
          <w:sz w:val="17"/>
          <w:szCs w:val="17"/>
          <w:color w:val="auto"/>
        </w:rPr>
        <w:t>Contact Media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sectPr>
      <w:pgSz w:w="11900" w:h="16838" w:orient="portrait"/>
      <w:cols w:equalWidth="0" w:num="1">
        <w:col w:w="11240"/>
      </w:cols>
      <w:pgMar w:left="320" w:top="10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lvl w:ilvl="1">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3"/>
    </w:lvl>
  </w:abstractNum>
  <w:abstractNum w:abstractNumId="10">
    <w:nsid w:val="1F16E9E8"/>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2023-08-08T06:14:27Z</dcterms:created>
  <dcterms:modified xsi:type="dcterms:W3CDTF">2023-08-08T06:14:27Z</dcterms:modified>
</cp:coreProperties>
</file>