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0" w:lineRule="exact"/>
        <w:rPr>
          <w:sz w:val="24"/>
          <w:szCs w:val="24"/>
          <w:color w:val="auto"/>
        </w:rPr>
      </w:pPr>
    </w:p>
    <w:p>
      <w:pPr>
        <w:ind w:left="3900" w:right="1880" w:hanging="3703"/>
        <w:spacing w:after="0" w:line="396" w:lineRule="auto"/>
        <w:tabs>
          <w:tab w:leader="none" w:pos="5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September 30, 2023</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0" w:lineRule="exact"/>
        <w:rPr>
          <w:sz w:val="24"/>
          <w:szCs w:val="24"/>
          <w:color w:val="auto"/>
        </w:rPr>
      </w:pPr>
    </w:p>
    <w:p>
      <w:pPr>
        <w:spacing w:after="0" w:line="249" w:lineRule="exact"/>
        <w:rPr>
          <w:sz w:val="24"/>
          <w:szCs w:val="24"/>
          <w:color w:val="auto"/>
        </w:rPr>
      </w:pPr>
    </w:p>
    <w:p>
      <w:pPr>
        <w:ind w:left="4220" w:right="1480" w:hanging="4023"/>
        <w:spacing w:after="0" w:line="406" w:lineRule="auto"/>
        <w:tabs>
          <w:tab w:leader="none" w:pos="598"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 to 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05890"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96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4"/>
        </w:trPr>
        <w:tc>
          <w:tcPr>
            <w:tcW w:w="4960" w:type="dxa"/>
            <w:vAlign w:val="bottom"/>
            <w:gridSpan w:val="3"/>
          </w:tcPr>
          <w:p>
            <w:pPr>
              <w:jc w:val="center"/>
              <w:ind w:left="538"/>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jc w:val="right"/>
              <w:ind w:right="248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496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42"/>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(862) 401-0000</w:t>
            </w: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2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86"/>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9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01"/>
        </w:trPr>
        <w:tc>
          <w:tcPr>
            <w:tcW w:w="4960" w:type="dxa"/>
            <w:vAlign w:val="bottom"/>
            <w:gridSpan w:val="3"/>
          </w:tcPr>
          <w:p>
            <w:pPr>
              <w:jc w:val="center"/>
              <w:ind w:right="5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880" w:type="dxa"/>
            <w:vAlign w:val="bottom"/>
            <w:gridSpan w:val="2"/>
          </w:tcPr>
          <w:p>
            <w:pPr>
              <w:jc w:val="center"/>
              <w:ind w:right="5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100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of the registrant, computed by reference to the closing price at which the common stock was sold as of the end of the second fiscal quarter ended March 31, 2023, was approximately $1.6 billion.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57,334,621 shares of common stock as of November 20, 2023.</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information required by Items 10, 11, 12, 13 and 14 of Part III of this Annual Report on Form 10-K is incorporated by reference to the Registrant’s definitive proxy statement for its 2024 Annual Meeting of Stockholders (the “2024 Proxy Statement”), which will be filed pursuant to Regulation 14A with the United States Securities and Exchange Commission (“SEC”)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Embecta Corp.</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gridSpan w:val="12"/>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2023 Form 10-K Annual Report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10"/>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7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00" w:type="dxa"/>
            <w:vAlign w:val="bottom"/>
            <w:gridSpan w:val="6"/>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100" w:type="dxa"/>
            <w:vAlign w:val="bottom"/>
            <w:gridSpan w:val="20"/>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20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700" w:type="dxa"/>
            <w:vAlign w:val="bottom"/>
            <w:gridSpan w:val="1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0" w:type="dxa"/>
            <w:vAlign w:val="bottom"/>
            <w:gridSpan w:val="16"/>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 Reserved ].</w:t>
            </w:r>
          </w:p>
        </w:tc>
        <w:tc>
          <w:tcPr>
            <w:tcW w:w="7840" w:type="dxa"/>
            <w:vAlign w:val="bottom"/>
            <w:gridSpan w:val="18"/>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65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gridSpan w:val="4"/>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44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80" w:type="dxa"/>
            <w:vAlign w:val="bottom"/>
            <w:gridSpan w:val="7"/>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66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216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6980" w:type="dxa"/>
            <w:vAlign w:val="bottom"/>
            <w:gridSpan w:val="14"/>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Part III.</w:t>
            </w:r>
          </w:p>
        </w:tc>
        <w:tc>
          <w:tcPr>
            <w:tcW w:w="1120" w:type="dxa"/>
            <w:vAlign w:val="bottom"/>
            <w:gridSpan w:val="2"/>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40" w:type="dxa"/>
            <w:vAlign w:val="bottom"/>
            <w:gridSpan w:val="8"/>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73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6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54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00" w:type="dxa"/>
            <w:vAlign w:val="bottom"/>
            <w:gridSpan w:val="5"/>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140" w:type="dxa"/>
            <w:vAlign w:val="bottom"/>
            <w:gridSpan w:val="3"/>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6"/>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7"/>
        </w:trPr>
        <w:tc>
          <w:tcPr>
            <w:tcW w:w="1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6"/>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3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Embecta Corp. (also referred to herein as "Embecta") was formed through a spin-off of the diabetes care business (the "Separation") from Becton, Dickinson and Company ("BD"). All references in this Form 10-K to "Embecta", "the Company", "we", "our" or "us" refer to Embecta Corp., a Delaware corporation, and its subsidiaries, unless otherwise indicated by the context. </w:t>
      </w:r>
      <w:r>
        <w:rPr>
          <w:rFonts w:ascii="Times New Roman" w:cs="Times New Roman" w:eastAsia="Times New Roman" w:hAnsi="Times New Roman"/>
          <w:sz w:val="18"/>
          <w:szCs w:val="18"/>
          <w:color w:val="2B2A29"/>
        </w:rPr>
        <w:t>On April 1, 2022 (the "Separation Date"), Embecta and BD entered into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Separation and Distribution Agreement (the "Separation and Distribution Agreement"). Pursuant to the Separation and Distribution Agreement, BD agreed to spin off its diabetes care business ("Diabetes Care Business") into Embecta, a new, publicly traded company.</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As we approach our 100-year centennial, we believe that our products have become one of the most widely recognized and respected brands in diabetes management throughout the world. We estimate that our products are used by more than 30 million people in over 100 countries for insulin administration and to aid with the daily management of diabetes.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which are complemented by our proprietary digital application designed to assist people with managing their diabetes. Our conventional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conventional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arm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to selling pen needles, syringes and safety devices, we seek to promote advances in diabetes care through thought leadership, and engagement with the diabetes community, healthcare providers and other stakeholders. To foster connection with and offer support to people with diabetes, we launched our diabetes care app in 2018, which has been downloaded more than 600,000 times. The diabetes care app serves as a channel for our support, education of and engagement with the diabetes community. In addition, we intend to continue to explore strategic collaborative partnerships and acquisition opportunities that enable us to accelerate our growth. We intend to selectively pursue strategic collaborative opportunities that give us access to innovative technologies, complementary product lines, and new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Operations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global manufacturing and distribution network, together with our commercial team,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We distribute our products through a variety of channels, including retail, hospitals, pharmacies and other institutional channels. Our commercial team and distribution networks enable us to reach a broad base of customers across the globe.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Components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a broad range of raw materials in the manufacture of our products. We purchase all our raw materials and certain components from third-party suppliers. The primary materials that make up our pen needles and insulin syringes are cannula, plastic resin, adhesive, needle lubricants, rubber stoppers and packaging material. We purchase most of these and other materials from a single or limited number of sources for various reasons, including quality assurance, cost-effectiveness, and continuity of supply, among others.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entered into a cannula supply agreement with BD, whereby BD sells to us cannulas for incorporation into our pen needles and syringes. Subsequent to the Separation, BD retained ownership of all cannula production activities and the associated intellectual property rights of BD and its subsidiaries relating to cannula, the manufacture thereof and other critical cannula-related technology.</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design and formulation of certain materials and components is proprietary and the intellectual property rights may be owned exclusively by one party. In the case of sole sourced parts, we manage risk through holding inventory ourselves and at our suppliers' facilities to ensure continuity of supply and lower the risk of disruption.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seeks to update and develop enhanced technology for our portfolio of current and future products by focusing on patient unmet needs and market expansion. As we develop these products we intend to apply for clearance from the United States Food and Drug Administration (the “FDA”) and similar regulatory authorities in jurisdictions outside of the United States.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we are currently working on developing an insulin patch pump focused on serving the needs of people living with Type 2 diabetes. We anticipate this insulin patch pump will have an increased reservoir size to hold more insulin and a simplified user interface compared to existing insulin patch pumps, and overall provide for an improved user experience.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While no single patent or patent family is material to our business, our pen needle and syringe products contain features that are protected by a portfolio of utility and design patents, including features related to safety, comfort and ease of use. In addition, potential features of our insulin patch pump technology currently under development and software we market to end users for managing diabetes are covered by a variety of patents and patent applications. Generally, patent protection for these products and technologies is sought in the United States, Canada, Europe, China and Japan. We are not aware of any pending third-party claims or challenges that would be expected to materially affect the patent protection of these products or technologies.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2023, we held about 750 patents in the United States and in various foreign countries in which we conduct business, as well as about 130 patents pending. The majority of our United States and foreign patents for individual products are in force for twenty years from the initial filing date. The actual protection afforded by a patent, which can vary from country to country, depends upon the type of patent, the scope of its coverage and the availability of legal remedies in the country.</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products and services are sold around the world under various trade names, trademarks and brand names, which we consider to be valuable in the marketing of our products in each segment. As of September 30, 2023, we had about 250 trademark registrations in the United States and in various foreign countries in which we conduct business, as well as about 200 trademark applications pending worldwide.</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owns, and BD provides Embecta a license to use, intellectual property rights necessary to operate our business. BD grants Embecta a license to use such intellectual property rights on the terms and conditions set forth in an intellectual property matters agreement, which are described under “Agreements Related to the Separation.”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diabetes care industry is highly competitive, subject to rapid change and significantly affected by new product introductions and innovation.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with whom we currently compete in the diabetes drug injection business include Novo Nordisk, HTL-Strefa, Terumo Medical Corporation, and Ypsomed. We also compete with providers of insulin pumps and other insulin administration devices. We compete in the marketplace based on a number of factors, including product quality, clinical innovation, price, service, reputation and commercial excellence.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Changes in legislation or government policies, including with respect to licensing, health information privacy and data privacy and healthcare costs, reimbursement, coverage and access, can have a material impact on our worldwide operations. Our operations are subject to, and affected by, regulations of medical devices promulgated by federal, state and local authorities in the United States, including the FDA, and other regulatory authorities with jurisdiction over our foreign operations. FDA regulations govern, among other things, product design and development, preclinical and clinical testing, pre-market clearance and approval, manufacturing, labeling, product storage, advertising and promotion, sales and distribution, post-market adverse event reporting, postmarket surveillance, complaint handling, repair or recall of products and record keeping. These regulations not only affect products in our existing markets, but also our ability to market new products under development. For existing and potential new products, failure to comply with ongoing regulatory requirements can result in enforcement actions by the FDA and other regulatory agencies, which may include warning letters that require corrective action, fines, injunctions, rescissions of previously granted clearances and/or approvals and other penalties.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18"/>
          <w:szCs w:val="18"/>
          <w:color w:val="auto"/>
        </w:rPr>
        <w:t>We maintain robust FDA Quality System Regulation and ISO Quality Systems that establish standards for our product design, manufacturing, and distribution processes, inclusive of Current Good Manufacturing Practices. The FDA and other regulatory agencies engage in periodic reviews and inspections of our quality systems, as well as product performance and advertising and promotional materials. As a medical device manufacturer and distributor, our manufacturing facilities and the facilities of our suppliers are subject to periodic inspection by the FDA, certain corresponding state agencies, and other regulatory bodies. Prior to marketing or selling most of our products, we must secure clearance or approval from the FDA and counterpart non-United States regulatory agencies. These regulatory controls, as well as any changes in agency policies, can affect the time and cost associated with the development, introduction and continued availability of new and existing products. Where possible, we anticipate these factors in product development and planning processes. These agencies possess the authority to take various administrative and legal actions against us, such as product recalls, product seizures and other civil and criminal sanctions.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International sales of our products are subject to foreign government regulations, which may vary substantially from country to country. The time required to obtain clearance or approval by a foreign regulatory authority may be longer or shorter than that required for FDA clearance or approval, and the requirements may differ significantly, particularly outside of the European Union, Canada and other industrialized countries.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These global changes are monitored and reviewed as part of the overall quality lifecycle.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of risks related to government regulations,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Item 1A.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the Separation</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Agreements that Embecta entered into with BD that govern aspects of Embecta's relationship with BD following the Separation include, but are not limited to:</w:t>
      </w:r>
    </w:p>
    <w:p>
      <w:pPr>
        <w:spacing w:after="0" w:line="40" w:lineRule="exact"/>
        <w:rPr>
          <w:sz w:val="20"/>
          <w:szCs w:val="20"/>
          <w:color w:val="auto"/>
        </w:rPr>
      </w:pPr>
    </w:p>
    <w:p>
      <w:pPr>
        <w:jc w:val="both"/>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Agreements ("TSA") - Pursuant to the TSA, and the related Logistics Services Agreement (“LSA”), Embecta and BD and their respective affiliates provide each other, on an interim, transitional basis, various services, including, but not limited to, information technology, procurement, quality and regulatory affairs, medical affairs, tax and treasury services, distribution logistics, and shared services infrastructure support for order-to-cash, source-to-pay, and record-to-report (collectively, the “Interim Business Continuity Processes”). The agreed-upon charges for such services are generally intended to allow the servicing party to charge a price comprised of out-of-pocket costs and expenses and a predetermined profit in the form of a mark-up of such out-of-pocket costs and expenses. The service recipient may terminate any services by giving prior written notice to the provider of such services and paying any applicable wind-down charges. Such services provided pursuant to the TSA were to terminate no later than April 1, 2024, 24 months following the Separation, and such services provided pursuant to the LSA were to terminate no later than January 1, 2024, which BD has agreed to extend through March 31, 2024. However, BD has granted a limited extension until November 1, 2024 of certain services under the TSA, LSA and other transaction documents in a limited set of markets (the "Extension") to support the Interim Business Continuity Processes, subject to the condition in the next sentence. The Extension is conditioned upon BD obtaining a supplemental private letter ruling to the private letter ruling that it received in connection with the Separation and the distribution, in form and substance reasonably satisfactory to BD (the "Supplemental PLR").</w:t>
      </w:r>
    </w:p>
    <w:p>
      <w:pPr>
        <w:spacing w:after="0" w:line="81"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 - Embecta and BD entered into distribution agreements for certain territories, principally in the Asia Pacific Region and Latin America, whereby a subsidiary of BD has been appointed as a distributor of Embecta or its relevant subsidiaries to support certain commercial operations of the diabetes care business on a transitional basis in these regions for a maximum of two years. The distribution agreements will each continue until either (1) certain governmental approvals needed to distribute products in the defined territory are obtained and order-to-cash processes and other services of the Company for such territory are migrated to an alternative commercial arrangement between the parties or (2) the applicable services are transitioned to a third-party distributor or independently performed by Embecta, but in any event no longer than the maximum term of two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left="660"/>
        <w:spacing w:after="0" w:line="266" w:lineRule="auto"/>
        <w:rPr>
          <w:sz w:val="20"/>
          <w:szCs w:val="20"/>
          <w:color w:val="auto"/>
        </w:rPr>
      </w:pPr>
      <w:r>
        <w:rPr>
          <w:rFonts w:ascii="Times New Roman" w:cs="Times New Roman" w:eastAsia="Times New Roman" w:hAnsi="Times New Roman"/>
          <w:sz w:val="18"/>
          <w:szCs w:val="18"/>
          <w:color w:val="auto"/>
        </w:rPr>
        <w:t>years, except certain such agreements may be extended in connection with the Extension. Embecta shall pay BD a return of 1.5% to 2.0% of net revenue for each territory.</w:t>
      </w:r>
    </w:p>
    <w:p>
      <w:pPr>
        <w:spacing w:after="0" w:line="68" w:lineRule="exact"/>
        <w:rPr>
          <w:sz w:val="20"/>
          <w:szCs w:val="20"/>
          <w:color w:val="auto"/>
        </w:rPr>
      </w:pPr>
    </w:p>
    <w:p>
      <w:pPr>
        <w:jc w:val="both"/>
        <w:ind w:left="66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Cannula Supply Agreement - Embecta and BD entered into a cannula supply agreement whereby BD sells to Embecta cannulas for incorporation into Embecta's existing syringes and pen needles, safety syringes and safety pen needles, and products currently under development. BD retains ownership of all cannula technology, cannula production activities and the intellectual property rights therein. Embecta is limited to a maximum number of cannulas that it can purchase under the cannula supply agreement, which will be an absolute upper limit of cannulas per year and yearly limits that vary with annual demand. The cannula supply agreement is terminable by Embecta without cause by providing at least 36 months’ written notice; however, such termination can be effective no earlier than five years from the Separation. The cannula supply agreement will be terminable by BD without cause by providing at least 36 months’ written notice; however, such termination can be effective no earlier than ten years from the Separation. However, in the event of a change of control of Embecta, BD has the right to terminate the cannula supply agreement in its sole discretion. The cannula supply agreement will also terminate automatically, subject to a 36-month wind-down period, if Embecta’s yearly forecast is below the required minimum purchase amount, and the parties have other customary termination rights for material breach or bankruptcy of the other party.</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 - Pursuant to the tax matters agreement, Embecta agreed to certain covenants that contain restrictions intended to preserve the tax-free status of the distribution and certain related transactions. Embecta may take certain actions prohibited by these covenants only if Embecta obtains and provides to BD an opinion from a United States tax counsel or accountant of recognized national standing, in either case satisfactory to BD, to the effect that such action would not jeopardize the tax-free status of the distribution and certain related transactions, or if Embecta obtains prior written consent of BD. Embecta is barred from taking any action, or failing to take any action, where such action or failure to act adversely affects or could reasonably be expected to adversely affect the tax-free status of the distribution and certain related transactions or result in certain other taxes to BD, for all relevant time periods. In addition, during the period ending two years after the Separation, these covenants include specific restrictions on Embecta’s (i) discontinuing the active conduct of Embecta’s trade or business; (ii) issuance or sale of stock or other securities (including securities convertible into Embecta stock, but excluding certain compensatory arrangements); (iii) liquidating, merging, or consolidating with any other person; (iv) amending Embecta’s certificate of incorporation (or other organizational documents) or taking any other action, whether through a stockholder vote or otherwise, affecting the voting rights of Embecta common stock; (v) sales of assets outside the ordinary course of business; and (vi) entering into any other corporate transaction which would cause Embecta to undergo a 50% or greater change in its stock ownership.</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Services Agreement - Embecta and BD entered into a logistics services agreement whereby BD provides Embecta with certain order-to-cash and logistics services to support certain commercial operations for a maximum term of two years, which BD has agreed to extend through March 31, 2024. Embecta will pay BD (i) reimbursable costs, including all shipping costs, selling costs, general administration costs, costs of goods, research and development services costs, and other income and expenses related solely to the diabetes care business, that are incurred by BD directly, as allocated costs or as costs payable to a third party and (ii) a monthly administrative fee of 1.0% of net revenue (which will increase to 1.25% of net revenue after January 1, 2024).</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that Embecta entered into with BD include, but are not limited to, an employee matters agreement, an intellectual property matters agreement, local support services agreements, certain other manufacturing arrangements and a process services agreement and lease agreement for a manufacturing facility location in Holdrege, Nebraska.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 ("HR")</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2023, we had approximately 2,200 regular employees globally (which includes deferred closing countries), with approximately 925 employees in the United States. Our talented employees are an integral reason for our standing as one of the world's leading diabetes care companies. Our success is dependent on our ability to attract, engage and retain the best talent that reflects our diverse communities. To do so, we focus on the most critical areas that help create a great workplace and enable our business priorities.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Embecta our mission, vision and values inspire passion and purpose in the day-to-day work of our employees. Our mission of developing and providing solutions to make life better for people living with diabetes helps us attract potential employees interested in making a difference to the world. As a new company, we have the unique opportunity to integrate Environment, Social, Governance ("ESG") as well as Diversity, Equity &amp; Inclusion ("DE&amp;I") principles into the foundation of our HR practices.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We focus on providing a personalized experience from the moment an employee considers joining the Embecta team. In addition to helping make life better for people living with diabetes, our employee value proposition includes a strong rewards package, a focus on development, and engaging with our employees as we shape our new company together.</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Embecta, our Total Rewards programs enable behaviors that drive performance, reward results and create long-term value for our stockholders and employees. We continually monitor our programs and policies to ensure they are competitive and have a clear link to our business and talent strategy. We pay for performance and are committed to compensating employees fairly and equitably. Our employee benefit programs provide flexibility and choice, and enrich the health, well-being and security of our employees.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building a learning culture where employees at all levels of the organization are encouraged to grow and improve, including company-wide training on compliance, job related technical training, leadership development, and easy access to virtual on demand learning. At Embecta, long term succession planning and capability building are integral to our talent practices that are aimed at helping our employees be the best versions of themselves while simultaneously building our future talent pipeline. All employees are encouraged to establish individual, team and development goals in partnership with their manager to ensure clarity and alignment to our business goals while retaining focus on growth and development.</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alignment with our continuous improvement culture, we seek feedback through surveys and other means so that employees can share their perspectives on ways to continuously improve our workplace climate. As a newly independent company with agility at its core, employee feedback helps us make adjustments in our ways of working and embedding our values. What we do at Embecta is personal to Embecta employees, and our HR practices are designed to enable our employees in fulfilling our mission of helping people with diabetes.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Equity &amp; Inclusion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engages a workforce that reflects the communities where we operate. Our workforce, including our leadership team, and our board of directors, includes diverse members and teams. Our commitment to DE&amp;I is embedded in our values. We believe that employee diversity makes us better at identifying opportunities and solving problems. We are committed to creating and sustaining an environment where everyone brings their authentic selves to work, to help us fulfill our mission of helping people with diabetes.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("CR") and Environmental, Social and Governance ("ESG")</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is in the process of developing a standalone multi-year strategy to advance its ESG initiatives. The focus in fiscal year 2023 was to evaluate Embecta’s global ESG risks and impacts. This evaluation phase commenced with a Sustainability Materiality Assessment and an internal review of the United Nations Sustainable Development Goals. Separately, the governance structures for managing ESG topics and updates were documented via the Company's Enterprise Risk Committee charter. Embecta plans to provide an updated Sustainability Report during its 2024 fiscal year.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maintains a website at www.embecta.com. The Company makes available its Annual Reports on Form 10-K, its Quarterly Reports on Form 10-Q, and its Current Reports on Form 8-K (and amendments to those reports) as soon as reasonably practicable after those reports are electronically filed with, or furnished to, the Securities and Exchange Commission (“SEC”). These filings may be obtained and printed free of charge at investors.embecta.com.</w:t>
      </w:r>
    </w:p>
    <w:p>
      <w:pPr>
        <w:spacing w:after="0" w:line="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written charters of the Audit Committee; the Compensation and Management Development Committee; the Corporate Governance and Nominating Committee; and the Technology, Quality and Regulatory Committee of the Board of Directors, Embecta’s Corporate Governance Principles and its Code of Conduct, are available and may be printed free of charge at Embecta’s website at https://investors.embecta.com/corporate-governance/documents-charters. Printed copies of these materials, this Annual Report on Form 10-K, and Embecta’s reports and statements filed with, or furnished to, the SEC, may also be obtained, without charge, by contacting the Corporate Secretary, Embecta, 300 Kimball Dr., Suite 300, Parsippany, New Jersey 07054, telephone 862-401-0000. In addition, the SEC maintains an internet site that contains reports, proxy and information statements, and other information regarding issuers that file electronically with the SEC at www.sec.gov.</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also routinely posts important information for investors on its website at investors.embecta.com. Embecta may use this website as a means of disclosing material, non-public information and for complying with its disclosure obligations under Regulation FD adopted by the SEC. Our website and the information contained therein or connected thereto shall not be deemed to be incorporated into this Annual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You should carefully consider the following risks and other information in this Annual Report on Form 10-K in evaluating Embecta and Embecta common stock. The summary below provides an overview of many of the risks and uncertainties we encounter that are described in this Annual Report on Form 10-K that could materially and adversely affect Embecta’s business, financial condition or results of operations. An investment in our common stock involves a variety of risks 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uncertainties. Additional risks that we currently do not know about or that we currently believe to be immaterial may also impair our business, financial condition, operating results, liquidity, and future prospects. The risks we face include, but are not limited to,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Business</w:t>
      </w:r>
    </w:p>
    <w:p>
      <w:pPr>
        <w:spacing w:after="0" w:line="21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technology industry is very competitive.</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generates a significant amount of its profits and cash flows from a few key products, and any events that adversely affect the sale or profitability of these products could have an adverse impact on Embecta’s sales, results of operations and cash flows.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breakthroughs in diabetes treatment or prevention may reduce demand for Embecta’s products.</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obtains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2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experience difficulties and delays in the manufacturing of its products or sterilization operations, and any such difficulties and delays could adversely affect Embecta’s business.</w:t>
      </w: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7"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7"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enter into strategic collaborations, in-licensing arrangements or alliances with third parties that may not result in the development of commercially viable products or the generation of revenue.</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future growth is dependent in part upon the development of new products, and there can be no assurance that such products will be developed or be successful.</w:t>
      </w: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7"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unable to maintain strong relationships with physicians and other healthcare professionals which could adversely affect its business.</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be able to successfully execute its acquisition strategy, which could adversely affect its financial condition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international operations subject it to certain business risks.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business and operations are subject to risks related to climate change.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may be exposed to environmental, social and governance risks.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intellectual property and proprietary technology are material to its business operations and are subject to infringement and other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Embecta’s information systems or cyberattacks could adversely affect our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at one of our facilities could adversely affect our business and operating results.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may be inadequate or unavailable to cover any product liability losses we incur.</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is subject to a number of restrictive covenants under its indebtedness, including customary operating restrictions and financial covenants, which could restrict Embecta’s ability to pay dividends or adversely affect its financing options and liquidity position.</w:t>
      </w: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is subject to risks associated with public health threats, such as the COVID-19 pandemic, which could have a material adverse effect on Embecta's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and Distribution from BD</w:t>
      </w:r>
    </w:p>
    <w:p>
      <w:pPr>
        <w:spacing w:after="0" w:line="216" w:lineRule="exact"/>
        <w:rPr>
          <w:sz w:val="20"/>
          <w:szCs w:val="20"/>
          <w:color w:val="auto"/>
        </w:rPr>
      </w:pPr>
    </w:p>
    <w:p>
      <w:pPr>
        <w:ind w:left="66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has a limited history of operating as an independent company, and its historical financial information may not be a reliable indicator of its future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Separation, Embecta’s financial profile has changed, and it is a smaller, less diversified company than BD prior to the Separation.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achieve some or all of the expected benefits of the Separation.</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conduct its operations and meet its financial reporting and other obligations, Embecta relies on certain services provided by BD pursuant to the transaction documents entered into with BD in connection with the Separation, including the TSA and the LSA. If Embecta is unable to extend the services on the terms contemplated by the Extension or replace the services that BD currently provides to it on terms that are at least as favorable to Embecta as the terms on which BD is providing these services, or if BD otherwise terminates any of the services, Embecta’s business, financial condition and results of operations may be materially adversely affected. 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end users or which could result in delays or interruptions of Embecta's commercialization and distribution operations or the loss of customers or revenue, all of which could adversely affect its financial condition and results of operations.</w:t>
      </w:r>
    </w:p>
    <w:p>
      <w:pPr>
        <w:spacing w:after="0" w:line="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end users or which could result in delays or interruptions of Embecta's commercialization and distribution operations or the loss of customers or revenue, all of which could adversely affect its financial condition and results of operations.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has incurred debt obligations that could adversely affect its business and profitability and its ability to meet other obligations.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affected by significant restrictions under the tax matters agreement, including on its ability to engage in certain corporate transactions for a two-year period after the Separation Date, in order to avoid triggering significant tax-related liabilities.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be held liable to BD if it fails to perform under its agreements with BD.</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significant income tax liability if the Separation or certain related transactions are determined to be taxable for United States federal income tax purposes.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Separation was deferred in certain jurisdictions, and may not occur at all in such jurisdictions, due to local regulatory requirements, which may adversely affect Embecta’s manufacturing,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indemnification obligations following the distribution could have a material adverse effect on Embecta’s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Common Stock</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trading volume of Embecta’s common stock may be volatile, and stockholders could lose all or part of their investment in Embecta.</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cannot guarantee the timing, amount or payment of any dividends on its common stock.</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could enable Embecta’s Board of Directors to resist a takeover attempt by a third-party and limit the power of its stockholders.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amended and restated certificate of incorporation designates the state courts within the State of Delaware as the sole and exclusive forum for certain types of actions and proceedings that may be initiated by Embecta stockholders, which could discourage lawsuits against Embecta and its directors and officers.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risks described below may not be the only risks we face but are risks we believe may be material at this time. Other risks of which we are not yet aware, or that we currently believe are not material, may also materially adversely impact our business, financial condition or results of operations. If any of the events or circumstances described below occurs, our business, financial condition or results of operations could be adversely impacted and the value of an investment in our securities could decline. Investors and prospective investors should consider the risks described below and the information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contained under the caption “Cautionary Statements Regarding Forward-Looking Statements” and elsewhere in this Annual Report on Form 10-K before deciding whether to invest in our securities. We may update these risk factors in our future periodic reports.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Embecta’s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medical technology industry is very competitive.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faces significant competition from a wide range of companies in each market in which its products are sold. These include large companies with multiple product lines and non-traditional entrants such as technology companies, some of which may have greater financial and marketing resources than Embecta in the United States or other markets, as well as smaller, more specialized companies.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 access. Embecta’s ability to remain competitive will depend on how well it will meet these changing market demands in terms of its product offerings and marketing approaches.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Embecta’s existing or new products less competitive. In some instances, competitors, including pharmaceutical companies, also offer, or are attempting to develop, alternative therapies, including oral anti-diabetic drugs, GLP-1s and GLP-1 combination products, for disease states (including diabetes) that may be delivered without a medical device, such as pen needles. Lower cost producers have also created pricing pressure, particularly in emerging markets. There can be no assurance that Embecta’s products will be commercially successful, and it is possible that its business will be adversely affected from time to time as a result of products developed by its competitors.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Consolidation among payers, retailers, wholesalers,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Embecta’s products.</w:t>
      </w:r>
    </w:p>
    <w:p>
      <w:pPr>
        <w:spacing w:after="0" w:line="1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generates a significant amount of its profits and cash flows from a few key products, and any events that adversely affect the sale or profitability of these products could have an adverse impact on Embecta’s sales, results of operations and cash flows.</w:t>
      </w:r>
    </w:p>
    <w:p>
      <w:pPr>
        <w:spacing w:after="0" w:line="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Embecta’s ability to generate profits and operating cash flow depends largely upon the continued profitability of its key products, such as its pen needles and syringes. For example, for the fiscal year ended September 30, 2023, sales of pen needles (including both conventional and safety pen needles) accounted for $912 million, or 81%, of total net revenues. Any event that adversely affects the sale or profitability of this product could adversely affect Embecta’s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of competitive products, increased competition from the introduction of new products related to the treatment of diabetes or removal from the market of these products for any reason.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breakthroughs in diabetes treatment or prevention may reduce demand for Embecta’s products.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diabetes treatment industry is subject to technological change and product innovation. A number of companies and medical researchers are pursuing new ways to deliver insulin to patients, including insulin administration technologies that do not require the use of a needle, or to treat diabetes without the use of insulin or by delaying the use of insulin, such as oral anti-diabetic drugs, GLP-1s and GLP-1 combination products. If they are successful in developing and commercializing these technologies or treatment therapies, the demand for Embecta’s products could decline. Furthermore, the National Institutes of Health and other supporters of diabetes research are continually seeking ways to prevent diabetes. Any technological breakthroughs in diabetes prevention or treatment could decrease demand for Embecta’s products and have a material adverse effect on its business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Embecta obtains components, services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relies on a number of third parties to supply and manufacture the components, services and raw materials for its products. For example, in connection with the Separation and prior to the distribution, Embecta and BD entered into a cannula supply agreement, whereby BD sells to Embecta cannulas for incorporation into Embecta’s products for sale within the diabetes care sector. Cannulas are a component part of a wide variety of medical devices that use needles to deliver fluid into, or through which blood is drawn from, the body. BD retains ownership of all cannula production activities and all intellectual property rights of BD and its subsidiaries relating to cannula, the manufacture thereof and other critical cannula-related technology. Pricing under the cannula supply agreement is determined by BD based on several factors, including Embecta's yearly forecast, the cost of raw materials and other cost methodologies. The cannula supply agreement is terminable by BD without cause by providing at least 36 months’ written notice; however, such termination can be effective no earlier than ten years from the Separation. In the event of a change of control of Embecta, BD also has the right to terminate the cannula supply agreement. The cannula supply agreement will also terminate automatically, subject to a 36-month wind-down period, if Embecta’s yearly forecast is below the required minimum purchase amount, and the parties will have other customary termination rights for material breach or bankruptcy of the other party. Embecta is also limited to a maximum number of cannulas that it can purchase under the cannula supply agreement. If BD fails to perform under this agreement or BD terminates this agreement in accordance with its terms and, in either case, Embecta cannot find a way to purchase cannula from another party or manufacture cannula, or if Embecta needs to purchase more cannula than it is permitted under cannula supply agreement, Embecta may have insufficient cannulas for its products, which could materially adversely affect Embecta’s business, financial condition or results of operations.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in connection with the Separation, Embecta and BD entered into a lease agreement for a manufacturing facility location in Holdrege, Nebraska that Embecta leases from BD and several contract manufacturing agreements where BD provides certain manufacturing services to Embecta. If BD is unable to perform under these arrangements, terminates certain services or modifies its operations and Embecta cannot find substantially similar alternatives to perform these services or is forced to change its operations as a result, Embecta may incur additional costs, delays or other deficiencies in its operations, which could materially adversely affect Embecta’s business, financial condition or results of operations.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also obtains other component parts and raw materials from other third parties. In many cases, Embecta does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commodity price fluctuations, the demand by other companies for the same raw materials and the availability of complementary and substitute materials. In some cases, Embecta’s agreements with suppliers can be terminated by either party by convenience upon short notice.</w:t>
      </w:r>
    </w:p>
    <w:p>
      <w:pPr>
        <w:spacing w:after="0" w:line="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Certain raw materials and components used in the manufacture of pen needles and syringes, including cannulas, certain oil-based resins and rubber stoppers, are not always available from multiple sources. New laws or regulations adopted in response to climate change could also increase energy and transportation costs, as well as the costs of certain raw materials and components. In addition, for quality assurance, cost-effectiveness and other reasons, Embecta purchases certain raw materials and components from a single supplier. The price and supply of these materials and components may be affected or disrupted for reasons beyond Embecta’s control. While Embecta works with suppliers to ensure continuity of supply, no assurance can be given that these efforts will be successful. In the event that any of its existing supply arrangements are terminated or there is a reduction or interruption of supply under these existing arrangements, Embecta expects that it will be able to enter into new arrangements with alternative suppliers, but these new arrangements may be on terms that are less favorable, including with respect to price and volume, and it may be costly or cause delays in Embecta’s manufacturing process to transition to a new supplier, particularly in cases in which Embecta must comply with regulatory requirements relating to qualification of new suppliers. The termination, reduction or interruption in supply of these raw materials and components could adversely impact Embecta’s ability to manufacture and sell certain of its products.</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Embecta’s products. Any such failure to perform or a reduction or interruption in supply could have a material adverse effect on Embecta’s business and operations.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experience difficulties and delays in the manufacturing of its products or sterilization operations, and any such difficulties and delays could adversely affect Embecta’s business.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may experience difficulties and delays inherent in manufacturing its products, such as failure of Embecta or its suppliers to comply with applicable regulations and quality assurance guidelines, which failures may lead to: manufacturing shutdowns or manufacturing delays; delays related to the construction of new facilities or the expansion of 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Embecta could experience difficulties or delays in manufacturing its products caused by natural disasters. Manufacturing difficulties can also result in product shortages, leading to lost sales and reputational harm. In addition, many of Embecta’s products require sterilization prior to sale. In some instances, only a few facilities are qualified under applicable regulations to conduct this sterilization. To the extent Embecta or third parties (including BD) are unable to sterilize Embecta’s products, whether due to lack of capacity, increased demand, regulatory requirements or changes or otherwise, Embecta may be unable to transition sterilization to other sites or modalities in a timely or cost effective manner, or at all, which could have an adverse impact on Embecta’s business.</w:t>
      </w:r>
    </w:p>
    <w:p>
      <w:pPr>
        <w:spacing w:after="0" w:line="1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substantial portion of Embecta’s revenue is derived from sales to a few customers. For example, for the fiscal year ended September 30, 2023, gross sales to McKesson Corporation, Cardinal Health and Cencora, Embecta’s three largest distributors, together represented approximately 40% of Embecta’s worldwide gross sales. The costs charged by these and other distributors to distribute Embecta’s products is also subject to negotiation, and such distributors may propose increases in such charges from time to time. In addition, for the fiscal year ended September 30, 2023, direct gross sales to the five largest retail pharmacies for Embecta’s products together represented approximately 14% of Embecta’s worldwide gross sales. If any of Embecta’s largest customers reduce the amount of product that they purchase from Embecta, negotiate a reduced price for such products or increase the charges to distribute such products, each could have a material adverse effect on Embecta’s business, financial condition and results of operations.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guarantees and demonstrated ability to supply markets. Any failure by Embecta to differentiate its products with existing payers based on these and other factors or establish new payer relationships may adversely affect its financial condition and results of operations.</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consolidation and integration among healthcare institutions and providers significantly affects the competitive landscape for medical devices. Health plans, pharmacy benefit managers,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 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Embecta’s business. In addition to formulary placement, changes in insurance designs continue to drive greater consumer cost-sharing through high deductible plans and higher co-insurance or co-pays, increasing consumer sensitivity to product choice.</w:t>
      </w:r>
    </w:p>
    <w:p>
      <w:pPr>
        <w:spacing w:after="0" w:line="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Embecta is consistently managing the burden of continued pressures associated with payers’ discount requirements to maintain positive formulary positions. If Embecta fails to maintain these formulary positions or reduces prices on its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18"/>
          <w:szCs w:val="18"/>
          <w:color w:val="auto"/>
        </w:rPr>
        <w:t>products to maintain these formulary positions, it could adversely affect Embecta’s results of operations. In addition to the evolving payer market that continues to put price pressure on Embecta’s products, new competitors have emerged. Competitors that are new to the pen needle and insulin syringe categories, along with some that have emerged to begin engaging with payers, have accelerated the focus on these product categories, providing payers more choices for formulary partners within these medical device categories.</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to the ongoing challenges faced across the United States, Embecta faces similar access, pricing and reimbursement trends outside of the United States. Although payers’ preferences for particular devices varies regionally, key foundational considerations for choice include: product specifications, clinical evidence demonstrating efficacy, positive clinical outcomes, investment in proper injection technique training for customers and patients, and pricing. Embecta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 directly with insurance companies. In China, the most notable threat continues to be access through volume-based procurement and Group Purchasing Organizations ("GPOs"), with potential significant price erosion and cost containment within the healthcare landscape. These continued pricing pressures could adversely affect Embecta’s financial condition and results of operations.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enter into strategic collaborations, in-licensing arrangements or alliances with third parties that may not result in the development of commercially viable products or the generation of revenue.</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its business, Embecta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6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identify or secure these collaborations in a timely manner, on a cost-effective basis, on acceptable terms or at all;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collaborations may not result in the development of products that achieve commercial success or result in any revenue to Embecta;</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not exercise sole decision making authority with respect to material development, regulatory submission, or commercial decisions under these collaborations, resulting in gridlock with its partners, and its collaborators may have economic or business interests or goals that are, or that may become, inconsistent with its business interests or goals;</w:t>
      </w:r>
    </w:p>
    <w:p>
      <w:pPr>
        <w:spacing w:after="0" w:line="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may have limited control over the amount and timing of resources that its current collaborators or any future collaborators devote to its collaborators’ or its future products;</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Embecta and its collaborators may result in litigation or arbitration that would increase Embecta’s expenses and divert the attention of its management; and</w:t>
      </w: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collaborations may be terminated or dissolved in accordance with their terms prior to the development of any Embecta products or any realization by Embecta of any other benefits.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believes that a significant portion of its sales will continue to be from independent distributors for the foreseeable future, and it is possible that the percentage of its sales from independent distributors could increase. None of Embecta’s independent distributors in the United States has been required to sell Embecta’s products exclusively, and each of them may freely sell the products of Embecta’s competitors. If Embecta is unable to maintain or expand its network of independent distributors, its sales may be negatively affected. For the fiscal year ended September 30, 2023, McKesson Corporation, Cardinal Health and Cencora, Embecta’s three largest distributors, together represented approximately 40% of Embecta’s worldwide gross sales. If any of Embecta's key independent distributors were to cease to distribute Embecta’s products or reduce their promotion of such products as compared to the products of Embecta’s competitors, Embecta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future growth is dependent in part upon the development of new products, and there can be no assurance that such products will be developed or be successful.</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significant element of Embecta’s strategy is to increase revenue growth by focusing on innovation and new product development. For example, Embecta is currently working on developing an insulin patch pump focused on serving the needs of people with Type 2 diabetes. However, potential products are still in the product development phase, and Embecta has not yet submitted an application to the FDA seeking clearance for these products. In addition, even if Embecta submits an application to the FDA for clearance, there is no assurance that such clearance will be obtained or that Embecta will be able to market and sell such products successfully. New product development requires significant investment in research and development. The results of Embecta’s product development efforts may be affected by a number of factors, including Embecta’s ability to anticipate the needs of people with diabetes, successfully complete clinical trials, obtain regulatory clearance and approvals for its products, manufacture such products in a cost-effective manner, obtain appropriate intellectual property protection for such products, gain and maintain market acceptance of such products, secure distribution channels, and obtain access, coverage and reimbursement for such products. There can be no assurance that Embecta will be able to successfully develop or commercialize any products now in development or that Embecta may seek to develop or commercialize in the future.</w:t>
      </w:r>
    </w:p>
    <w:p>
      <w:pPr>
        <w:spacing w:after="0" w:line="1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Embecta relies on third parties, such as contract research organizations, medical institutions, clinical investigators, contract laboratories and other third parties, to conduct some of its clinical trials, human factors studies and pre-clinical investigations. If these third parties do not successfully carry out their contractual duties or regulatory obligations or meet expected deadlines, or if the quality or accuracy of the data they obtain is compromised due to failure to adhere to the clinical protocols or regulatory requirements or for other reasons, Embecta’s pre-clinical development activities or clinical trials may be extended, delayed, suspended or terminated, and Embecta may not be able to obtain regulatory clearance or approval for, or successfully commercialize, its products on a timely basis, or at all, and Embecta’s business and operating results may be adversely affected. Furthermore, such third parties may experience delays in conducting such studies and trials for reasons outside of their control. In addition, Embecta faces the risk of potential unauthorized disclosure or misappropriation of its intellectual property by contract research organizations, which may reduce Embecta’s trade secret protection and allow its potential competitors to access and exploit its proprietary technology.</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if future clinical trials fail to support the efficacy or safety of Embecta’s current or future products or if the data obtained from such studies are unfavorable or inadequate to support satisfactory conclusions about Embecta’s current or future products, Embecta’s sales may be adversely affected and may have a material adverse effect on its business, financial condition and results of operations. In addition, future clinical studies or other articles regarding Embecta’s existing products or any competing products may be published that either support a claim, or are perceived to support a claim, that a competitor’s product is clinically more effective or easier to use than Embecta’s existing products or products in development or that any such product is not as effective as Embecta claims. Any of these events may negatively affect Embecta’s sales efforts and result in decreased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failure to maintain strong relationships with physicians and other healthcare professionals could adversely affect its business.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depends on its ability to maintain strong working relationships with physicians and other healthcare professionals in connection with research and development for some of its products. Embecta relies on these professionals to provide it with considerable knowledge and advice regarding the development and use of these products. If Embecta fails to maintain its working relationships with physicians and, as a result, no longer has the benefit of their knowledge and advice, Embecta’s products may not be developed in a manner that is responsive to the needs and expectations of the professionals who use and support such products, which could have a material adverse effect on Embecta’s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not be able to successfully execute its acquisition strategy, which could adversely affect its financial condition and results of operations.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intends to explore strategic partnerships and acquisition opportunities that enable it to accelerate its growth. There is no assurance that future acquisitions will be available on attractive terms and Embecta’s ability to consummate any acquisition will be subject to various risks and uncertainties, including the negotiation of agreements on satisfactory terms, obtaining applicable regulatory clearances and approvals and, after consummation, achieving anticipated synergies and other benefits. If Embecta does not successfully execute on its acquisition strategy, it could adversely affect its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international operations subject it to certain business risks.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substantial amount of Embecta’s sales come from its operations outside the United States, and Embecta intends to continue to pursue growth opportunities outside of the United States, especially in emerging markets. Embecta’s international operations subject it to certain risks relating to, among other things, fluctuations in foreign currency exchange, local economic and political conditions, competition from local companies, increases in trade protectionism, United States relations with the governments of the foreign countries in which Embecta operates, foreign regulatory requirements or changes in such requirements, changes in local healthcare payment systems and healthcare delivery systems, local product preferences and requirements, longer payment terms for account receivables than we experience in the United States, difficulty in establishing, staffing and managing foreign operations, changes to international trade agreements and treaties, changes in tax laws, weakening or loss of the protection of intellectual property rights in some countries and import or export licensing requirements. The success of Embecta’s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risks discussed elsewhere, other risks associated with doing business internationally, include, but are not limited to:</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actual or anticipated military or political conflicts;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barriers, such as tariffs, and import and export licensing and control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or interpretations of tax laws;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international operations;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foreign legal systems, including increased costs associated with enforcing contractual obligations in foreign jurisdictions;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the differing laws and regulations, business and clinical practices, and consumer preferences in foreign markets;</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including any relationships that we establish with foreign partners, distributors or sales or marketing agents;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accounts receivable and longer collection periods.</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the U.S. Foreign Corrupt Practices Acts (FCPA), the U.K. Bribery Act, and similar anti-corruption and anti-bribery laws enacted outside the United States generally prohibit companies and their intermediaries from making improper payments to foreign officials for the purpose of obtaining or retaining business. Global enforcement of anti-corruption laws has increased substantially in recent years, with more enforcement proceedings by United States and foreign governmental agencies and the imposition of significant fines and penalties. Embecta’s international operations, which often involve customer relationships with foreign governments or government-sponsored healthcare systems, create the risk that there may be unauthorized payments or offers of payments made by employees, consultants, sales agents or distributors. Because Embecta does business in the U.K., the U.K. Bribery Act also extends to its interaction with public and private sector entities and persons outside the U.K., including in the United States. Embecta’s policies mandate compliance with these laws. Embecta operates in parts of the world that have experienced governmental corruption to some degree, and in certain circumstances strict compliance with anti-bribery laws may conflict with local customs and practices. Despite Embecta’s training and compliance programs, its internal control policies and procedures may not always protect Embecta from reckless or criminal acts committed by its employees or agents. Any alleged or actual violations of these laws may subject Embecta to government investigations and significant criminal or civil sanctions and other liabilities, including exclusion from government contracting, which could negatively affect our reputation, could disrupt Embecta’s business and have a material adverse effect on its results of operations, financial condition, and cash flow.</w:t>
      </w:r>
    </w:p>
    <w:p>
      <w:pPr>
        <w:spacing w:after="0" w:line="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Changes in United States policy regarding international trade, including import and export regulation and international trade agreements, could also negatively impact Embecta’s business. The United States has imposed tariffs and export controls on certain goods and products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Embecta may not be able to offset or that otherwise adversely impact its results of operations. In addition, political tensions between the United States and China have escalated in recent years. Rising political tensions could reduce trade, investment and other economic activities between the two major economies. Any of these factors could have a material adverse effect on Embecta’s business, prospects, financial condition and results of operations.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departure of the United Kingdom from the European Union (“EU”) (commonly known as “Brexit”) on January 31, 2020 created uncertainties affecting business operations in the United Kingdom, the EU and a number of other countries, including with respect to compliance with the regulatory regimes regarding the labeling and registration of the products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Embecta sells in these markets. Embecta could face increased costs, volatility in exchange rates, market instability and other risks as a result of Brexit.</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military conflict between Russia and Ukraine has resulted in the implementation of sanctions by the United States and other governments against Russia and has caused significant volatility and disruptions to the global markets. It is not possible to predict the short- and long-term implications of this conflict, which could include but are not limited to further sanctions, uncertainty about economic and political stability, increases in inflation rate and energy prices, supply chain challenges and adverse effects on currency exchange rates and financial markets. In addition, the United States government reported that United States sanctions against Russia in response to the conflict could lead to an increased threat of cyberattacks against United States companies. These increased threats could pose risks to the security of Embecta’s Information Technology systems, networks and product offerings, as well as the confidentiality, availability and integrity of Embecta’s data. In addition, the recent hostilities in Israel could develop to have a more widespread economic and geopolitical affect in the Middle East and Europe, and/or economic sanctions between or among countries, as well as general geopolitical issues in the Middle East. This may impact oil production capacity, oil prices, and disruptions in supply chain and shipping routes in the Middle East. These impacts may further cause increases in resin costs, as well as energy costs. If these conflicts develop beyond these areas or further intensify, they could have an adverse impact on Embecta’s business operations in the EU, the Middle East or other affected areas. Embecta is continuing to monitor the situations in Ukraine, Israel and globally as well as assess their potential impact on Embecta’s business, including impacts to suppliers and customers. Although operations in Russia, Ukraine and Israel do not currently constitute a material portion of Embecta’s business, a significant escalation or further expansion of the conflicts’ current scope or related disruptions to the global markets could have a material adverse effect on Embecta’s results of operations.</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U.S. Department of the Treasury’s Office of Foreign Assets Control, and the Bureau of Industry and Security at the U.S. Department of Commerce, administer certain laws and regulations that restrict U.S. persons and, in some instances, non-U.S. persons, in conducting activities, and transacting business with or making investments in certain countries, governments, entities and individuals subject to U.S. economic sanctions. Due to Embecta’s international operations, it is subject to such laws and regulations, which are complex, restrict its business dealings with certain countries and individuals, and are constantly changing. Further restrictions may be enacted, amended, enforced or interpreted in a manner that materially impacts Embecta’s operations.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Violations of these regulations are punishable by civil penalties, including fines, denial of export privileges, injunctions, asset seizures, debarment from government contracts and revocations or restrictions of licenses, as well as criminal fines and imprisonment. Embecta has established procedures designed to assist with its compliance with such laws and regulations. However, Embecta has only limited experience dealing with these laws and regulations and it cannot guarantee that its procedures will effectively prevent it from violating these regulations in every transaction in which Embecta may engage. Any such violation could adversely affect Embecta’s reputation, business,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business and operations are subject to risks related to climate change.</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long-term effects of global climate change present risks to Embecta’s business and operations. Extreme weather, natural disasters or other conditions caused by climate change could adversely impact its supply chain and the availability and cost of raw materials and components, energy supply, transportation or other inputs required for the operation of its business. Such conditions could also result in physical damage to products, plants and distribution centers, or our suppliers' facilities, as well as the infrastructure and facilities of hospitals, medical care facilities and other customers. Additionally, increased environmental regulation, including to address climate change, may result in increases in the costs to operate its business or restrict certain aspects of its activities. These events could adversely affect Embecta’s operations and our financial performance.</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business could be negatively impacted by evolving regulations, policies and expectations relating to environmental, social and governance (ESG) initiatives, setting related goals, collecting data and disclosing related information.</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consumers, employees and other stakeholders concerning ESG matters. Additionally, public interest and legislative pressure related to public companies’ ESG practices continue to grow. These changing rules, regulations and stakeholder expectations have resulted in, and are likely to continue to result in, increased general and administrative expenses and increased management time and attention spent complying with or meeting such regulations and expectations. A number of participants in the medical device industry are also joining voluntary ESG groups or organizations, such as the Responsible Business Alliance. These ESG provisions and initiatives are subject to change, can be unpredictable, and may be difficult and expensive for us to comply with, given the complexity of our supply chain and operations. If our ESG practices fail to meet regulatory requirements or investor, customer, consumer, employee or other stakeholders' evolving expectations and standards in areas including environmental stewardship, support for local communities, Board of Directors and employee diversity, human capital management,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jc w:val="both"/>
        <w:spacing w:after="0" w:line="243" w:lineRule="auto"/>
        <w:rPr>
          <w:sz w:val="20"/>
          <w:szCs w:val="20"/>
          <w:color w:val="auto"/>
        </w:rPr>
      </w:pPr>
      <w:r>
        <w:rPr>
          <w:rFonts w:ascii="Times New Roman" w:cs="Times New Roman" w:eastAsia="Times New Roman" w:hAnsi="Times New Roman"/>
          <w:sz w:val="18"/>
          <w:szCs w:val="18"/>
          <w:color w:val="auto"/>
        </w:rPr>
        <w:t>employee health and safety practices, product quality, supply chain management, corporate governance and transparency, our reputation, brand and employee retention may be negatively impacted, and our customers and suppliers may be unwilling to continue to do business with us. Further,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we do not adapt to or comply with new regulations, or fail to meet evolving investor, industry or stakeholder expectations and concerns regarding ESG issues, investors may reconsider their capital investment in our Company, and customers may choose to stop purchasing our products, which could have a material adverse effect on our reputation, business or financial condition.</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Foreign currency exchange rate, inflation, commodity price, energy and oil prices and supply, and interest rate fluctuations may adversely affect Embecta’s financial condition and results of operations.</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Embecta is exposed to a variety of market risks, including the effects of changes in foreign currency exchange rates, commodity prices, energy resource prices and uninterrupted energy supply, and interest rates. Products manufactured in, and sold into, regions outside of the United States represent a significant portion of Embecta’s operations. The Consolidated Financial Statements in Item 8 of this Annual Report on Form 10-K reflect translation of financial statements denominated in non-United States currencies to United States dollars as well as the foreign currency exchange gains and losses resulting from the re-measurement of assets and liabilities. A strengthening or weakening of the United States dollar in relation to the foreign currencies of the countries in which Embecta sells or manufacture its products, such as the euro, will affect its United States dollar-reported revenue and income. Changes in the relative values of currencies may, in some instances, have a significant effect on its results of operations.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Embecta’s products have significant resin content. Embecta also uses quantities of other commodities, such as rubber, corrugate and steel. Increases in the prices of these commodities, including due to inflation in the United States or in other markets, could increase the production and other input costs of Embecta’s products. Embecta may not be able to pass on these costs to its customers, which could have a material adverse effect on its results of operations and cash flows.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Russia and Ukraine conflict, the Israel-Hamas war and the growing geopolitical tensions between China and Taiwan, coupled with possible related supply chain shortages may affect the energy power and oil sector’s networks and ability to supply their customers, including Embecta. These disruptions may lead to manufacturing shutdowns, raw material and component shortages, supply chain and logistics constraints, project delays, loss of productivity, divergent product standards and regulations, trade policies, labor shortages, commodity shortages, and price increases, among others. Embecta relies on uninterrupted energy to power its manufacturing facilities and any disruption could adversely affect its operations. In addition, increases in energy and oil prices could increase the production, raw materials and other costs of Embecta’s operations and products.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Increases in interest rates may adversely affect the financial condition of Embecta’s distributors and suppliers, thereby adversely affecting their ability to buy Embecta’s products and supply the components or raw materials needed by Embecta, in each case adversely affecting Embecta’s financial condition or results of operations. If the United States Federal Reserve continues to raise the benchmark interest rate, then Embecta would expect the interest expense on its variable rate debt to increase in fiscal 2024. To the extent Embecta borrows under its revolving credit facility, it will also be subject to risks related to changes in interest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Embecta’s effective tax rate and changes to tax laws may adversely affect it.</w:t>
      </w:r>
    </w:p>
    <w:p>
      <w:pPr>
        <w:spacing w:after="0" w:line="16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As a global company, Embecta is subject to taxation in numerous countries, states and other jurisdictions. Embecta’s effective tax rate is derived from a combination of applicable tax rates in the various countries, states and other jurisdictions in which it operates. In preparing its financial statements, Embecta estimates the amount of tax that will become payable in each of these jurisdictions and significant judgement is required in determining our worldwide provision for income taxes. Embecta’s effective tax rate may, however, differ from the estimated amount due to numerous factors, including a change in overall profitability, geographical mix of earnings before income taxes, tax discrete items that are not recurring in nature, and changes in tax laws, including potential proposed tax legislation. The Organization for Economic Cooperation and Development ("OECD") has developed major reform of the international tax system with respect to a global minimum 15% tax rate. In December 2022, European Union member states agreed to adopt the OECD’s minimum tax rules, which are expected to begin going into effect in tax years beginning on January 1, 2024 or later. Certain other countries have enacted the law changes and other countries are considering changes to their tax laws; the impact of the changes will go into effect for the Company beginning in fiscal year 2025. The Company is evaluating the impact of these proposed and enacted changes. If any potential legislative proposals are ultimately enacted, they could materially impact Embecta’s tax provision, cash tax liability and effective tax rate. Any of these factors could cause Embecta to experience an effective tax rate significantly different from previous periods or its current expectations, which could have an adverse effect on its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If Embecta fails to protect its intellectual property or proprietary technology, such failure could adversely affect its business and results of operations.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Embecta to rebrand its products. Embecta can also lose the protection afforded by these intellectual property assets through patent expirations, legal challenges or governmental action. Patents attained by competitors may also adversely affect Embecta’s competitive position. In addition, competitors may seek to invalidate patents on its products or claim that its products infringe upon their intellectual property, which could result in a loss of competitive advantage or the payment of significant legal fees, damage awards and past or future royalties, as well as injunctions against future sales of its products. Embecta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Embecta may not be provided with meaningful protection for its trade secrets, know-how or other proprietary information. Embecta also operates in countries that do not protect intellectual property rights to the same extent as in the United States, which could make it easier for competitors to compete with Embecta in those countries. The loss of a significant portion of its portfolio of intellectual property assets may have an adverse effect on its business and results of operations.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products or processes may infringe the intellectual property rights of others, which may cause Embecta to pay unexpected litigation costs, damages, or settlement fees (including royalties) or prevent Embecta from selling its products.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cannot be certain that its products, both existing and in development, do not and will not infringe issued patents or other intellectual property rights of third parties. Embecta may be subject to legal proceedings and claims in the ordinary course of its business, including claims of alleged infringement of the intellectual property rights of third parties. Patentability, invalidity, freedom-to-operate or other opinions may be required to determine the scope and validity of third-party proprietary rights. The nature of claims contained in unpublished patent filings around the world is unknown to Embecta and it is not possible to know which countries patent holders may choose for an extension of their filings under the Patent Cooperation Treaty or other mechanisms. Embecta may also be subject to claims based on the actions of employees and consultants with respect to the usage or disclosure of intellectual property learned at other employers. Any such claims, whether or not meritorious, could result in litigation and divert the time and attention of its management team. Consequently, Embecta is unable to guarantee that it will be able to manufacture, use, offer for sale, sell or import any of its commercial products or products in development in the event of an infringement action. If Embecta is found liable for infringement, it may be required to enter into licensing agreements (which may not be available on acceptable terms or at all) or to pay damages or cease developing, making or selling certain products. Even if Embecta were able to obtain a license, the rights may be non-exclusive, which could potentially limit its competitive advantage. Ultimately, Embecta could be prevented from commercializing any products that it may commercialize or promote or be forced to cease some aspects of its business operations, if, as a result of actual or threatened patent infringement or other claims, it is unable to enter into licenses on acceptable terms. This inability to enter into licenses or the ability to exclude others from using proprietary rights could have a material adverse effect on Embecta’s reputation, business, financial condition or results of operations. Embecta may also need to redesign some of Embecta’s products or processes to avoid future infringement liability.</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Breaches of Embecta’s information systems and cyberattacks aimed at accessing Embecta’s devices, products and services or related devices, products and services could have a material adverse effect on its operations.</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faces various security threats on a regular basis, including ongoing cyber security threats to and attacks on our information technology infrastructure.  Some of Embecta’s products, and products in development may, include information systems that collect data, including sensitive medical information, regarding patients and patient therapy on behalf of Embecta’s customers and some connect to Embecta’s systems for maintenance and management purposes. Embecta uses its and certain third party, including BD's, information technology systems to manage or support a variety of business processes and activities, including sales, shipping, billing, customer service, procurement, supply chain, manufacturing, and accounts payable. In addition, Embecta uses enterprise information technology systems to record, process, and summarize transactions and other financial information and results of operations for internal reporting purposes and to comply with financial reporting, legal, and tax regulatory requirements. Embecta deploys defenses against such threats and attacks and works to secure the integrity of its data systems using techniques, hardware, and software typical of companies of its size and scope. Despite Embecta’s security measures, however, its information technology and infrastructure may be vulnerable to attacks by increasingly sophisticated intruders or others who try to cause harm to or interfere with its normal use of its systems. They are also susceptible to breach due to employee error, malfeasance, 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both"/>
        <w:spacing w:after="0" w:line="241" w:lineRule="auto"/>
        <w:rPr>
          <w:sz w:val="20"/>
          <w:szCs w:val="20"/>
          <w:color w:val="auto"/>
        </w:rPr>
      </w:pPr>
      <w:r>
        <w:rPr>
          <w:rFonts w:ascii="Times New Roman" w:cs="Times New Roman" w:eastAsia="Times New Roman" w:hAnsi="Times New Roman"/>
          <w:sz w:val="18"/>
          <w:szCs w:val="18"/>
          <w:color w:val="auto"/>
        </w:rPr>
        <w:t>other disruptions. Embecta’s suppliers, distributors, contractors, service providers, and other third parties with whom it does business also could be subject to cyber threats and attacks that are similar in frequency and sophistication. In many cases, Embecta has to rely on the controls and safeguards put in place by these suppliers, distributors, contractors, service providers, including BD, and other third parties to defend against, respond to, and report these attacks. Many of Embecta’s information systems are cloud-hosted and managed by these third-party vendors, some of which may have access to confidential business, employee, healthcare professional, and/or customer information. Embecta’s information technology systems may also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Any failure by Embecta to maintain or protect its information technology systems and data integrity, including from cyberattacks, intrusions, disruptions, or shutdowns, could result in the unauthorized access to customer data and personally identifiable information, theft of intellectual property or other misappropriation of assets or the loss of key data and information, or otherwise compromise Embecta’s confidential or proprietary information and disrupt its operations. The potential impact of future cyber incidents can vary widely in severity and scale. This could also impact Embecta’s compliance with privacy and other laws and regulations and could result in actions by regulatory bodies or civil litigation. There can be no assurance that the various procedures and controls Embecta utilizes to mitigate these threats will be sufficient to prevent disruptions to its systems, in part because (i) cyberattack techniques change frequently and, at times, new techniques are not recognized until launched, and (ii) cyberattacks can originate from a wide variety of sources. Embecta will continue to evaluate organization risk priorities and dedicate resources to protect against unauthorized access, and work to align to industry-leading cybersecurity frameworks to incorporate cybersecurity into its enterprise systems, manufacturing processes and products. Embecta’s results of operations could be adversely affected if these systems are interrupted or damaged or fail for any extended period.</w:t>
      </w:r>
    </w:p>
    <w:p>
      <w:pPr>
        <w:spacing w:after="0" w:line="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medical devices are increasingly connected to the internet, healthcare networks, and other medical devices to provide features that improve healthcare and increase the ability of healthcare providers to treat patients and patients to manage their conditions. For example, Embecta is pursuing collaborations to enable the connectivity and interoperability of its insulin patch pump in development with third-party patient monitoring products, which may in turn be connected with the internet, healthcare networks and other medical devices. These same features may also increase cybersecurity risks and the risks of unauthorized access and use by third parties, as noted by the FDA’s warning that insulin pumps may have cybersecurity vulnerabilities and could be manipulated by hackers, causing danger to people with diabetes. As such, a cyberattack which intrudes, disrupts, or corrupts Embecta’s devices, products, and services, or related devices, products, and services could impact the quality-of-care patients receive or the confidentiality of patient information. Additionally, modifying or using any such devices, products, or services in a way inconsistent with Embecta’s FDA clearances and approvals may create risks to users and potential exposure to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needs to attract and retain key employees to be competitive.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ability to compete effectively depends upon its ability to attract and retain executives and other key employees. Competition for experienced employees, particularly for persons with specialized skills, can be intense. Embecta’s ability to recruit such talent will depend on a number of factors, including compensation and benefits, work location and work environment. If Embecta cannot effectively recruit and retain qualified executives and employees, its business could be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Embecta’s business may be adversely affected by work stoppages, union negotiations and labor disputes.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September 30, 2023, only certain employees, all outside of the United States and representing approximately 35% of our headcount (approximately 17% of those employees are in deferred closing countries), are represented by various unions, works council and other collective bargaining groups. As of September 30, 2023, approximately 48% of those employees within these groups have collective bargaining power. In addition, on January 1, 2023, the BD Shanghai, China employees transferred from the BD local legal entity to the Embecta local legal entity. Embecta Shanghai, China employees participate in unions, as required by China regulations, and as was established by BD prior to the transfer. As of September 30, 2023, these unions do not have collective bargaining agreements. Historically, the effects of collective bargaining and other similar labor agreements have not been significant. However, if a larger number of Embecta’s employees were to unionize, including in the wake of any future legislation or administrative regulation that makes it easier for employees to unionize, the effect could be significant.</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significant portion of Embecta’s unionized employees have collective bargaining agreements. Any inability to negotiate acceptable new contracts and new terms and conditions under these collective bargaining arrangements could cause strikes or other work stoppages, including at our Ireland manufacturing facility, and new contracts could result in increased operating costs for Embecta. If any strikes or other work stoppages occur, or if additional employees become represented by a union, a disruption of Embecta’s operations and higher labor costs could result. Labor relations matters affecting Embecta’s suppliers of products and services could also adversely affect Embecta’s business from time to time.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is subject to extensive regulation.</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Embecta’s operations are global and are affected by complex state, federal and international laws relating to healthcare, environmental protection, antitrust, anti-corruption, marketing, fraud and abuse (including anti-kickback and false claims laws), import and export control, product safety and efficacy, employment, privacy,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such as taxes on fuel and energy, to mitigate the impacts of climate change, are becoming more stringent throughout the world, which may increase Embecta’s costs of operations or necessitate closures of or changes to its manufacturing plants or processes or those of its suppliers, or result in liability to Embecta. Embecta is also subject to various laws and regulations relating to the safety and effectiveness of medical devices, including relating to design, development and manufacturing, product traceability and record keeping procedures, product complaints, complaint reporting, recalls and field safety corrective actions, advertising and promotion and clinical trials and post-market studies with respect to its products. Failure to comply with these laws may result in enforcement actions by the FDA or other similar regulatory agencies and other liability to Embecta. The enactment of additional laws or changes in existing laws may increase compliance costs or otherwise adversely impact Embecta’s operations.</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also subject to numerous post-marketing regulatory requirements, which include quality system regulations related to the manufacture of its devices, labeling regulations, and medical device reporting regulations. The last of these regulations requires Embecta to report to the FDA if its devices cause or contribute to a death or serious injury, or malfunction in a way that would likely cause or contribute to a death or serious injury if the malfunction recurred. If Embecta fails to comply with present or future regulatory requirements that are applicable to it, it may be subject to enforcement action by the FDA, which may include any of the following sanctions:</w:t>
      </w:r>
    </w:p>
    <w:p>
      <w:pPr>
        <w:spacing w:after="0" w:line="8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 or orders for repair, replacement, or refunds;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 or seizure of our current or future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detention by the FDA of medical devices believed to be adulterated or misbranded;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suspension or shutdown of production;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of new products, new intended uses or modifications to Embecta’s current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rescinding 510(k) clearance or suspending that have already been granted; or</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EU has adopted the EU Medical Device Regulation (the “EU MDR”), which imposes stricter requirements for the marketing and sale of medical devices, including in the area of labeling requirements, clinical evidence requirements, quality systems and post-market surveillance. The EU MDR has been fully operational for previously approved self-certified medical devices (class I) since May 2021, and companies have until May 2024 to meet the requirements for medical devices with a valid conformity assessment certificate (class II and III). Complying with and maintaining devices under these regulations requires Embecta to incur significant expenditures. Additionally, the availability of EU notified body services certified to assist Embecta with validation of, and compliance with, the new requirements is limited, which may delay the marketing approval for some of Embecta's products under the EU MDR. Any such delays, or any failure to meet these requirements could adversely impact our business in the EU and other non-EU regions that tie their product registrations to EU conformity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have a material adverse effect on Embecta’s financial condition and results of operations.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economic and regulatory developments have effected fundamental changes in the healthcare industry. 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Embecta is able to charge for its products or the amounts of reimbursement available for its products and could limit the acceptance and availability of its products.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Patient Protection and Affordable Care Act (the “Affordable Care Act”) substantially changed the way healthcare is financed by both government and private insurers. It also encourages improvements in the quality of healthcare products and services and significantly impacts the United States pharmaceutical and medical device industries by, among other things, imposing certain stringent compliance, recordkeeping, and reporting requirements on companies in various sectors of the life sciences industry, and enhanced penalties for non-compliance.</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cannot predict at this time the full impact of the Affordable Care Act or other new legislation, agency priorities, rulemaking and healthcare reform measures from U.S. federal or state governments, foreign governments, or third-party payors that may be adopted or implemented in the future on Embecta’s financial condition, results of operations and cash</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jc w:val="both"/>
        <w:spacing w:after="0" w:line="243" w:lineRule="auto"/>
        <w:rPr>
          <w:sz w:val="20"/>
          <w:szCs w:val="20"/>
          <w:color w:val="auto"/>
        </w:rPr>
      </w:pPr>
      <w:r>
        <w:rPr>
          <w:rFonts w:ascii="Times New Roman" w:cs="Times New Roman" w:eastAsia="Times New Roman" w:hAnsi="Times New Roman"/>
          <w:sz w:val="18"/>
          <w:szCs w:val="18"/>
          <w:color w:val="auto"/>
        </w:rPr>
        <w:t>flows. Although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Embecta cannot predict the effect that any of these events would have on the longer-term viability of the act, or on Embecta’s financial condition, results of operations or cash flows. However, any changes that create stricter and more costly compliance obligations or lower reimbursement for Embecta’s products could materially and adversely affect its business, financial condition and results of operations. Future significant changes in the healthcare systems in the United States or elsewhere could also have a negative impact on the demand for Embecta’s current and future products. These include changes that may reduce reimbursement rates for its products and changes that may be proposed or implemented by the current or future laws or regulations.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modifications to Embecta’s products may require new 510(k) clearances or other marketing authorizations and may require Embecta to recall or cease marketing its products.</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a medical device is permitted to be legally marketed in the United States pursuant to a 510(k) clearance, a manufacturer may be required to notify the FDA of certain modifications to the device.</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Manufacturers determine in the first instance whether a change to a product requires a new 510(k) clearance or premarket submission, but the FDA may review any manufacturer’s decision. The FDA may not agree with Embecta’s decisions regarding whether new clearances are necessary. Embecta has made modifications to its products in the past and has determined based on its review of the applicable FDA regulations and guidance that in certain instances new 510(k) clearances or other premarket submissions were not required. Embecta may make similar modifications or add additional features in the future that it believes does not require a new 510(k) clearance. If the FDA disagrees with Embecta’s determinations and requires it to submit new 510(k) notifications, Embecta may be required to cease marketing or to recall the modified product until it obtains clearance, and it may be subject to significant regulatory fines or penalties.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be subject to enforcement actions if it engages in improper marketing or promotion of its products.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Embecta’s promotional materials and training methods must comply with applicable laws, regulations and regulatory authority’s rules and guidelines, including the FDA and the Federal Trade Commission (the “FTC”). If the FDA, the FTC or another regulatory agency determines that Embecta’s promotional or training material constitutes off-label, false or misleading, unfair or deceptive promotion of its products, it could request that Embecta modify its training or promotional materials or subject Embecta to regulatory or enforcement actions, including the issuance of an untitled letter, a warning letter, injunction, seizure, civil fine or criminal penalties. It is also possible that other federal, state or foreign enforcement authorities might take action if they consider Embecta’s promotional, educational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1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is subject to complex and frequently changing laws in the United States and elsewhere regarding privacy and the processing, collection, use, storage and protection of personal information, and noncompliance with these laws could result in substantial fines or litigation. For instance, the EU has also adopted the General Data Protection Regulation (“GDPR”), which applies to personal data involved in Embecta’s operations in the EU or products and services that Embecta offers to EU users involving personal data. The GDPR contains a range of compliance obligations that could require Embecta to change its existing business practices policies, and significantly increases financial penalties for noncompliance.</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the state of California, the California Consumer Privacy Act (“CCPA”), which provides certain privacy rights and consumer protection for residents of the state became effective in 2020, and the California Privacy Rights Act, which amends and expands the CCPA, went into effect on January 1,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 require notification to data subjects, including customers and others, when there is a security breach of personal data. The CCPA also created a private right of action with statutory damages for certain data breaches, thereby potentially increasing risks associated with a data breach. The effects of state data protection laws are significant and may cause Embecta to incur substantial costs and expenses to ensure ongoing compliance. If Embecta fails to comply with these regulations, it could be subject to civil sanctions, including fines and penalties for noncompliance.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Embecta could be subject to audits in Europe and around the world, particularly in the areas of consumer and data protection, as Embecta continues to grow and expand its operations. Legislators and regulators may make legal and regulatory changes, or interpret and apply existing laws, in ways that make Embecta’s products less useful to users, require us to incur substantial costs, expose us to unanticipated civil or criminal liability, or cause us to change Embecta’s business practices. These changes or increased costs could affect Embecta’s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at one of Embecta's facilities could adversely affect our business and operating results.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Although Embecta operates in multiple locations, manufacturing of its pen needles and syringes is conducted, and its components for such products are primarily stored, at its facilities in the United States, Ireland and China. Political or financial instability, currency fluctuations, the outbreak of pandemics such as COVID-19, labor unrest, transport capacity and costs, port security, supply chain disruptions, wars, weather conditions, natural disasters, or other events that could slow or disrupt port activities and affect foreign trade are beyond Embecta’s control and could materially disrupt its supply of product from any of these locations, increase its costs, and/or adversely affect its results of operations. Further, following the COVID-19 pandemic there may be increased pressure for United States medical device companies to reduce dependency on China for their supply chain and reevaluating nearshoring strategies. Embecta takes precautions to ensure that its third-party contractors and logistics entities safeguard Embecta’s assets, including insurance, health and safety protocols, and off-site storage of computer data. However, a natural or other disaster, such as a fire or flood, could cause substantial delays in Embecta’s operations, damage or destroy its manufacturing equipment and/or inventory and cause it to incur additional expenses. The insurance Embecta maintains may not be adequate to cover its losses in any particular case. With or without insurance, damage to Embecta’s facility, manufacturing equipment, inventory or other property or to any of its suppliers, may have a material adverse effect on Embecta’s business, financial condition and results of operations.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significant amount of Embecta’s inventories of finished goods is stored in distribution centers around the world, but primarily in various distribution centers in the United States and Europe. Embecta takes precautions to safeguard its facilities and data infrastructure. However, vandalism, terrorism, unplanned power outages, cyberattacks or a natural disaster, such as an earthquake, fire or flood, or other catastrophic event, could damage or destroy Embecta’s inventories of component supplies and finished goods, cause substantial delays in its operations, result in the loss of key information, result in reduced sales, and cause Embecta to incur additional expenses. Embecta’s insurance coverage may not be sufficient to provide coverage with respect to the damages incurred in any particular case, and its insurance carrier may deny coverage with respect to all or a portion of its claims. Regardless of the level of insurance coverage or other precautions taken, damage to Embecta’s facilities may have a material adverse effect on is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may be inadequate or unavailable to cover any product liability losses Embecta incurs.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Embecta’s business exposes it to potential product liability claims that are inherent in the design, manufacture, testing, inspection, and sale of medical devices. Embecta is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Embecta launches new products with new features or enters new markets where it has no prior experience selling its products and relies on newly-hired staff or new independent distributors or contractors to provide new customer training and customer support. In addition, the misuse of Embecta’s products or the failure of customers to adhere to operating guidelines could cause significant harm to customers, including death, which could result in product liability claims. Product liability lawsuits and claims, safety alerts or product recalls, with or without merit, regardless of any available insurance coverage, could cause Embecta to incur substantial costs, and could place a significant strain on its financial resources, divert the attention of management from Embecta’s core business, harm Embecta’s reputation and adversely affect its ability to attract and retain customers, any of which could have a material adverse effect on Embecta’s business, financial condition and results of operations.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a number of restrictive covenants under its indebtedness, including customary operating restrictions and financial covenants, which could restrict Embecta's ability to pay dividends or adversely affect its financing options and liquidity position.</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Embecta's current indebtedness contains, and any future indebtedness may contain, customary operating restrictions and financial covenants. This indebtedness may adversely affect Embecta's ability to operate or grow its business or could have other material adverse consequences, including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obtain additional financing in the future for working capital, capital expenditures and acquisitions;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refinance its indebtedness on terms acceptable to Embecta or at all;</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Embecta's operations or development plans;</w:t>
      </w:r>
    </w:p>
    <w:p>
      <w:pPr>
        <w:ind w:left="660" w:hanging="328"/>
        <w:spacing w:after="0" w:line="24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Embecta to dedicate a significant portion of its cash flows from operations to paying amounts due under its indebtedness, thereby reducing funds available for other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Embecta's ability to pay dividends;</w:t>
      </w:r>
    </w:p>
    <w:p>
      <w:pPr>
        <w:ind w:left="660" w:hanging="328"/>
        <w:spacing w:after="0" w:line="23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Embecta more vulnerable to economic downturns; or</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withstand competitive pressures.</w:t>
      </w:r>
    </w:p>
    <w:p>
      <w:pPr>
        <w:spacing w:after="0" w:line="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Any of these restrictions on Embecta's ability to operate its business in its discretion could adversely affect its business by, among other things, limiting Embecta's ability to adapt to changing economic, financial or industry conditions and to take advantage of corporate opportunities, including opportunities to obtain debt financing, repurchase stock, refinance or pay principal on Embecta's outstanding debt, dispose of property, complete acquisitions for cash or debt, or make other investments. In addition, events beyond Embecta's control, including prevailing economic, financial, and industry conditions, could affect Embecta's ability to satisfy applicable financial covenants, and Embecta cannot assure you that it will satisfy them.</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failure to comply with the restrictions of Embecta's current indebtedness, or any future financing agreements, including as a result of events beyond Embecta's control, may result in an event of default under these agreements, which in turn may result in defaults or acceleration of obligations under these agreements and other agreements, giving Embecta's lenders and other debt holders the right to terminate any commitments they may have made to provide Embecta with further funds and to require Embecta to repay all amounts then outstanding.</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is subject to risks associated with public health threats, such as the COVID-19 pandemic, which could have a material adverse effect on Embecta's financial condition and results of operation.</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is subject to risks associated with public health threats, such as the COVID-19 pandemic. Public health threats have the potential to significantly impact Embecta’s supply chain if the manufacturing plants that produce its products, raw materials or product components, the distribution centers where Embecta manages its inventory or the operations of its logistics and other service providers, including third parties that sterilize its products, are disrupted, temporarily closed or experience worker shortages for a sustained period of time.</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Embecta’s manufacturing sites in China, Ireland and the United States, where Embecta manufactures a significant amount of products, largely avoided any significant disruption due to the COVID-19 pandemic. However, notwithstanding that each of these communities has experienced a relative recovery in COVID-19 transmission and a lessening of restrictions related to COVID-19, a future outbreak of a public health threat, including COVID-19, at any of Embecta’s manufacturing sites in China, Ireland and/or the United States or in the surrounding communities, could lead to delays in the manufacturing of Embecta’s products, which could have a material adverse effect on Embecta’s business and results of operations.</w:t>
      </w:r>
    </w:p>
    <w:p>
      <w:pPr>
        <w:spacing w:after="0" w:line="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Moreover, any resurgence in COVID-19 infections, including due to new variants of the virus for which current vaccines may not be effective, and public health measures could result in the imposition of new governmental lockdowns, quarantine requirements or other restrictions to slow the spread of the virus. The extent to which fear of exposure to or actual effects of COVID-19, new variants, disease outbreak, epidemic or a similar widespread health concern impacts our business will depend on future developments, which are highly uncertain and cannot be predicted with confidence, such as the speed and extent of geographic spread of the disease, the duration of the outbreak, travel restrictions, the efficacy of vaccination and treatment; impact on the U.S. and international healthcare systems, the U.S. economy and worldwide economy, the timing, scope and effectiveness of U.S. and international governmental response, and the impact on the health, well-being and productivity of our employee. These could result in closures or other restrictions that significantly disrupt Embecta’s operations or those of distributors or suppliers in Embecta’s supply chain, which could adversely affect Embecta's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 from BD</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has a limited history of operating as an independent company, and its historical financial information may not be a reliable indicator of its future results.</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historical information about Embecta in this Annual Report on Form 10-K refers to the diabetes care business as operated by and integrated with BD. Certain historical financial information of Embecta’s fiscal year 2022 included in this Annual Report on Form 10-K is derived from the accounting records of BD. Accordingly, certain historical financial information included in this Annual Report on Form 10-K does not necessarily reflect the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operations or cash flows that we would have achieved in previous fiscal years as a separate, publicly traded company during such periods or those that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will achieve in the future primarily as a result of the factors described below:</w:t>
      </w:r>
    </w:p>
    <w:p>
      <w:pPr>
        <w:spacing w:after="0" w:line="97" w:lineRule="exact"/>
        <w:rPr>
          <w:sz w:val="20"/>
          <w:szCs w:val="20"/>
          <w:color w:val="auto"/>
        </w:rPr>
      </w:pPr>
    </w:p>
    <w:p>
      <w:pPr>
        <w:jc w:val="both"/>
        <w:ind w:left="660" w:hanging="328"/>
        <w:spacing w:after="0" w:line="24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prior to the Separation, Embecta’s working capital requirements and capital for its general corporate purposes, including capital expenditures and acquisitions, were historically satisfied as part of the corporate-wide cash management policies of BD. On a going forward basis, Embecta’s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Embecta’s business was operated by BD as part of its broader corporate organization, rather than as an independent company. BD or one of its affiliates performed various corporate functions for us, such as legal, treasury, accounting, auditing, human resources, investor relations, and finance. The historical financial results for the periods prior to the Separation reflect allocations of corporate expenses from BD for such functions, which are likely to be less than the expenses we would have incurred had we operated as a separate publicly traded company.</w:t>
      </w:r>
    </w:p>
    <w:p>
      <w:pPr>
        <w:spacing w:after="0" w:line="69"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business shared economies of scope and scale in costs, employees, vendor relationships and customer relationships with BD. While we have sought to minimize the impact on Embecta when separating these arrangements, there is no guarantee these arrangements will continue to capture these benefits in the future. While Embecta has entered into transition agreements that govern certain commercial and other relationships between it and BD, those arrangements may not capture the benefits to Embecta's business that resulted from being integrated with the other affiliates of BD.</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Embecta’s business utilized the advantage of BD’s overall size and scope to procure more advantageous arrangements. As a standalone company, Embecta may be unable to obtain similar arrangements to the same extent as BD did, or on terms as favorable as those BD obtained, prior to completion of the Separation.</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capital for Embecta’s business may be higher than when Embecta was integrated with BD and leveraged BD’s cost of capital.</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changes may occur in Embecta’s cost structure, management, effective tax rate, financing and business operations as a result of operating as a company separate from BD. For additional information about the past financial performance of its business and the basis of presentation of the historical combined financial statements, see Item 7 and Item 8 of this Annual Report on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the Separation, Embecta’s financial profile has changed, and it is a smaller, less diversified company than BD prior to the Separation.</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Separation has resulted in Embecta being a smaller, less diversified company than BD. As a result, Embecta may be more vulnerable to changing market conditions, which could have a material adverse effect on its business, financial condition and results of operations. In addition, the diversification of Embecta’s revenues, costs, and cash flows has diminished as a standalone company, such that its results of operations, cash flows, working capital and financing requirements may be subject to increased volatility and its ability to fund capital expenditures and investments, pay dividends and service debt may be diminished. We also have less capital allocation efficiency and flexibility, as Embecta no longer has access to cash flows from BD to fund Embecta’s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may not achieve some or all of the expected benefits of the Separation.</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Embecta may not be able to achieve the full strategic and financial benefits expected to result from the Separation, or such benefits may be delayed or not occur at all. The Separation is expected to provide the following benefits, among others: (1) enabling management of Embecta to more effectively pursue the distinct operating priorities and strategies of its business; (2) permitting Embecta to allocate financial resources to meet the unique needs of its business, which will allow us to intensify our focus on distinct strategic priorities and to more effectively pursue our own distinct capital structures and capital allocation strategies; (3) allowing Embecta to more effectively articulate a clear investment thesis to attract a long-term investor base suited to our business and providing investors with a distinct and targeted investment opportunity; (4) creating an independent equity security tracking Embecta’s underlying business, affording Embecta with direct access to the capital markets and facilitating its ability to consummate future acquisitions or other transactions using its common stock; and (5) permitting Embecta to more effectively recruit, retain and motivate employees through the use of stock-based compensation that more closely aligns management and employee incentives with specific business goals and objectives related to Embecta’s business.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 may not achieve these and other anticipated benefits for a variety of reasons, including, among others: (1) the ongoing transition and separation activities may demand significant management resources and require significant amounts of management’s time and effort, which may divert management’s attention from operating and growing Embecta’s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spacing w:after="0" w:line="242" w:lineRule="auto"/>
        <w:rPr>
          <w:sz w:val="20"/>
          <w:szCs w:val="20"/>
          <w:color w:val="auto"/>
        </w:rPr>
      </w:pPr>
      <w:r>
        <w:rPr>
          <w:rFonts w:ascii="Times New Roman" w:cs="Times New Roman" w:eastAsia="Times New Roman" w:hAnsi="Times New Roman"/>
          <w:sz w:val="18"/>
          <w:szCs w:val="18"/>
          <w:color w:val="auto"/>
        </w:rPr>
        <w:t>business; (2) Embecta may be more susceptible to market fluctuations, and other adverse events than if it were still a part of BD because Embecta’s business is less diversified than BD’s businesses prior to the completion of the Separation; (3) as a standalone company, Embecta may be unable to obtain certain goods, services and technologies at prices or on terms as favorable as those BD obtained prior to completion of the Separation; (4) the Separation may require Embecta to pay costs that could be substantial and material to its financial resources, including accounting, tax, legal and other professional services costs, recruiting and relocation costs associated with hiring key senior management and personnel new to Embecta, tax costs and costs to separate information systems, including its enterprise resource planning systems; (5) under the terms of the tax matters agreement that Embecta entered into with BD, it is restricted from taking certain actions that could cause the distribution or certain related transactions to fail to qualify as tax-free to BD and BD shareholders, or could result in certain other taxes to BD, and these restrictions may limit us for a period of time from pursuing certain strategic transactions and equity issuances or engaging in other transactions that might increase the value of its business; and (6) the contractual arrangements between Embecta and BD are on less favorable terms than the prior existing intercompany arrangements from which Embecta benefited, and such arrangements may be inadequate to provide for the ongoing operation and growth of Embecta’s business. If Embecta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7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In order to conduct its operations and meet its financial reporting and other obligations, Embecta relies on certain services provided by BD pursuant to the transaction documents entered into with BD in connection with the Separation, including the TSA and the LSA. If Embecta is unable to extend the services on the terms contemplated by the Extension or replace the services that BD currently provides to it on terms that are at least as favorable to Embecta as the terms on which BD is providing these services, or if BD otherwise terminates any of the services, Embecta’s business, financial condition and results of operations may be materially adversely affected.</w:t>
      </w:r>
    </w:p>
    <w:p>
      <w:pPr>
        <w:spacing w:after="0" w:line="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Separation, Embecta and BD entered into various agreements, including a Separation and Distribution Agreement, a TSA, an LSA, a tax matters agreement, an employee matters agreement, a cannula supply agreement, contract manufacturing agreements, an intellectual property matters agreement, distribution agreements and other transaction agreements. See “Agreements Related to the Separation” in Item 1. Certain of these agreements provide for the performance of services by each company for the benefit of the other for a period of time after the Separation. Embecta relies on certain services provided by BD pursuant to the TSA, the LSA, and other transaction agreements entered into with BD in connection with the Separation, including with respect to information technology, procurement, quality and regulatory affairs, medical affairs, tax and treasury services, distribution logistics, shared services infrastructure support and enterprise resource planning, accounting and reporting and other systems, in order to conduct its operations and meet its financial reporting and other obligations. Embecta and BD have agreed to extend certain services under the TSA, the LSA and other transaction agreements in a limited set of markets, subject to the condition described below, to support the Interim Business Continuity Processes. The Extension is being entered into to reduce potential operational disruptions related to certain services that BD currently provides to Embecta pursuant to the TSA, the LSA, and other transaction agreements, which Embecta has determined will likely not be fully replaced prior to April 1, 2024, the date by which several such services were to terminate prior to the Extension. The Extension is conditioned upon BD obtaining the Supplemental PLR. Although Embecta believes that BD will be able to obtain the Supplemental PLR, such process may be delayed, the Supplemental PLR may not be obtained, and there can be no assurance that the Supplemental PLR will be obtained by March 31, 2024, or at all. If the Extension does not occur, Embecta’s business, financial condition and results of operations would be adversely affected.</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Embecta’s ability to effectively manage and operate its business depends significantly on the systems provided by BD. For example, Embecta currently relies upon BD to perform certain activities in markets in which it is unable to independently import, distribute, buy or sell certain products pending its receipt of required licenses, permits, and regulatory registrations. Embecta also relies on the services provided by BD to meet its financial reporting and other obligations. This includes relying on certain services from BD for material financial consolidation and reporting design and operation disclosure controls and procedures.</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Once the TSA, the LSA, and other transaction agreements, or any extension thereto, expire or terminate, if Embecta is unable to extend or replace the services that BD currently provides to it under the TSA, the LSA and other transaction agreements, until it is able to extend such services, complete the steps necessary to perform these services itself or otherwise materially replace these services on substantially similar terms and conditions, Embecta may not be able to effectively operate its business or maintain effective financial and management controls and reporting systems. This could impair Embecta’s ability to effectively sell, distribute and commercialize its products, generate revenue, comply with local regulatory regulations, meet SEC reporting obligations and internal control over financial reporting, maintain its stock exchange listing, service its existing indebtedness and comply with the debt covenants under its existing indebtedness. Any such occurrence may have a material adverse effect on Embecta’s business, financial condition and results of operations.</w:t>
      </w:r>
    </w:p>
    <w:p>
      <w:pPr>
        <w:spacing w:after="0" w:line="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Embecta may not be successful in timely, effectively or efficiently implementing these systems and services or in transitioning from BD’s systems to Embecta’s systems. Embecta will continue to engage in the process of creating its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spacing w:after="0" w:line="242" w:lineRule="auto"/>
        <w:rPr>
          <w:sz w:val="20"/>
          <w:szCs w:val="20"/>
          <w:color w:val="auto"/>
        </w:rPr>
      </w:pPr>
      <w:r>
        <w:rPr>
          <w:rFonts w:ascii="Times New Roman" w:cs="Times New Roman" w:eastAsia="Times New Roman" w:hAnsi="Times New Roman"/>
          <w:sz w:val="18"/>
          <w:szCs w:val="18"/>
          <w:color w:val="auto"/>
        </w:rPr>
        <w:t>own, or engaging third parties separate from BD to provide, systems and services to replace many of the systems and services that BD currently provides to Embecta once the TSA, the LSA and other transaction agreements, or any extension thereto, expires or is terminated including, for example, information technology infrastructure, enterprise resource planning and other systems, logistics, employee, customer, vendor and accounting support services, distribution and regulatory support and services and accounting and reporting systems. Embecta expects this process to be complex, time-consuming and costly. Embecta may incur temporary interruptions in business operations if it cannot transition effectively from BD’s existing operating systems, logistics, distribution and regulatory support, databases and programming languages that support these functions to its own systems. The failure to implement the new systems and transition data successfully and cost-effectively could disrupt Embecta’s business operations, including preventing Embecta from paying suppliers and employees, receiving revenue from its customers, entering into new agreements, selling or delivering products in certain jurisdictions, complying with financial reporting and other obligations and performing administrative or other services on a timely basis, which could adversely affect Embecta’s financial condition and results of operations. In addition, Embecta’s costs for the operation of these systems may be higher than the amounts reflected in its historical combined financial statements.</w:t>
      </w:r>
    </w:p>
    <w:p>
      <w:pPr>
        <w:spacing w:after="0" w:line="144"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Following the end of the transition period, Embecta will be required to rebrand its products to remove the BD name, transfer or obtain new manufacturing, supply chain, regulatory and product licenses and registrations in the name of Embecta, which could adversely affect its ability to attract and maintain customers and end users or which could result in delays or interruptions of Embecta's commercialization and distribution operations or the loss of customers and revenue, all of which could adversely affect its financial conditions and results of operations.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 has historically marketed its products using the “BD” name and logo, which is a globally recognized brand with a strong reputation for high-quality products among people with diabetes and Embecta’s distributors. Under the terms of the agreements entered into with BD in connection with the Separation and Distribution, Embecta received a temporary license to use the “BD” and “Becton Dickinson” name and logo on its products and marketing, certain legal entities and relevant regulatory registrations. Following the expiration of this license, Embecta will be required to rebrand and update, as applicable, its products and marketing, manufacturing, supply chain, and regulatory registrations and licenses using the “Embecta” name or other names and marks and remove the “BD” name and logo on its products and marketing, registrations and licenses. These new names and brands may not benefit from the same recognition and association with product quality as the BD name, which could adversely affect Embecta’s ability to attract and maintain its customers and end users, who may prefer to use products with a stronger brand identity.</w:t>
      </w:r>
    </w:p>
    <w:p>
      <w:pPr>
        <w:spacing w:after="0" w:line="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failure to timely transfer, or in certain instances obtain new, registrations and licenses in the “Embecta” name could result in delays or interruptions in Embecta’s ability to continuously commercialize, import, export, market, promote, sell and otherwise distribute its products to its customers. This could result in customer dissatisfaction and turnover to our competitors, which could further result in loss of revenue for Embecta. In addition, Embecta will be required to closely collaborate with its customers, and ensure the proper changes, modifications, system inputs, supply chain logistics, administration, and adjudication operations are properly transitioned within the customer’s internal infrastructure, processes and systems, in order to successfully achieve the transition. Embecta’s or its customer’s inability to properly achieve these transitions could result in disruptions to Embecta’s product end-to-end product flow management and end-user access to products, which could adversely affect Embecta’s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has incurred debt obligations that could adversely affect its business and profitability and its ability to meet other obligations.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Embecta currently has approximately $1,636 million in aggregate principal amount of indebtedness outstanding as of September 30, 2023 (not including undrawn commitments of $500 million under its revolving credit facility). Embecta may also incur additional indebtedness in the future.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significant amount of debt could potentially have important consequences to Embecta and its debt and equity investors, including:</w:t>
      </w:r>
    </w:p>
    <w:p>
      <w:pPr>
        <w:spacing w:after="0" w:line="10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its cash flow from operations to make interest payments;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its debt, which could increase future debt costs and limit the future availability of debt financing;</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general adverse economic and industry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its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flexibility in planning for, or reacting to, changes in its business and the industry;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Embecta at a competitive disadvantage relative to its competitors that may not be as highly leveraged with debt; and</w:t>
      </w:r>
    </w:p>
    <w:p>
      <w:pPr>
        <w:spacing w:after="0" w:line="4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Embecta’s ability to borrow additional funds as needed or take advantage of business opportunities as they arise, pay cash dividends or repurchase ordinary shares.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Embecta incurs additional indebtedness, the foregoing risks could increase. In addition, Embecta’s actual cash requirements in the future may be greater than expected. Its cash flow from operations may not be sufficient to repay all of the outstanding debt as it becomes due, and Embecta may not be able to borrow money, sell assets or otherwise raise funds on acceptable terms, or at all, to refinance its debt.</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 may be affected by significant restrictions under the tax matters agreement, including on its ability to engage in certain corporate transactions for a two-year period after the distribution, in order to avoid triggering significant tax-related liabilities.</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current United States federal income tax law, a spin-off that otherwise qualifies for tax-free treatment can be rendered taxable to the parent corporation and its stockholders as a result of certain post-spin-off transactions, including certain acquisitions of shares or assets of the spun-off corporation. Under the tax matters agreement that Embecta entered into with BD, Embecta is restricted from taking certain actions that could prevent the distribution and certain related transactions from being tax-free for United States federal income tax purposes, or could result in certain other taxes to BD. In particular, under the tax matters agreement, for the two-year period following the Separation Date, as described in the section entitled “Agreements Related to the Separation,” in Item 1 of this Annual Report on Form 10-K, Embecta is subject to specific restrictions on its ability to pursue or enter into acquisition, merger, sale and redemption transactions with respect to Embecta stock. These restrictions may limit Embecta’s ability to pursue certain strategic transactions or other transactions that it may believe to be in the best interests of its stockholders or that might increase the value of its business. In addition, under the tax matters agreement, Embecta may be required to indemnify BD and its affiliates against any tax-related liabilities incurred by them as a result of the acquisition of Embecta’s stock or assets, even if Embecta does not participate in or otherwise facilitate the acquisition, or as a result of certain other actions taken by Embecta. Furthermore, Embecta will be subject to specific restrictions on discontinuing the active conduct of its trade or business, the issuance or sale of stock or other securities (including securities convertible into Embecta stock but excluding certain compensatory arrangements), and sales of assets outside the ordinary course of business. Such restrictions may reduce Embecta’s strategic and operating flexibility. For more information, see the section entitled “Agreements Related to the Separation” in Item 1 of this Annual Report on Form 10-K.</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Embecta may be held liable to BD if it fails to perform under its agreements with BD, and the performance of such services may negatively affect Embecta’s business and operations.</w:t>
      </w:r>
    </w:p>
    <w:p>
      <w:pPr>
        <w:spacing w:after="0" w:line="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Separation, Embecta and BD entered into various Separation Agreements that provide for the performance of certain services by each company for the benefit of the other for a period of time after the Separation. If Embecta does not satisfactorily perform its obligations under these agreements, it may be held liable for any resulting losses suffered by BD, subject to certain limits. In addition, during the transition services periods under the transition services agreement, Embecta’s management and employees may be required to divert their attention away from its business in order to provide services to BD, which could adversely affect Embecta’s business.</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Embecta’s agreements with BD may be on terms that are less beneficial to Embecta than the terms may have otherwise been from unaffiliated third parties.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Separation Agreements were prepared in the context of the Separation while Embecta was still a wholly owned subsidiary of BD. Accordingly, during the period in which the terms of those agreements were prepared, Embecta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there is a determination that the distribution or certain related transactions are taxable for United States federal income tax purposes, BD and its stockholders could incur significant tax liabilities, and Embecta could incur significant liabilities pursuant to its indemnification obligations under the tax matters agreement.</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BD received a private letter ruling from the Internal Revenue Service (“IRS”) to the effect that, among other things, the Separation and the Distribution will qualify as a transaction that is tax-free for United States federal income tax purposes under Sections 368(a)(1)(D), 355, and 361 of the Internal Revenue Code of 1986, as amended (the “Code”). It was a condition to the distribution that BD receive (i) a private letter ruling from the IRS, satisfactory to the BD Board of Directors, regarding certain United States federal income tax matters relating to the Separation and Distribution and (ii) an opinion of its outside tax counsel, satisfactory to the BD Board of Directors, regarding the qualification of the contribution of assets from BD to Embecta and the distribution, taken together, as a “reorganization” within the meaning of Sections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spacing w:after="0" w:line="247" w:lineRule="auto"/>
        <w:rPr>
          <w:sz w:val="20"/>
          <w:szCs w:val="20"/>
          <w:color w:val="auto"/>
        </w:rPr>
      </w:pPr>
      <w:r>
        <w:rPr>
          <w:rFonts w:ascii="Times New Roman" w:cs="Times New Roman" w:eastAsia="Times New Roman" w:hAnsi="Times New Roman"/>
          <w:sz w:val="18"/>
          <w:szCs w:val="18"/>
          <w:color w:val="auto"/>
        </w:rPr>
        <w:t>368(a)(1)(D) and 355 of the Code and such opinion has not been withdrawn or rescinded. The opinion of its outside tax counsel and the private letter ruling are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or the private letter ruling, and the conclusions reached therein could be jeopardized. Further, the Extension is conditioned upon BD obtaining the Supplemental PLR.</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Notwithstanding BD’s receipt of a private letter ruling from the IRS and the opinion of its outside tax counsel, the IRS could determine on audit that the distribution or certain related transactions are taxable for United States federal income tax purposes if it determines that any of the facts, assumptions, representations, statements and undertakings upon which the private letter ruling or the opinion was based are incorrect or have been violated, or if it disagrees with any of the conclusions in the opinion. Additionally, although Embecta believes that BD will be able to obtain the Supplemental PLR, such process may be delayed, the Supplemental PLR may not be obtained, and there can be no assurance that the Supplemental PLR will be obtained by March 31, 2024, or at all. Accordingly, notwithstanding BD’s receipt of a private letter ruling from the IRS and the opinion of its outside tax counsel, there can be no assurance that the IRS will not assert that the distribution or certain related transactions do not qualify for tax-free treatment for United States federal income tax purposes, or that a court would not sustain such a challenge. In the event the IRS were to prevail in such a challenge, BD and BD’s shareholders could incur significant tax liabilities.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tax matters agreement that Embecta entered into with BD, Embecta generally is required to indemnify BD for any taxes incurred by BD that arise as a result of any representations made by Embecta being inaccurate or Embecta taking or failing to take, as the case may be, certain actions, including in each case those provided in connection with the private letter ruling from the IRS or the opinion of its outside tax counsel that result in the distribution and certain related transactions failing to qualify as tax-free for United States federal income tax purposes or result in certain other taxes to BD, which indemnity is also applicable in connection with the Extension. Any such indemnification could materially adversely affect Embecta’s financial</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condition, results of operations and cash flows. For a more detailed discussion, see “Agreements Related to the Separation” in Item 1 of this Annual Report on Form 10-K.</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separation and distribution agreement provides that certain contracts, permits and other assets and rights are to be transferred from BD or its subsidiaries to Embecta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Embecta and BD are joint beneficiaries of contracts, and Embecta and BD may need the consents of third parties in order to split or separate the existing contracts or the relevant portion of the existing contracts to Embecta or BD.</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Some parties may use consent requirements or other rights to seek to terminate contracts or obtain more favorable contractual terms from us, which, for example, could take the form of unfavorable price increases. This could require us to expend additional resources in order to obtain the services or assets previously provided under the contract, or require us to seek arrangements with new third parties or obtain letters of credit or other forms of credit support. If Embecta is unable to obtain required consents or approvals, it may be unable to obtain the benefits, permits, assets and contractual commitments that are intended to be allocated to Embecta as part of its Separation from BD, and Embecta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Embecta’s business, financial condition, results of operations and cash flows.</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closing of the Separation was deferred in certain jurisdictions, and may not occur at all in such jurisdictions, due to local regulatory requirements, which may adversely affect Embecta’s manufacturing, business, financial condition and results of operations.</w:t>
      </w:r>
    </w:p>
    <w:p>
      <w:pPr>
        <w:spacing w:after="0" w:line="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closing of the transfer of certain assets related to the Diabetes Care Business in certain jurisdictions, including China, Mexico, and Italy, as contemplated by the Separation and Distribution Agreement did not occur at the Separation and may not occur due to local regulatory requirements. If Embecta is unable to obtain required approval of local regulators or otherwise comply with such local regulatory requirements to effect the Separation in these jurisdictions, it may be unable to obtain the assets that are intended to be allocated to Embecta as part of its separation from BD. A temporary suspension of manufacturing operations associated with the regulatory approvals and transitions, including for inspections, may be required. A temporary suspension of manufacturing operations has already been initiated in China. These temporary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suspensions, and any unforeseen delays in the termination of any suspension, may ultimately impact Embecta’s ability to continuously supply its products to such jurisdictions and any other markets that receive such products. The failure to timely complete the transfer of these local assets or interruptions resulting from these foreign transfers could negatively affect Embecta’s business, financial condition, results of operations and cash flows.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Satisfaction of indemnification obligations could have a material adverse effect on Embecta’s financial condition, results of operations and cash flows.</w:t>
      </w:r>
    </w:p>
    <w:p>
      <w:pPr>
        <w:spacing w:after="0" w:line="16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Pursuant to the Separation and Distribution Agreement and certain other agreements Embecta entered into with BD in connection with the separation and distribution, BD agreed to indemnify Embecta for certain liabilities, and Embecta will agree to indemnify BD for certain liabilities as discussed further in “Agreements Related to the Separation” in Item 1 of this Annual Report on Form 10-K. Indemnities that Embecta will be required to provide BD could negatively affect Embecta’s business, particularly with respect to indemnities provided in the tax matters agreement.</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indemnity from BD may not be sufficient to protect Embecta against the full amount of such liabilities if, for example, BD is not able to fully satisfy its indemnification obligations. Moreover, even if Embecta ultimately succeeds in recovering from BD any amounts for which it is held liable, Embecta may be temporarily required to bear these losses itself, requiring Embecta to divert cash that would otherwise have been used in furtherance of its operating business. In addition, third parties could also seek to hold Embecta responsible for any of the liabilities that BD has agreed to retain. Each of these risks could have a material adverse effect on Embecta’s financial condition, results of operations and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Embecta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Embecta common stock may fluctuate significantly, and stockholders could lose all or part of their investment in Embecta.</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cannot predict the prices at which shares of Embecta common stock may trade. Given the competitiveness of the life sciences and medical device industry, the prices at which shares of Embecta common stock trade may fluctuate more significantly than might otherwise be typical, even with other market conditions, including general volatility, held constant. This volatility could negatively impact Embecta’s ability to raise additional capital or utilize equity as consideration in any acquisition transactions Embecta may pursue, and could make it more difficult for existing stockholders to sell their shares of the common stock at a price they consider acceptable or at all. The market price of Embecta common stock may fluctuate significantly due to a number of factors, some of which may be beyond our control, including:</w:t>
      </w:r>
    </w:p>
    <w:p>
      <w:pPr>
        <w:spacing w:after="0" w:line="7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Embecta’s operating results, including those associated with the Interim Business Continuity Processes;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liquidity and ability to obtain additional capital, including the market’s reaction to any capital-raising transaction Embecta may pursue;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Embecta’s ability to meet those estimates;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Embecta’s common stock, or the perception that substantial amounts of Embecta’s common stock may be sold, by stockholders in the public market;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 under which Embecta operates;</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decisions by the FDA or similar regulatory bodies inside and outside of the United States regarding Embecta’s products and product candidates;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commodities prices;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76" w:lineRule="exact"/>
        <w:rPr>
          <w:rFonts w:ascii="Times New Roman" w:cs="Times New Roman" w:eastAsia="Times New Roman" w:hAnsi="Times New Roman"/>
          <w:sz w:val="18"/>
          <w:szCs w:val="18"/>
          <w:color w:val="auto"/>
        </w:rPr>
      </w:pPr>
    </w:p>
    <w:p>
      <w:pPr>
        <w:ind w:left="660" w:right="20" w:hanging="328"/>
        <w:spacing w:after="0" w:line="239"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changes in the diabetes care landscape, including changes to consumer habits and market dynamics for means and methods of insulin delivery or alternative means of diabetes management without the use of insulin or by delaying the use of insulin; and</w:t>
      </w:r>
    </w:p>
    <w:p>
      <w:pPr>
        <w:spacing w:after="0" w:line="3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companies in the life sciences and medical device industries in particular, has experienced extreme price and volume fluctuations that have often been unrelated or disproportionate to the operating performance of comparable companies. In the past, following periods of volatility in the overall market and the market price of a particular company’s securities, securities class action litigation has often been instituted against a company. This type of litigation, if instituted against Embecta, could result in substantial costs and a diversion of its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Embecta may be diluted in the future.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future, your percentage ownership in Embecta may be diluted because of equity issuances for acquisitions, capital market transactions or otherwise, including any equity awards that Embecta will grant to its directors, officers and employees. Embecta employees will have stock-based awards granted from time to time based on various employee benefit plans. Such awards will have a dilutive effect on Embecta’s earnings per share, which could adversely affect the market price of Embecta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Embecta cannot guarantee the timing, amount or payment of dividends on its common stock.</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currently expects that it will pay a regular cash dividend. However, the timing, declaration, amount and payment of any dividends will be within the discretion of Embecta’s Board of Directors, and will depend upon many factors, including Embecta’s financial condition, earnings, capital requirements of its operating subsidiaries, covenants associated with certain of Embecta’s debt service obligations, legal requirements, regulatory constraints, industry practice, ability to access capital markets, and other factors deemed relevant by Embecta’s Board of Directors. Moreover, Embecta cannot guarantee that it will continue to pay any dividends in the future and cannot guarantee the amount of any such dividends.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could enable Embecta’s Board of Directors to resist a takeover attempt by a third-party and limit the power of its stockholders.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Embecta’s Board of Directors rather than to attempt a hostile takeover. These provisions include, among others:</w:t>
      </w:r>
    </w:p>
    <w:p>
      <w:pPr>
        <w:spacing w:after="0" w:line="69" w:lineRule="exact"/>
        <w:rPr>
          <w:sz w:val="20"/>
          <w:szCs w:val="20"/>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annual stockholder meeting in 2026, Embecta’s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Board of Directors is classified, Embecta directors can be removed by stockholders only for cause;</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occurring on the Board of Directors can only be filled by a majority of the remaining members of Embecta’s Board of Directors or by a sole remaining director;</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do not have the right to call a special meeting or act by written consent;</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Board of Directors has the power to designate and issue, without any further vote or action by the Embecta stockholders, shares of preferred stock from time to time in one or more series; and</w:t>
      </w: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have to follow certain procedures and notice requirements in order to present certain proposals or nominate directors for election at stockholder meetings.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Embecta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these provisions will protect Embecta stockholders from coercive or otherwise unfair takeover tactics by requiring potential acquirers to negotiate with Embecta’s Board of Directors and by providing the Board with more time to assess any acquisition proposal. These provisions are not intended to make Embecta immune from takeovers; however, these provisions will apply even if the offer may be considered beneficial by some stockholders and could delay or prevent an acquisition that Embecta’s Board of Directors determines is not in the best interests of Embecta and its stockholders. These provisions may also prevent or discourage attempts to remove and replace incumbent directors.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 acquisition or further issuance of Embecta common stock could trigger the application of Section 355(e) of the Code, causing the distribution to be taxable to BD. Under the tax matters agreement, Embecta would be required to indemnify BD for the resulting tax, and this indemnity obligation might discourage, delay or prevent a change of control that Embecta stockholders may consider favorable.</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Embecta’s amended and restated certificate of incorporation designates the state courts within the State of Delaware as the sole and exclusive forum for certain types of actions and proceedings that may be initiated by Embecta stockholders, which could discourage lawsuits against Embecta and its directors and officers.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Embecta’s amended and restated certificate of incorporation provides that, unless Embecta (through approval of the Board of Directors) consents in writing to the selection of an alternative forum, the Court of Chancery of the State of Delaware shall be the sole and exclusive forum for (1) any derivative action brought on behalf of Embecta, (2) any action asserting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jc w:val="both"/>
        <w:spacing w:after="0" w:line="241" w:lineRule="auto"/>
        <w:rPr>
          <w:sz w:val="20"/>
          <w:szCs w:val="20"/>
          <w:color w:val="auto"/>
        </w:rPr>
      </w:pPr>
      <w:r>
        <w:rPr>
          <w:rFonts w:ascii="Times New Roman" w:cs="Times New Roman" w:eastAsia="Times New Roman" w:hAnsi="Times New Roman"/>
          <w:sz w:val="18"/>
          <w:szCs w:val="18"/>
          <w:color w:val="auto"/>
        </w:rPr>
        <w:t>claim of breach of a fiduciary duty owed by any director or officer or other employee of Embecta to Embecta or Embecta’s stockholders, (3) any action asserting a claim against Embecta or any director or officer or other employee of Embecta arising pursuant to, or seeking to enforce any right, obligation or remedy under, any provision of the Delaware General Corporation Law (“DGCL”) or Embecta’s amended and restated certificate of incorporation or amended and restated bylaws (as either may be amended from time to time), (4) any action asserting a claim against Embecta or any director or officer or other employee of Embecta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of 1933, as amended, (the "Securities Act") or the Securities Exchange Act of 1934, as amended (the "Exchange Act") regardless of whether the state courts in the State of Delaware have jurisdiction over those claims. Although Embecta believes the exclusive forum provision benefits it by providing increased consistency in the application of law in the types of lawsuits to which it applies, the provision may limit the ability of Embecta stockholders to bring a claim in a judicial forum that such stockholders find favorable for disputes with Embecta or its directors or officers, and it may be costlier for Embecta stockholders to bring a claim in the Court of Chancery of the State of Delaware than other judicial forums, each of which may discourage such lawsuits against Embecta and its directors and officers.</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Embecta’s amended and restated certificate of incorporation includes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Embecta may incur additional costs associated with resolving such matters in other jurisdictions, which could negatively affect its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Embecta's corporate headquarters is located in Parsippany, New Jersey, USA. The Company also maintains secondary regional headquarters at leased office facilities in Eysins, Switzerland and Shanghai, China. The Company has a global research and development center in a leased office/lab facility located in Andover, Massachusetts, USA. Embecta has three manufacturing facilities located in Ireland, the United States, and China which occupy an aggregate of approximately 800,000 square feet of floor space. Due to certain regulatory requirements resulting in the delay of the local closing of the Separation in China, BD and its respective subsidiaries have agreed to hold the relevant Embecta assets in China for the use and benefit of Embecta and its respective subsidiaries entitled to such assets in this location and to manage and operate this business on behalf of Embecta in the ordinary course of business in accordance with the past practice of the Diabetes Care Business. Embecta and BD have agreed to defer this local affiliate closing at this location to the time when such regulatory approvals are received.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from time to time subject to claims and litigation arising in the ordinary course of business. These claims and litigation may include, among other things, allegations of violations of United States and foreign health regulation and privacy laws and related regulations, as well as claims or litigation relating to product liability, intellectual property, breach of contract and tort, environmental, securities and employment matters. We operate in multiple jurisdictions and, as a result, claims in one jurisdiction may lead to claims or regulatory penalties in other jurisdictions. There can be no assurance as to the ultimate outcome of a legal proceeding; however, we intend to defend vigorously against any pending or future claims and litigation, other than matters deemed appropriate for settlement. We accrue a liability for legal claims when payments associated with the claims become probable and the costs can be reasonably estimated. The actual costs of resolving legal claims may be substantially higher or lower than the amounts accrued for those claims. As of September 30, 2023, we were not a party to or subject to any material proceedings.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Embecta’s common stock is listed on the Nasdaq Global Select Market ("Nasdaq") under the symbol "EMBC". As of October 31, 2023, there were approximately 6,900 stockholders of record. This number does not include beneficial owners who hold Embecta's common stock in nominee or "street name" accounts through brokers or banks.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September 30, 2023, Embecta did not repurchase any of its outstanding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2022, Embecta's Board of Directors declared a quarterly dividend of $0.15 for each issued and outstanding share of Embecta's common stock. The dividend was paid on January 11, 2023 to stockholders of record at the close of business on December 30, 2022.</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2023, Embecta's Board of Directors declared a quarterly dividend of $0.15 for each issued and outstanding share of Embecta's common stock. The dividend was paid on March 13, 2023 to stockholders of record at the close of business on February 27, 2023.</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2023, Embecta's Board of Directors declared a quarterly dividend of $0.15 for each issued and outstanding share of Embecta's common stock. The dividend was paid on June 13, 2023 to stockholders of record at the close of business on May 29, 2023.</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2023, Embecta's Board of Directors declared a quarterly dividend of $0.15 for each issued and outstanding share of Embecta's common stock. The dividend was paid on September 13, 2023 to stockholders of record at the close of business on August 25, 2023.</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21, 2023, Embecta's Board of Directors declared a quarterly dividend of $0.15 for each issued and outstanding share of Embecta's common stock. The dividend is payable on December 15, 2023 to stockholders of record at the close of business on December 4,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returns for the period from the Separation Date of April 1, 2022 to September 30, 2023 for</w:t>
      </w:r>
    </w:p>
    <w:p>
      <w:pPr>
        <w:spacing w:after="0" w:line="16" w:lineRule="exact"/>
        <w:rPr>
          <w:sz w:val="20"/>
          <w:szCs w:val="20"/>
          <w:color w:val="auto"/>
        </w:rPr>
      </w:pPr>
    </w:p>
    <w:p>
      <w:pPr>
        <w:jc w:val="both"/>
        <w:ind w:firstLine="8"/>
        <w:spacing w:after="0" w:line="241" w:lineRule="auto"/>
        <w:tabs>
          <w:tab w:leader="none" w:pos="2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common stock; (ii) the Nasdaq Composite Index; (iii) the Dow Jones U.S. Select Medical Equipment Index which is comprised of medical equipment companies; and (iv) the S&amp;P Smallcap 600 Health Care Index. For the year ended September 30, 2023, the Company has elected to present the S&amp;P Smallcap 600 Healthcare index for its peer group comparison. The Company believes that the holdings of this index more accurately reflect its peer companies. Since the Dow Jones U.S. Select Medical Equipment Index was presented in the prior year, it has also been presented in the current year for comparison purposes. The graph assumes an investment of $100 on April 1, 2022 through the last trading day of the year ended September 30, 2023. The calculation of cumulative stockholder return includes reinvestment of dividends in the common stock and in each index. The performance shown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1553845</wp:posOffset>
            </wp:positionH>
            <wp:positionV relativeFrom="page">
              <wp:posOffset>671830</wp:posOffset>
            </wp:positionV>
            <wp:extent cx="4440555" cy="3686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44055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three months ended September 30,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Consolidated Financial Statements and accompanying notes presented in Item 8 of this Annual Report on Form 10-K. Within the tables presented throughout this discussion, certain columns may not add due to the use of rounded numbers for disclosure purposes. Percentages and earnings per share amounts presented are calculated from the underlying amounts. Dollar amounts are in millions except per share amounts or as otherwise specified. References to years throughout this discussion relate to our fiscal years, which end on September 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As we approach our 100-year centennial, we believe that our products have become one of the most widely recognized and respected brands in diabetes management throughout the world. We estimate that our products are used by more than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which are complemented by our proprietary digital application designed to assist people with managing their diabetes. Our conventional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conventional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BD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Separation and Distribution Agreement, the Separation from BD was completed on April 1, 2022. On March 22, 2022, the record date for the distribution, 57,012,925 issued and outstanding shares of Embecta common stock were distributed pro-rata to BD stockholders as of the close of business, determined by applying a ratio of one share of Embecta common stock for every five shares of BD common stock. "Regular-way" trading of Embecta common stock began on April 1, 2022, under the ticker symbol "EMBC".</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the Company was referred to as the Diabetes Care Business. For periods prior to April 1, 2022, the Consolidated Financial Statements in Item 8 of this Annual Report on Form 10-K included certain assets and liabilities that were historically held at the BD corporate level, but are specifically identifiable or otherwise allocable to the Diabetes Care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Post Separation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periods subsequent to April 1, 2022, as a standalone publicly traded company, Embecta presents its financial statements on a consolidated basis. The Consolidated Financial Statements in Item 8 of this Annual Report on Form 10-K have been prepared in accordance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Pricing Pressures.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r>
        <w:rPr>
          <w:rFonts w:ascii="Times New Roman" w:cs="Times New Roman" w:eastAsia="Times New Roman" w:hAnsi="Times New Roman"/>
          <w:sz w:val="18"/>
          <w:szCs w:val="18"/>
          <w:color w:val="70AD47"/>
        </w:rPr>
        <w:t>.</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anti-diabetic drugs (e.g., SGLT-2s), GLP-1s and GLP-1 combination products have delayed initiation of insulin therapy and contributed to less demand for our products. New drug therapies in development are targeted to challenge the current diabetes treatment paradigm, including insulin use. Insulin therapy in developed markets continues to transition to infusion pumps.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jc w:val="both"/>
        <w:spacing w:after="0" w:line="246" w:lineRule="auto"/>
        <w:rPr>
          <w:sz w:val="20"/>
          <w:szCs w:val="20"/>
          <w:color w:val="auto"/>
        </w:rPr>
      </w:pPr>
      <w:r>
        <w:rPr>
          <w:rFonts w:ascii="Times New Roman" w:cs="Times New Roman" w:eastAsia="Times New Roman" w:hAnsi="Times New Roman"/>
          <w:sz w:val="18"/>
          <w:szCs w:val="18"/>
          <w:color w:val="auto"/>
        </w:rPr>
        <w:t>We continue to monitor and respond to the escalating conflict in Ukraine and the associated sanctions and other restrictions. We also are monitoring and responding to the Israel-Hamas war. As of November 29, 2023, there is no material impact to our business operations and financial performance in Ukraine and Israel.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and respond to the conflicts and assess the related restrictions and other effects on our business. See Item 1A of this Annual Report on Form 10-K for further details.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Results of Operations of fiscal year 2022 compared to fiscal year 2021 see our Annual Report on Form 10-K for the year ended September 30,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September 30, 2023 and 2022, our Consolidated Statements of Income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w:t>
            </w:r>
          </w:p>
        </w:tc>
      </w:tr>
      <w:tr>
        <w:trPr>
          <w:trHeight w:val="204"/>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33"/>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0"/>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33"/>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33"/>
        </w:trPr>
        <w:tc>
          <w:tcPr>
            <w:tcW w:w="8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September 30, 2023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year ended September 30, 2023 were as follows:</w:t>
      </w:r>
    </w:p>
    <w:p>
      <w:pPr>
        <w:spacing w:after="0" w:line="144"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$8.7 million to $1,120.8 million from $1,129.5 million;</w:t>
      </w:r>
    </w:p>
    <w:p>
      <w:pPr>
        <w:spacing w:after="0" w:line="144"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$25.0 million to $749.9 million, compared to $774.9 million. Gross profit as a percent of revenue was 66.9%, as compared to 68.6%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$88.1 million to $221.5 million from $309.6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$153.2 million to $70.4 million from $223.6 million.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revenues decreased by $8.7 million, or 0.8%, to $1,120.8 million for the twelve months ended September 30, 2023 as compared to revenues of $1,129.5 million for the twelve months ended September 30, 2022. The decrease in revenues was primarily driven by $26.5 million associated with the negative impact of foreign currency translation primarily due to the strengthening of the U.S. dollar and a $1.9 million decrease in contract manufacturing related to sales of non-diabetes products to BD. This was partially offset by $19.7 million of favorable changes in price and volume.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geographic region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w:t>
            </w:r>
          </w:p>
        </w:tc>
      </w:tr>
      <w:tr>
        <w:trPr>
          <w:trHeight w:val="3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2"/>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Cost of products sold increased by $16.3 million, or 4.6%, to $370.9 million for the year ended September 30, 2023 as compared to $354.6 million for the year ended September 30, 2022. Cost of products sold as a percentage of revenues were 33.1% for the year ended September 30, 2023 as compared to 31.4% for the year ended September 30, 2022. The increase in cost of products sold between periods was primarily driven by the impact of inflation on the costs of certain raw materials (including freight), direct labor, and overhead. The increase was also driven by higher costs associated with the Cannula Supply Agreement with BD post Separation. We intend to continue to work to improve productivity to help partially offset these increased costs.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 2023 and 2022 were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211"/>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294.8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30.5 %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26.1 %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7.6 %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5.9 %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7"/>
              </w:rPr>
              <w:t>nm</w:t>
            </w:r>
          </w:p>
        </w:tc>
      </w:tr>
      <w:tr>
        <w:trPr>
          <w:trHeight w:val="21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99.4</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r>
    </w:tbl>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selling and administrative expenses increased by $46.5 million, or 15.8%, to $341.3 million for the year ended September 30, 2023 as compared to $294.8 million for the year ended September 30, 2022. The increase year over year was primarily driven by an increase in compensation and benefit costs due to increased headcount attributed to the Separation and Embecta becoming a stand-alone publicly-traded company. Also contributing to the increase period over period were costs incurred attributed to the LSA with BD whereby BD provides Embecta with certain order-to-cash and logistics services to support certain commercial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by $18.3 million, or 27.4%, to $85.2 million for the year ended September 30, 2023 as compared to $66.9 million for the year ended September 30, 2022.</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was primarily attributed to increased investment in new products which includes our insulin patch pump as well as amounts paid in connection with a collaboration arrangement. For details on the collaboration arrangement refer to Note 5 to the Consolidated Financial Statements included elsewhere in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2023, the Company recorded impairment charges of $2.5 million related to the abandonment of certain manufacturing equipment in China that is no longer in use that were inherited as part of the spin from BD. These assets were previously included as a component of </w:t>
      </w:r>
      <w:r>
        <w:rPr>
          <w:rFonts w:ascii="Times New Roman" w:cs="Times New Roman" w:eastAsia="Times New Roman" w:hAnsi="Times New Roman"/>
          <w:sz w:val="18"/>
          <w:szCs w:val="18"/>
          <w:i w:val="1"/>
          <w:iCs w:val="1"/>
          <w:color w:val="auto"/>
        </w:rPr>
        <w:t xml:space="preserve">Machinery, equipment and fixtures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 </w:t>
      </w:r>
      <w:r>
        <w:rPr>
          <w:rFonts w:ascii="Times New Roman" w:cs="Times New Roman" w:eastAsia="Times New Roman" w:hAnsi="Times New Roman"/>
          <w:sz w:val="18"/>
          <w:szCs w:val="18"/>
          <w:color w:val="auto"/>
        </w:rPr>
        <w:t xml:space="preserve">in our Consolidated Balance Sheets in Item 8 of this Annual Report on Form 10-K. The impairment charges are recognized within </w:t>
      </w:r>
      <w:r>
        <w:rPr>
          <w:rFonts w:ascii="Times New Roman" w:cs="Times New Roman" w:eastAsia="Times New Roman" w:hAnsi="Times New Roman"/>
          <w:sz w:val="18"/>
          <w:szCs w:val="18"/>
          <w:i w:val="1"/>
          <w:iCs w:val="1"/>
          <w:color w:val="auto"/>
        </w:rPr>
        <w:t>Impairment expense</w:t>
      </w:r>
      <w:r>
        <w:rPr>
          <w:rFonts w:ascii="Times New Roman" w:cs="Times New Roman" w:eastAsia="Times New Roman" w:hAnsi="Times New Roman"/>
          <w:sz w:val="18"/>
          <w:szCs w:val="18"/>
          <w:color w:val="auto"/>
        </w:rPr>
        <w:t xml:space="preserve"> in the Consolidated Statements of Income.</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2022, the Company recorded impairment charges of $58.9 million related to the abandonment of certain manufacturing production lines in the United States that are no longer expected to be completed. These assets were previously included as a component of </w:t>
      </w:r>
      <w:r>
        <w:rPr>
          <w:rFonts w:ascii="Times New Roman" w:cs="Times New Roman" w:eastAsia="Times New Roman" w:hAnsi="Times New Roman"/>
          <w:sz w:val="18"/>
          <w:szCs w:val="18"/>
          <w:i w:val="1"/>
          <w:iCs w:val="1"/>
          <w:color w:val="auto"/>
        </w:rPr>
        <w:t xml:space="preserve">Construction in progress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 </w:t>
      </w:r>
      <w:r>
        <w:rPr>
          <w:rFonts w:ascii="Times New Roman" w:cs="Times New Roman" w:eastAsia="Times New Roman" w:hAnsi="Times New Roman"/>
          <w:sz w:val="18"/>
          <w:szCs w:val="18"/>
          <w:color w:val="auto"/>
        </w:rPr>
        <w:t>in our Consolidated Balance Sheets in Item 8 of this Annual Report on Form 10-K.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impairment charges are recognized within </w:t>
      </w:r>
      <w:r>
        <w:rPr>
          <w:rFonts w:ascii="Times New Roman" w:cs="Times New Roman" w:eastAsia="Times New Roman" w:hAnsi="Times New Roman"/>
          <w:sz w:val="18"/>
          <w:szCs w:val="18"/>
          <w:i w:val="1"/>
          <w:iCs w:val="1"/>
          <w:color w:val="auto"/>
        </w:rPr>
        <w:t>Impairment expense</w:t>
      </w:r>
      <w:r>
        <w:rPr>
          <w:rFonts w:ascii="Times New Roman" w:cs="Times New Roman" w:eastAsia="Times New Roman" w:hAnsi="Times New Roman"/>
          <w:sz w:val="18"/>
          <w:szCs w:val="18"/>
          <w:color w:val="auto"/>
        </w:rPr>
        <w:t xml:space="preserve"> in the Consolidated Statements of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incurred other operating expenses of $99.4 million and $44.7 million for the years ended September 30, 2023 and 2022, respectively. The costs incurred primarily relate to accounting, auditing, and legal services, including costs to establish certain stand-alone corporate functions and other costs associated with the abandonment of certain manufacturing production lines discussed above. As we continue to stand-up various corporate functions as a stand-alone publicly-traded company, we expect to incur costs associated with the same type of activities in fiscal year 2024, however, we currently expect the amount of those costs to be less in fiscal year 2024 as compared to fiscal year 2023. During the year ended September 30, 2023, the Company recorded approximately $5.6 million of severance costs related to the optimization of certain business functions. These costs were primarily recorded in the U.S. and severance costs were not material to any comparable prior year periods presented.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Interest expense, net increased to $107.0 million for the year ended September 30, 2023, from $46.2 million for the year ended September 30, 2022 primarily as a result of debt having been outstanding for a longer period of time for fiscal year 2023 as compared to fiscal year 2022 and higher interest rates on our variable rate debt. This was offset by an increase in interest income of $8.8 million as a result of amounts held in interest bearing accounts and money market funds. If the United States Federal Reserve maintains interest rates at these levels, or continues to raise the benchmark interest rate, then we would expect the interest expense on our variable rate debt to increase in fiscal year 2024 as compared to fiscal year 2023. See "Liquidity and Capital Resources" below and Note 12 to the Consolidated Financial Statements included elsewhere in this Annual Report on Form 10-K for a further description of our long-term debt.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net decreased by $2.0 million to $(8.8) million for the year ended September 30, 2023 as compared to $(6.8) million for the year ended September 30, 2022. The costs incurred primarily relate to amounts due to BD for income taxes payable incurred in deferred jurisdictions where BD is considered the primary obligor.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the Company's effective income tax rate for fiscal year 2023 as compared to fiscal year 2022 was primarily due to the establishment of a valuation allowance against interest expense carryforwards in the U.S., an increase in U.S. tax on foreign earnings primarily because of limitations on the utilization of foreign tax credits and higher withholding taxes on unremitted foreign earnings; partially offset by increased tax benefits from non-taxable items and change in geographical mix of earnings. In addition, for fiscal year 2023 the Company recorded a tax benefit for the establishment of net deferred tax assets incurred in connection with the ongoing separation of the Diabetes Care Business from BD partially offset by a return to provision adjustment from the prior year.</w:t>
      </w:r>
    </w:p>
    <w:p>
      <w:pPr>
        <w:spacing w:after="0" w:line="90"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As of September 30, 2023, the Company has recorded deferred taxes on the undistributed earnings of foreign subsidiaries. The vast majority of these taxes were accrued, in part, because the Company does not meet certain holding period requirements for stock ownership. During fiscal year 2024, the Company anticipates that it will meet these requirements at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which time approximately $18.0 million of the accrued balance as of September 30, 2023 will be recorded as a reduction to income tax expense.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on Liquidity and Capital Resources pertaining to the fiscal years 2022 and 2021 see our Annual Report on Form 10-K for the year ended September 30, 2022.</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Debt-Related Activities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February 2022, and in connection with the Separation, Embecta issued $500.0 million aggregate principal amount of 5.00% senior secured notes due February 15, 2030 (the "5.00% Notes"). </w:t>
      </w:r>
      <w:r>
        <w:rPr>
          <w:rFonts w:ascii="Times New Roman" w:cs="Times New Roman" w:eastAsia="Times New Roman" w:hAnsi="Times New Roman"/>
          <w:sz w:val="18"/>
          <w:szCs w:val="18"/>
          <w:color w:val="2B2A29"/>
        </w:rPr>
        <w:t>Interest payments on the</w:t>
      </w:r>
      <w:r>
        <w:rPr>
          <w:rFonts w:ascii="Times New Roman" w:cs="Times New Roman" w:eastAsia="Times New Roman" w:hAnsi="Times New Roman"/>
          <w:sz w:val="18"/>
          <w:szCs w:val="18"/>
          <w:color w:val="auto"/>
        </w:rPr>
        <w:t xml:space="preserve"> 5.00% </w:t>
      </w:r>
      <w:r>
        <w:rPr>
          <w:rFonts w:ascii="Times New Roman" w:cs="Times New Roman" w:eastAsia="Times New Roman" w:hAnsi="Times New Roman"/>
          <w:sz w:val="18"/>
          <w:szCs w:val="18"/>
          <w:color w:val="2B2A29"/>
        </w:rPr>
        <w:t>Notes are due semi-annually in February and August until maturity.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payments began in August 2022</w:t>
      </w:r>
      <w:r>
        <w:rPr>
          <w:rFonts w:ascii="Times New Roman" w:cs="Times New Roman" w:eastAsia="Times New Roman" w:hAnsi="Times New Roman"/>
          <w:sz w:val="18"/>
          <w:szCs w:val="18"/>
          <w:color w:val="000000"/>
        </w:rPr>
        <w:t>.</w:t>
      </w:r>
    </w:p>
    <w:p>
      <w:pPr>
        <w:spacing w:after="0" w:line="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March 2022, Embecta entered into a credit agreement, providing for 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000000"/>
        </w:rPr>
        <w:t>-year</w:t>
      </w:r>
      <w:r>
        <w:rPr>
          <w:rFonts w:ascii="Times New Roman" w:cs="Times New Roman" w:eastAsia="Times New Roman" w:hAnsi="Times New Roman"/>
          <w:sz w:val="18"/>
          <w:szCs w:val="18"/>
          <w:color w:val="2B2A29"/>
        </w:rPr>
        <w:t xml:space="preserve"> term that matures in March 2029 and </w:t>
      </w:r>
      <w:r>
        <w:rPr>
          <w:rFonts w:ascii="Times New Roman" w:cs="Times New Roman" w:eastAsia="Times New Roman" w:hAnsi="Times New Roman"/>
          <w:sz w:val="18"/>
          <w:szCs w:val="18"/>
          <w:color w:val="000000"/>
        </w:rPr>
        <w:t>a Revolving Credit Facility in an aggregate principal amount of up to $500.0 million, with a</w:t>
      </w:r>
      <w:r>
        <w:rPr>
          <w:rFonts w:ascii="Times New Roman" w:cs="Times New Roman" w:eastAsia="Times New Roman" w:hAnsi="Times New Roman"/>
          <w:sz w:val="18"/>
          <w:szCs w:val="18"/>
          <w:color w:val="2B2A29"/>
        </w:rPr>
        <w:t xml:space="preserve"> five</w:t>
      </w:r>
      <w:r>
        <w:rPr>
          <w:rFonts w:ascii="Times New Roman" w:cs="Times New Roman" w:eastAsia="Times New Roman" w:hAnsi="Times New Roman"/>
          <w:sz w:val="18"/>
          <w:szCs w:val="18"/>
          <w:color w:val="000000"/>
        </w:rPr>
        <w:t>-year term</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that matures in 2027. </w:t>
      </w:r>
      <w:r>
        <w:rPr>
          <w:rFonts w:ascii="Times New Roman" w:cs="Times New Roman" w:eastAsia="Times New Roman" w:hAnsi="Times New Roman"/>
          <w:sz w:val="18"/>
          <w:szCs w:val="18"/>
          <w:color w:val="2B2A29"/>
        </w:rPr>
        <w:t>The interest rate on the Term Loan is 300 basis points over the secured overnight financing rate (“SOFR”), with a 0.50% SOFR floor.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B2A29"/>
        </w:rPr>
        <w:t>Principal and interest payments on the Term Loan began on June 30, 2022. Such quarterly principal payments are calculated as 0.25% of the initial principal amount, with the remaining balance payable upon maturity. Principal amounts repaid under the Term Loan may not be reborrowed by us. Borrowings under the Revolving Credit Facility bear interest, at Embecta’s option, initially at an annual rate equal to (a) in 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w:t>
      </w:r>
      <w:r>
        <w:rPr>
          <w:rFonts w:ascii="Times New Roman" w:cs="Times New Roman" w:eastAsia="Times New Roman" w:hAnsi="Times New Roman"/>
          <w:sz w:val="18"/>
          <w:szCs w:val="18"/>
          <w:color w:val="000000"/>
        </w:rPr>
        <w:t>. As of September 30, 2023, no amount has been drawn on the Revolving Credit Facility.</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Additionally, Embecta has outstanding $200.0 million of senior secured notes (the "6.75% Notes"), which carry an interest rate of 6.75% and are due February 2030. </w:t>
      </w:r>
      <w:r>
        <w:rPr>
          <w:rFonts w:ascii="Times New Roman" w:cs="Times New Roman" w:eastAsia="Times New Roman" w:hAnsi="Times New Roman"/>
          <w:sz w:val="18"/>
          <w:szCs w:val="18"/>
          <w:color w:val="2B2A29"/>
        </w:rPr>
        <w:t>Interest payments on the 6.75% Notes are due semi-annually in February and August until maturity. Interest payments began in August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2022.</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September 30, 2023, we were in compliance with all of such covenants. The credit agreement and the senior secured are secured by substantially all assets of Embecta and each subsidiary guarantor, subject to certain exceptions.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September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935.8</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6.75% Notes</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1,635.8</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1,593.9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0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1,588.3</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September 30,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1,603.4</w:t>
            </w:r>
          </w:p>
        </w:tc>
      </w:tr>
      <w:tr>
        <w:trPr>
          <w:trHeight w:val="149"/>
        </w:trPr>
        <w:tc>
          <w:tcPr>
            <w:tcW w:w="5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ten years. The lease is classified as a finance lease. The Company has an option to extend the lease term for an additional period of up to five years.</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1, 2022, we entered into a real estate lease for a new Corporate Headquarters located in Parsippany, New Jersey, United States. The lease commenced during the second quarter of fiscal year 2023 and has an initial term of ten years. The lease is classified as an operating lease. The Company has options to extend the lease for an additional period of six years and to extend for a subsequent additional period of four years after the expiration of the first extension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September 30, 2023 by fiscal year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4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76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33"/>
        </w:trPr>
        <w:tc>
          <w:tcPr>
            <w:tcW w:w="42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0"/>
        </w:trPr>
        <w:tc>
          <w:tcPr>
            <w:tcW w:w="4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Factoring Agreements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Separation, we entered into Trade Receivable Factoring Agreements (the "Factoring Agreements") with BD. Embecta owes BD a service fee calculated as 0.1% of annual revenues related to countries subject to the agreement, in exchange for the services provided by BD pursuant to the Factoring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2023 and June 2023, Moody’s Investor Services and Standard &amp; Poor’s Ratings Services published updates to our credit ratings of Ba3 and B+, respectively. These ratings remain unchanged from the initial published ratings from January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Cash and cash equivalents were $326.5 million as of September 30, 2023 as compared to $330.9 million as of September 30,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sources and uses of cash that contributed to the $4.4 million decrease were: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 Cash and cash equivalents balance</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2023 Cash and cash equivalents balance</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176"/>
        </w:trPr>
        <w:tc>
          <w:tcPr>
            <w:tcW w:w="9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adjustments related to depreciation and amortization, impairment of property, plant and equipment, stock-based</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deferred income taxes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trade receivables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inventories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amounts due from/due to Becton, Dickinson and Company</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income and other net taxes payable</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other assets and liabilities, net</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
        </w:trPr>
        <w:tc>
          <w:tcPr>
            <w:tcW w:w="9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increase in accounts payable and accrued expenses is primarily due to increases in net liabilities for deferred closing entities, which was offset by our annual incentive bonus payment in January 2023. The decrease in trade receivables primarily relates to the timing of payments received from customers. The increase in inventories is primarily driven by a concerted effort to build inventory to meet expected demand in anticipation of our enterprise resource planning ("ERP") system platform go-live dates and process to comply with European Union Regulation MDR. The increase in amounts due from/due to Becton, Dickinson and Company primarily relates to factored receivables and inventory purchases for which payment has not yet been collected from BD as of September 30, 2023. Increases in prepaid expenses and other are primarily driven by increased subscription contracts primarily associated with our new ERP platform and increases in net assets for deferred closing entities. The decrease in income and other net taxes payable was primarily due to the timing of required tax payments. The increase in other assets and liabilities, net is primarily due to costs capitalized associated with the implementation of our new ERP system. All other movements related to working capital were due to timing of payments and receipts of cash in the ordinary course of business.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primarily attributable to $26.5 million of capital expenditures during the year to support further expansion of our business and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tc>
        <w:tc>
          <w:tcPr>
            <w:tcW w:w="4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4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4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4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44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3868"/>
              <w:spacing w:after="0"/>
              <w:rPr>
                <w:sz w:val="20"/>
                <w:szCs w:val="20"/>
                <w:color w:val="auto"/>
              </w:rPr>
            </w:pPr>
            <w:r>
              <w:rPr>
                <w:rFonts w:ascii="Times New Roman" w:cs="Times New Roman" w:eastAsia="Times New Roman" w:hAnsi="Times New Roman"/>
                <w:sz w:val="14"/>
                <w:szCs w:val="14"/>
                <w:color w:val="auto"/>
              </w:rPr>
              <w:t>38</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51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1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contractual obligations as of September 30, 2023,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significant costs associated with information technology infrastructure as we continue to transition to our own systems. Lease obligations include lease agreements for which a contract has been signed even if the lease has not yet commenced.</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2023, total payments due for purchase obligations and lease obligations aggregate to approximately $227 million and $82 million, respectively, and will be expended over the next several years. Contractual obligations due within the next twelve months approximate $141 million related to purchase commitments and $9 million related to lease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discussion supplements the descriptions of our accounting policies contained in Note 3 to the Consolidated Financial Statements contained in Item 8 of this Annual Report on Form 10-K. Financial Statements and Supplementary Data. The preparation of the Consolidated Financial Statements requires management to use estimates and assumptions that affect the reported amounts of assets, liabilities, revenues and expenses, as well as the disclosure of contingent assets and liabilities at the date of the Consolidated Financial Statements. Some of those judgments can be subjective and complex and, consequently, actual results could differ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in our Consolidated Financial Statements. Management believes the following critical accounting policies reflect the more significant judgments and estimates used in the preparation of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gross revenues are subject to a variety of deductions, which include rebates, chargebacks, sales discounts and sales returns. These deductions represent estimates of the related obligations, and judgment is required when determining the impact of these revenue deductions on gross revenues for a reporting period. Rebates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expense all stock-based payment awards to employees over the requisite service period based on the grant date fair value of the awards. The fair value of certain stock-based awards that have been granted in the past are determined using the Black-Scholes-Merton ("BSM") option-pricing model which uses both historical and current market data to estimate the fair value. This method incorporates various assumptions such as the risk-free interest rate, expected volatility, expected dividend yield and expected life of the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the Company engages in transactions in which tax consequences may be subject to uncertainty. The Company conducts business and files tax returns in numerous jurisdictions based on its interpretation of tax laws and regulations. In evaluating the Company’s tax provision, the Company establishes a reserve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unless such positions are determined to be more likely than not of being sustained upon examination based on the technical merits. The Company’s policy is to recognize, when applicable, interest and penalties on uncertain tax positions as part of income tax expense.</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Prior to the Separation, our operations were included in the tax returns of BD. Income taxes as presented in the Consolidated Financial Statements attribute current and deferred income tax assets and liabilities of BD to us in a manner that is systematic, rational, and consistent with the asset and liability method prescribed by the accounting guidance for income taxes. Our income tax provision prior to the Separation was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disclosures regarding our accounting for income taxes are provided in Note 14 to the Consolidated Financial Statements included elsewhere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Annual Report on Form 10-K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regulatory clearances and approvals,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15" w:lineRule="exact"/>
        <w:rPr>
          <w:sz w:val="20"/>
          <w:szCs w:val="20"/>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extend the TSA, the LSA, and other transaction agreements or replace the services, including the Interim Business Continuity Processes, that BD currently provides to it on substantially similar terms as the terms on which BD is providing these services or that BD terminates such services.</w:t>
      </w:r>
    </w:p>
    <w:p>
      <w:pPr>
        <w:spacing w:after="0" w:line="10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55" w:lineRule="exact"/>
        <w:rPr>
          <w:rFonts w:ascii="Times New Roman" w:cs="Times New Roman" w:eastAsia="Times New Roman" w:hAnsi="Times New Roman"/>
          <w:sz w:val="17"/>
          <w:szCs w:val="17"/>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10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pandemic, such as COVID-19, or any geopolitical instability on Embecta’s business, including disruptions in its operations and supply chains.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ongoing dis-synergy costs, costs of restructuring transactions and other costs incurred in connection with the Separation will exceed Embecta's estimates of these costs.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full Separation may be more difficult, time-consuming or costly than expected, including the impact on its resources, systems, including enterprise resource planning, procedures and controls, diversion of management’s attention and the impact on relationships with customers, suppliers, employees and other business counterparties.</w:t>
      </w:r>
    </w:p>
    <w:p>
      <w:pPr>
        <w:spacing w:after="0" w:line="10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Item 1A, “Risk Factors,” or in our other filings with the SEC.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items noted below, the information required by this item is included in Item 7. Management’s Discussion and Analysis of Financial Condition and Results of Operations, and in Notes 3, 12 and 15 to the Consolidated Financial Statements in Item 8 of this Annual Report on Form 10-K,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15,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Consolidated Financial Statements in Item 8 of this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information.</w:t>
      </w:r>
    </w:p>
    <w:p>
      <w:pPr>
        <w:spacing w:after="0" w:line="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as of September 30, 2023 relates primarily to our Term Loan. The interest rate is set at 300 basis points over the SOFR,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0.50% SOFR floor. Based on our outstanding borrowings at September 30, 2023, a 100 basis points change in interest rates would have impacted interest expense on the Term Loan by $9.4 million on an annualized basis. To the extent we borrow on our revolving credit facility, we will also be subject to risks related to changes in SOFR. Refer to Note 12 to the Consolidated Financial Statements in Item 8 of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u w:val="single" w:color="auto"/>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Embecta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Embecta Corp (the Company) as of September 30, 2023 and 2022, the related consolidated statements of income,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equity, and cash flows for each of the three years in the period ended September 30, 2023, and the related notes (collectively referred to as the “consolidated financial statements”). In our opinion, the consolidated financial statements present fairly, in all material respects, the financial position of the Company at September 30, 2023 and 2022, and the results of its operations and its cash flows for each of the three years in the period ended September 30, 2023,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-403860</wp:posOffset>
            </wp:positionV>
            <wp:extent cx="17145"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2023, based on criteria established in Internal Control-Integrated Framework issued by the Committee of Sponsoring Organizations of the Treadway Commission (2013 framework) and our report dated November 29, 2023 expressed an unqualified opinion thereon.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8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-109220</wp:posOffset>
            </wp:positionV>
            <wp:extent cx="17145"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11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w:t>
      </w:r>
      <w:r>
        <w:rPr>
          <w:sz w:val="1"/>
          <w:szCs w:val="1"/>
          <w:color w:val="auto"/>
        </w:rPr>
        <w:drawing>
          <wp:inline distT="0" distB="0" distL="0" distR="0">
            <wp:extent cx="17145" cy="857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8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described in Notes 3 and 14 to the consolidated financial statements, the Company’s provision for income taxes post-Separation contemplates its stand-alone legal entity structure. The Company’s income tax provision for 2023 was $35.3 million. In addition, as of September 30, 2023, the Company recorded a liability for unrecognized tax benefits of $7.2 million, and total deferred tax assets and liabilities of $78.1 million and $33.3 million, respectively.</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the multi-jurisdictional nature of the business, the complexity of the tax rules across the various countries the Company operates in, and the stand-alone legal entity structure, auditing management’s accounting for uncertain tax positions required a high degree of auditor judgment and increased extent of effort, including the need to involve our tax subject matter professionals.</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evaluation of uncertain tax positions, including assessment of technical merits of positions. With the support of our tax subject matter professionals, our audit procedures included evaluating the appropriateness of transfer pricing assumptions underlying the income tax provision. For example, we developed an expectation of the foreign income tax expense by jurisdiction and compared it to the recorded balances. We involved our tax subject matter professionals to evaluate the technical merits of the Company’s accounting for its tax positions, including assessing correspondence with the relevant tax authorities and evaluating third-party advice obtained.</w:t>
      </w:r>
    </w:p>
    <w:p>
      <w:pPr>
        <w:spacing w:after="0" w:line="848" w:lineRule="exact"/>
        <w:rPr>
          <w:sz w:val="20"/>
          <w:szCs w:val="20"/>
          <w:color w:val="auto"/>
        </w:rPr>
      </w:pPr>
    </w:p>
    <w:p>
      <w:pPr>
        <w:sectPr>
          <w:pgSz w:w="11900" w:h="16838" w:orient="portrait"/>
          <w:cols w:equalWidth="0" w:num="2">
            <w:col w:w="2820" w:space="720"/>
            <w:col w:w="7680"/>
          </w:cols>
          <w:pgMar w:left="320" w:top="968"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46" w:name="page47"/>
    <w:bookmarkEnd w:id="46"/>
    <w:p>
      <w:pPr>
        <w:ind w:left="3140"/>
        <w:spacing w:after="0"/>
        <w:rPr>
          <w:sz w:val="20"/>
          <w:szCs w:val="20"/>
          <w:color w:val="auto"/>
        </w:rPr>
      </w:pPr>
      <w:r>
        <w:rPr>
          <w:rFonts w:ascii="Times New Roman" w:cs="Times New Roman" w:eastAsia="Times New Roman" w:hAnsi="Times New Roman"/>
          <w:sz w:val="20"/>
          <w:szCs w:val="20"/>
          <w:b w:val="1"/>
          <w:bCs w:val="1"/>
          <w:u w:val="single" w:color="auto"/>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Embecta Corp.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audited Embecta Corp’s internal control over financial reporting as of September 30, 2023, based on criteria established in Internal Control—Integrated Framework issued by the Committee of Sponsoring Organizations of the Treadway Commission (2013 framework), (the COSO criteria). In our opinion, Embecta Corp. (the Company) maintained, in all material respects, effective internal control over financial reporting as of September 30, 2023, based on the COSO criteria.</w:t>
      </w:r>
    </w:p>
    <w:p>
      <w:pPr>
        <w:spacing w:after="0" w:line="6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September 30, 2023 and 2022, the related consolidated statements of income, comprehensive income and cash flows for each of the three years in the period ended September 30, 2023, and the related notes and our report dated November 29, 2023 expressed an unqualified opinion thereon.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6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r>
      <w:tr>
        <w:trPr>
          <w:trHeight w:val="24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products sold</w:t>
            </w:r>
            <w:r>
              <w:rPr>
                <w:rFonts w:ascii="Times New Roman" w:cs="Times New Roman" w:eastAsia="Times New Roman" w:hAnsi="Times New Roman"/>
                <w:sz w:val="21"/>
                <w:szCs w:val="21"/>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w:t>
            </w:r>
          </w:p>
        </w:tc>
      </w:tr>
      <w:tr>
        <w:trPr>
          <w:trHeight w:val="217"/>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04"/>
        </w:trPr>
        <w:tc>
          <w:tcPr>
            <w:tcW w:w="62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98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w:t>
            </w:r>
          </w:p>
        </w:tc>
      </w:tr>
      <w:tr>
        <w:trPr>
          <w:trHeight w:val="33"/>
        </w:trPr>
        <w:tc>
          <w:tcPr>
            <w:tcW w:w="6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33"/>
        </w:trPr>
        <w:tc>
          <w:tcPr>
            <w:tcW w:w="6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626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250"/>
        </w:trPr>
        <w:tc>
          <w:tcPr>
            <w:tcW w:w="626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40"/>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46"/>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periods prior to the Separation, this income statement line includes cost of products sold from related party inventory purchases. Refer to Note 4 for further detail.</w:t>
      </w:r>
    </w:p>
    <w:p>
      <w:pPr>
        <w:spacing w:after="0" w:line="309" w:lineRule="exact"/>
        <w:rPr>
          <w:rFonts w:ascii="Times New Roman" w:cs="Times New Roman" w:eastAsia="Times New Roman" w:hAnsi="Times New Roman"/>
          <w:sz w:val="21"/>
          <w:szCs w:val="21"/>
          <w:color w:val="auto"/>
          <w:vertAlign w:val="superscript"/>
        </w:rPr>
      </w:pPr>
    </w:p>
    <w:p>
      <w:pPr>
        <w:ind w:left="37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Benefit plan net loss and prior service credit, net of amortization</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8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33"/>
        </w:trPr>
        <w:tc>
          <w:tcPr>
            <w:tcW w:w="6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w:t>
            </w:r>
          </w:p>
        </w:tc>
      </w:tr>
      <w:tr>
        <w:trPr>
          <w:trHeight w:val="33"/>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0" w:type="dxa"/>
            <w:vAlign w:val="bottom"/>
          </w:tcPr>
          <w:p>
            <w:pPr>
              <w:spacing w:after="0"/>
              <w:rPr>
                <w:sz w:val="1"/>
                <w:szCs w:val="1"/>
                <w:color w:val="auto"/>
              </w:rPr>
            </w:pPr>
          </w:p>
        </w:tc>
      </w:tr>
      <w:tr>
        <w:trPr>
          <w:trHeight w:val="189"/>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$1.0 million and $1.3 million as of</w:t>
            </w:r>
          </w:p>
        </w:tc>
        <w:tc>
          <w:tcPr>
            <w:tcW w:w="1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20"/>
        </w:trPr>
        <w:tc>
          <w:tcPr>
            <w:tcW w:w="7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September 30, 2023 and September 30, 2022, respectively)</w:t>
            </w:r>
          </w:p>
        </w:tc>
        <w:tc>
          <w:tcPr>
            <w:tcW w:w="1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700"/>
              <w:spacing w:after="0" w:line="175" w:lineRule="exact"/>
              <w:rPr>
                <w:sz w:val="20"/>
                <w:szCs w:val="20"/>
                <w:color w:val="auto"/>
              </w:rPr>
            </w:pPr>
            <w:r>
              <w:rPr>
                <w:rFonts w:ascii="Times New Roman" w:cs="Times New Roman" w:eastAsia="Times New Roman" w:hAnsi="Times New Roman"/>
                <w:sz w:val="16"/>
                <w:szCs w:val="16"/>
                <w:color w:val="auto"/>
              </w:rPr>
              <w:t>Authorized - 250,000,000</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Issued and outstanding - 57,333,353 as of September 30, 2023 and 57,055,327 as of September 30,</w:t>
            </w: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2022</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120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Net Investment</w:t>
            </w:r>
          </w:p>
        </w:tc>
        <w:tc>
          <w:tcPr>
            <w:tcW w:w="100" w:type="dxa"/>
            <w:vAlign w:val="bottom"/>
          </w:tcPr>
          <w:p>
            <w:pPr>
              <w:spacing w:after="0"/>
              <w:rPr>
                <w:sz w:val="2"/>
                <w:szCs w:val="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from Becton,</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Dickinson and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Company</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2020</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attributable to Diabetes Care</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Business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Company</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2021</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Company including Separation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in connection</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with the Separation and reclassification</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of Net Investment from Becton,</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Dickinson and Company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57,012,925</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consideration paid to Becton,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Dickinson, and Company in connection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with Separation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dividends ($0.15 per 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42,402</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Pr>
          <w:p>
            <w:pPr>
              <w:spacing w:after="0"/>
              <w:rPr>
                <w:sz w:val="16"/>
                <w:szCs w:val="16"/>
                <w:color w:val="auto"/>
              </w:rPr>
            </w:pP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dividends ($0.15 per share)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related to stock-based</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278,026</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4820" w:type="dxa"/>
            <w:vAlign w:val="bottom"/>
          </w:tcPr>
          <w:p>
            <w:pPr>
              <w:jc w:val="right"/>
              <w:ind w:right="2948"/>
              <w:spacing w:after="0"/>
              <w:rPr>
                <w:sz w:val="20"/>
                <w:szCs w:val="20"/>
                <w:color w:val="auto"/>
              </w:rPr>
            </w:pPr>
            <w:r>
              <w:rPr>
                <w:rFonts w:ascii="Times New Roman" w:cs="Times New Roman" w:eastAsia="Times New Roman" w:hAnsi="Times New Roman"/>
                <w:sz w:val="14"/>
                <w:szCs w:val="14"/>
                <w:color w:val="auto"/>
              </w:rPr>
              <w:t>48</w:t>
            </w:r>
          </w:p>
        </w:tc>
      </w:tr>
      <w:tr>
        <w:trPr>
          <w:trHeight w:val="233"/>
        </w:trPr>
        <w:tc>
          <w:tcPr>
            <w:tcW w:w="6420" w:type="dxa"/>
            <w:vAlign w:val="bottom"/>
            <w:tcBorders>
              <w:bottom w:val="single" w:sz="8" w:color="9A9A9A"/>
            </w:tcBorders>
          </w:tcPr>
          <w:p>
            <w:pPr>
              <w:spacing w:after="0"/>
              <w:rPr>
                <w:sz w:val="20"/>
                <w:szCs w:val="20"/>
                <w:color w:val="auto"/>
              </w:rPr>
            </w:pPr>
          </w:p>
        </w:tc>
        <w:tc>
          <w:tcPr>
            <w:tcW w:w="48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0" w:type="dxa"/>
            <w:vAlign w:val="bottom"/>
          </w:tcPr>
          <w:p>
            <w:pPr>
              <w:spacing w:after="0"/>
              <w:rPr>
                <w:sz w:val="1"/>
                <w:szCs w:val="1"/>
                <w:color w:val="auto"/>
              </w:rPr>
            </w:pP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4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Trade receivables, net</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Inventories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0"/>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94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 of long-term debt issuance costs</w:t>
            </w:r>
          </w:p>
        </w:tc>
        <w:tc>
          <w:tcPr>
            <w:tcW w:w="94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 of revolving credit facility fees</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consideration paid to Becton, Dickinson and Company in connection with the</w:t>
            </w:r>
          </w:p>
        </w:tc>
        <w:tc>
          <w:tcPr>
            <w:tcW w:w="94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Separation</w:t>
            </w:r>
          </w:p>
        </w:tc>
        <w:tc>
          <w:tcPr>
            <w:tcW w:w="9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transfers to Becton, Dickinson and Company</w:t>
            </w:r>
          </w:p>
        </w:tc>
        <w:tc>
          <w:tcPr>
            <w:tcW w:w="94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0" w:type="dxa"/>
            <w:vAlign w:val="bottom"/>
          </w:tcPr>
          <w:p>
            <w:pPr>
              <w:spacing w:after="0"/>
              <w:rPr>
                <w:sz w:val="1"/>
                <w:szCs w:val="1"/>
                <w:color w:val="auto"/>
              </w:rPr>
            </w:pPr>
          </w:p>
        </w:tc>
      </w:tr>
      <w:tr>
        <w:trPr>
          <w:trHeight w:val="204"/>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Opening Cash and cash equivalents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Closing 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 or use the products to deliver insulin injections to patients.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On April 1, 2022 (the "Separation Date"),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Separation occurred by means of a pro-rata distribution (the "Distribution") of all of Embecta’s issued and outstanding shares of common stock on the basis of one share of Embecta common stock, par value $0.01 per share, for every five shares of BD common stock, par value $1.00 per share, held as of the close of business on March 22, 2023, the record date for the distribution. Embecta is now a standalone publicly traded company and, on April 1, 2022, regular-way trading of Embecta common stock commenced on the Nasdaq Global Select Market under the ticker symbol "EMBC".</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In connection with the Separation, BD and Embecta entered into various agreements to provide a framework for the relationship between BD and Embecta after the Separation, including, but not limited to,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factoring and receivables agreements, local support and service agreements and other transaction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1, 2022, the Company became a standalone publicly traded company, and its financial statements are now presented on a consolidated basis. Prior to the Separation on April 1, 2022, the Company’s historical combined financial statements were prepared on a standalone basis and were derived from BD's consolidated financial statements and accounting records. The financial statements for all periods presented, including the historical results of the Company prior to April 1, 2022, are now referred to as "Consolidated Financial Statements", and have been prepared pursuant to the rules and regulations for reporting on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Prior to the Separation, the Company was referred to as the Diabetes Care Business. The assets, liabilities, revenue and expenses of the Diabetes Care Business were reflected in the combined financial statements on a historical cost basis, as included in the consolidated financial statements of BD, using the historical accounting policies applied by BD. The Consolidated Financial Statements did not purport to reflect what the Company’s results of operations, comprehensive income, financial position, equity or cash flows would have been had the Company operated as a standalone public company during the periods presented.</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Diabetes Care Business had historically functioned together with the other businesses controlled by BD. Accordingly, the Diabetes Care Business relied on BD’s corporate and other support functions for its business. Therefore, for the period prior to the Separation, certain corporate and shared costs were allocated to the Diabetes Care Business based on a specific identification basis or, when specific identification was not practicable, a proportional cost allocation method, including:</w:t>
      </w:r>
    </w:p>
    <w:p>
      <w:pPr>
        <w:spacing w:after="0" w:line="69" w:lineRule="exact"/>
        <w:rPr>
          <w:sz w:val="20"/>
          <w:szCs w:val="20"/>
          <w:color w:val="auto"/>
        </w:rPr>
      </w:pPr>
    </w:p>
    <w:p>
      <w:pPr>
        <w:ind w:left="660" w:hanging="328"/>
        <w:spacing w:after="0" w:line="266"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BD support functions, including expenses for facilities, executive oversight, treasury, finance, legal, human resources, shared services, compliance, procurement, information technology and other corporate functions.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manufacturing and supply costs incurred by BD, including facility management, distribution, logistics, planning and global quality.</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incurred by BD’s Medication Delivery Solutions organizational unit in relation to selling and marketing activities, and related administrative support functions.</w:t>
      </w: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incurred by BD for activities related to device research and development, as well as medical and regulatory affairs.</w:t>
      </w:r>
    </w:p>
    <w:p>
      <w:pPr>
        <w:spacing w:after="0" w:line="6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(see Note 10).</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compensation expenses maintained on a centralized basis such as certain employee benefit expenses.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jc w:val="both"/>
        <w:spacing w:after="0" w:line="247" w:lineRule="auto"/>
        <w:rPr>
          <w:sz w:val="20"/>
          <w:szCs w:val="20"/>
          <w:color w:val="auto"/>
        </w:rPr>
      </w:pPr>
      <w:r>
        <w:rPr>
          <w:rFonts w:ascii="Times New Roman" w:cs="Times New Roman" w:eastAsia="Times New Roman" w:hAnsi="Times New Roman"/>
          <w:sz w:val="18"/>
          <w:szCs w:val="18"/>
          <w:color w:val="auto"/>
        </w:rPr>
        <w:t>Management believes these cost allocations were a reasonable reflection of the utilization of services provided to, or the benefit derived by, the Diabetes Care Business during the period prior to the Separation, though the allocations may not be indicative of the actual costs that would have been incurred had the Diabetes Care Business operated as a standalone public company. Actual costs that may have been incurred if the Diabetes Care Business had been a standalone company would depend on a number of factors, including the chosen organizational structure, whether functions were outsourced or performed by Diabetes Care Business employees, and strategic decisions made in areas such as manufacturing, selling and marketing, research and development, information technology and infrastructure.</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BD utilized a centralized approach to cash management and the financing of its operations. Cash generated by the Diabetes Care Business was routinely transferred into accounts managed by BD’s centralized treasury function and cash disbursements related to operations prior to the Separation were funded as needed by BD. Balances held by the Diabetes Care Business with BD for cash transfers and loans were reflected as </w:t>
      </w:r>
      <w:r>
        <w:rPr>
          <w:rFonts w:ascii="Times New Roman" w:cs="Times New Roman" w:eastAsia="Times New Roman" w:hAnsi="Times New Roman"/>
          <w:sz w:val="18"/>
          <w:szCs w:val="18"/>
          <w:i w:val="1"/>
          <w:iCs w:val="1"/>
          <w:color w:val="auto"/>
        </w:rPr>
        <w:t>Amounts due to Becton, Dickinson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Company </w:t>
      </w:r>
      <w:r>
        <w:rPr>
          <w:rFonts w:ascii="Times New Roman" w:cs="Times New Roman" w:eastAsia="Times New Roman" w:hAnsi="Times New Roman"/>
          <w:sz w:val="18"/>
          <w:szCs w:val="18"/>
          <w:color w:val="auto"/>
        </w:rPr>
        <w:t>prior to the Separation. All other cash and cash equivalents and related transfers between BD and the Diabetes Care Business were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held centrally through accounts controlled and maintained by BD and were not specifically identifiable to the Diabetes Care Business. Accordingly, such balances were accounted for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BD’s third-party debt and related interest expense were not attributed to the Diabetes Care Business because the business was not the legal obligor of the debt and the borrowings were not specifically identifiable to the business.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For the Diabetes Care Business, transactions with BD affiliates were included in the Consolidated Statements of Income and related balances were reflected as </w:t>
      </w:r>
      <w:r>
        <w:rPr>
          <w:rFonts w:ascii="Times New Roman" w:cs="Times New Roman" w:eastAsia="Times New Roman" w:hAnsi="Times New Roman"/>
          <w:sz w:val="18"/>
          <w:szCs w:val="18"/>
          <w:i w:val="1"/>
          <w:iCs w:val="1"/>
          <w:color w:val="auto"/>
        </w:rPr>
        <w:t>Amounts due to Becton, Dickinson and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Amounts due from Becton, Dickinson and Company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Related Party Loans Payable</w:t>
      </w:r>
      <w:r>
        <w:rPr>
          <w:rFonts w:ascii="Times New Roman" w:cs="Times New Roman" w:eastAsia="Times New Roman" w:hAnsi="Times New Roman"/>
          <w:sz w:val="18"/>
          <w:szCs w:val="18"/>
          <w:color w:val="auto"/>
        </w:rPr>
        <w:t>. Other balances between the Diabetes Care Business and BD were considered to be effectively settled in the Consolidated Financial Statements at the time the transactions were recorded.</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the separate legal entities that made up the Diabetes Care Business were not historically held by a single legal entity, </w:t>
      </w:r>
      <w:r>
        <w:rPr>
          <w:rFonts w:ascii="Times New Roman" w:cs="Times New Roman" w:eastAsia="Times New Roman" w:hAnsi="Times New Roman"/>
          <w:sz w:val="18"/>
          <w:szCs w:val="18"/>
          <w:i w:val="1"/>
          <w:iCs w:val="1"/>
          <w:color w:val="auto"/>
        </w:rPr>
        <w:t>Net Investment from Becton,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Dickinson and Company </w:t>
      </w:r>
      <w:r>
        <w:rPr>
          <w:rFonts w:ascii="Times New Roman" w:cs="Times New Roman" w:eastAsia="Times New Roman" w:hAnsi="Times New Roman"/>
          <w:sz w:val="18"/>
          <w:szCs w:val="18"/>
          <w:color w:val="auto"/>
        </w:rPr>
        <w:t>was shown in lieu of stockholders’ equity in these Consolidated Financial Statements.</w:t>
      </w:r>
      <w:r>
        <w:rPr>
          <w:rFonts w:ascii="Times New Roman" w:cs="Times New Roman" w:eastAsia="Times New Roman" w:hAnsi="Times New Roman"/>
          <w:sz w:val="18"/>
          <w:szCs w:val="18"/>
          <w:i w:val="1"/>
          <w:iCs w:val="1"/>
          <w:color w:val="auto"/>
        </w:rPr>
        <w:t xml:space="preserve"> Net Investment from Becton, Dickinson and Company </w:t>
      </w:r>
      <w:r>
        <w:rPr>
          <w:rFonts w:ascii="Times New Roman" w:cs="Times New Roman" w:eastAsia="Times New Roman" w:hAnsi="Times New Roman"/>
          <w:sz w:val="18"/>
          <w:szCs w:val="18"/>
          <w:color w:val="auto"/>
        </w:rPr>
        <w:t>represented BD’s interest in the recorded assets of the Diabetes Care Business and the cumulative investment by BD through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inclusive of operating results.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periods prior to the Separation, income tax expense and tax balances in the Consolidated Financial Statements were calculated on a separate tax return basis. The separate tax return method applies the accounting guidance for income taxes to the standalone financial statements as if the Company was a separate taxpayer and a standalone enterprise. Management believes the assumptions supporting the allocation and presentation of income taxes on a separate return basis are reasonable.</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period prior to the Separation was calculated by applying an estimated effective income tax rate for the full year to ordinary income adjusted by the tax impact of discrete items.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the Separation Date</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patents and unrecognized tax benefits that were included in the Consolidated Balance Sheet prior to the Separation, have been retained by BD post-Separation and therefore were transferred to BD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in the Company's Consolidated Financial Statements.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Separation, additional pension assets, deferred tax assets, other compensation obligations, and certain other assets and liabilities were transferred to the Company through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and the Company recorded these in the Consolidated Balance Sheet.</w:t>
      </w:r>
    </w:p>
    <w:p>
      <w:pPr>
        <w:spacing w:after="0" w:line="67" w:lineRule="exact"/>
        <w:rPr>
          <w:sz w:val="20"/>
          <w:szCs w:val="20"/>
          <w:color w:val="auto"/>
        </w:rPr>
      </w:pPr>
    </w:p>
    <w:p>
      <w:pPr>
        <w:ind w:right="1100"/>
        <w:spacing w:after="0" w:line="369" w:lineRule="auto"/>
        <w:rPr>
          <w:sz w:val="20"/>
          <w:szCs w:val="20"/>
          <w:color w:val="auto"/>
        </w:rPr>
      </w:pPr>
      <w:r>
        <w:rPr>
          <w:rFonts w:ascii="Times New Roman" w:cs="Times New Roman" w:eastAsia="Times New Roman" w:hAnsi="Times New Roman"/>
          <w:sz w:val="18"/>
          <w:szCs w:val="18"/>
          <w:color w:val="auto"/>
        </w:rPr>
        <w:t xml:space="preserve">As part of the Separation,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was reclassified as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Periods Post Separation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Separation, certain functions continue to be provided by BD under the Transition Services Agreements or are being performed using Embecta’s own resources or third-party service providers. Additionally, under manufacturing and supply agreements, the Company manufactures certain products for BD, or its applicable affiliate and BD manufactures certain products for the Company. The Company incurred certain costs in its establishment as a standalone public company and expects to incur ongoing additional costs associated with operating as an independent, publicly traded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and accounts within Embecta have been eliminated.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were made to conform the prior period Consolidated Financial Statements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Note 3 — Summary of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The Company acts as the principal in its customer arrangements and therefore records revenue on a gross basis. When arrangements include multiple performance obligations, the total transaction price of the contract is allocated to each performance obligation based on the estimated 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chargebacks,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accounting for revenue recognition are provided in Note 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highly liquid investments with a maturity of three months or less at the date of acquisition. Interest income on Cash and cash equivalents is recorded as earned.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grants credit to customers in the normal course of business and the resulting trade receivables are stated at their net realizable value. The allowance for doubtful accounts represents the Company’s estimate of probable credit losses relating to trade receivables and is determined based on historical experience, current conditions, reasonable and supportable forecasts and other specific account data. Amounts are written off against the allowances for doubtful accounts when the Company determines that a customer account is uncollectible.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approximate cost or net realizable value determined on the first-in, first-out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 capitalizes costs incurred to implement cloud computing arrangements that are service contracts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Deferred Income Taxes and Other Assets </w:t>
      </w:r>
      <w:r>
        <w:rPr>
          <w:rFonts w:ascii="Times New Roman" w:cs="Times New Roman" w:eastAsia="Times New Roman" w:hAnsi="Times New Roman"/>
          <w:sz w:val="18"/>
          <w:szCs w:val="18"/>
          <w:color w:val="auto"/>
        </w:rPr>
        <w:t>in the Company's Condensed Consolidated Balance Sheets. Implementation costs associated with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computing arrangements are capitalized when incurred during the application development phase. Once the implementation of a cloud computing arrangement is complete and ready for its intended use, the Company amortizes the costs over the expected term of the hosting arrangement using the straight-line method to the same income statement line as the associated cloud operating expenses. The total balance of capitalized costs associated with these arrangements as of September 30, 2023 is $38.0 million which primarily relates to the implementation of the Company's new enterprise resource planning ("ERP") system. These capitalized costs are included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Costs amortized during fiscal year ended September 30, 2023 were not material to the Company's consolidated financial results. As of September 30, 2023, cloud computing arrangement assets in-service have useful lives which range from approximately three to nine years.</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2022, the Company commenced on the process of building a new ERP system to replace the existing systems provided by BD. The ERP system is designed to accurately maintain the Company's financial records used to report operating results. The implementation of the ERP will occur in phases. The first phase of the ERP system implementation began in the fourth quarter of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principally provided on the straight-line basis over estimated useful lives, which range from 20 to 45 years for buildings, 4 to 13 years for machinery and equipment and 1 to 20 years for leasehold improvements. Depreciation expense was $31.5 million in 2023, $31.0 million in 2022, and $37.2 million in 2021.</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periodically reviewed when impairment indicators are present to assess recoverability or a decision has been made to abandon efforts associated with construction in progress assets. Recoverability is determined by comparing the carrying values of the assets or asset groups to the undiscounted cash flows to be generated from the use and eventual disposition of such assets or asset groups. If the asset’s or asset group’s carrying value exceeds such</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undiscounted cash flows, the assets or asset groups are not recoverable and an impairment loss is recognized based on the amount by which the carrying value of the asset or asset group exceeds its calculated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interest cost on capital projects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September 30, 2023 and 2022, the Company capitalized $4.6 million and $5.2 million of interest expense, respectively, into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and capitalized $0.9 million of interest expense into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during the year ended September 30,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Advertising costs are expensed as incurred and included in S</w:t>
      </w:r>
      <w:r>
        <w:rPr>
          <w:rFonts w:ascii="Times New Roman" w:cs="Times New Roman" w:eastAsia="Times New Roman" w:hAnsi="Times New Roman"/>
          <w:sz w:val="18"/>
          <w:szCs w:val="18"/>
          <w:i w:val="1"/>
          <w:iCs w:val="1"/>
          <w:color w:val="auto"/>
        </w:rPr>
        <w:t>elling and administrative expense</w:t>
      </w:r>
      <w:r>
        <w:rPr>
          <w:rFonts w:ascii="Times New Roman" w:cs="Times New Roman" w:eastAsia="Times New Roman" w:hAnsi="Times New Roman"/>
          <w:sz w:val="18"/>
          <w:szCs w:val="18"/>
          <w:color w:val="auto"/>
        </w:rPr>
        <w:t>. The Company recorded advertising costs of $15.5 million, $11.6 million, and $9.3 million in 2023, 2022 and 2021,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net assets of businesses acquired. The Company has one reporting unit. Goodwill is evaluated for impairment as of July 1 each year, or more frequently if impairment indicators exist, by first assessing qualitative factors to determine whether it is more likely than not that fair value is less than carrying value. If the Company concludes it is more likely than not that fair value is less than carrying value, a quantitative fair value test is performed. If carrying value is greater than fair value, a goodwill impairment charge will be recorded for the difference (up to the carrying value of goodwill). The Company completed the annual goodwill impairment test as of July 1, 2023 and concluded that no impairment to goodwill was necessary as the fair value of the Company's one reporting unit was significantly in excess of the carrying value.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goodwill impairments were identified during the years ended September 30, 2022, or 2021, and no accumulated impairment losses are recorded.</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1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and an impairment loss is recognized in operating results to the extent any finite-lived intangible asset’s carrying value exceeds its calculated fair value.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Generally, foreign subsidiaries’ functional currency is the local currency of operations and the net assets of foreign operations are translated into United States dollars using current exchange rates. The United States dollar results that arise from such translation are included in </w:t>
      </w:r>
      <w:r>
        <w:rPr>
          <w:rFonts w:ascii="Times New Roman" w:cs="Times New Roman" w:eastAsia="Times New Roman" w:hAnsi="Times New Roman"/>
          <w:sz w:val="18"/>
          <w:szCs w:val="18"/>
          <w:i w:val="1"/>
          <w:iCs w:val="1"/>
          <w:color w:val="auto"/>
        </w:rPr>
        <w:t>Accumulated other</w:t>
      </w: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shipping and handling costs to be contract fulfillment costs and records them within selling and administrative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were $36.9 million, $27.4 million, and $13.6 million in 2023, 2022, and 2021,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establishes accruals for future losses which are both probable and can be reasonably estimated (and in the case of environmental matters, without considering possible third-party recoveries). Additional disclosures regarding the Company’s accounting for contingencies are provided in Note 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Prior to the Separation, certain of the Company’s employees historically participated in BD’s stock-based compensation plans. Stock-based compensation expense was either allocated to the Company based on a proportionate cost allocation method or recorded based on specific identification. Effective April 1, 2022, the Company established the 2022 Employee and Director Equity Based Compensation Plan (the "Plan"). The Plan provides for the grant of various types of awards, including restricted stock unit ("RSU") awards, stock appreciation rights, stock options, performance-based awards and cash awards. Under the Plan, the exercise price of awards, if any, is set on the grant date and generally may not be less than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jc w:val="both"/>
        <w:spacing w:after="0" w:line="247" w:lineRule="auto"/>
        <w:rPr>
          <w:sz w:val="20"/>
          <w:szCs w:val="20"/>
          <w:color w:val="auto"/>
        </w:rPr>
      </w:pPr>
      <w:r>
        <w:rPr>
          <w:rFonts w:ascii="Times New Roman" w:cs="Times New Roman" w:eastAsia="Times New Roman" w:hAnsi="Times New Roman"/>
          <w:sz w:val="18"/>
          <w:szCs w:val="18"/>
          <w:color w:val="auto"/>
        </w:rPr>
        <w:t>the fair market value per share on that date. The Company measures stock-based compensation for equity awards at fair value on the date of grant and records stock-based compensation as a charge to earnings net of the estimated impact of forfeited awards. For awards that ultimately settle in cash, we treat them as liability awards and mark the award to market each reporting period and recognize any adjustment in our Consolidated Statements of Income. The Company recognizes stock-based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 (see Note 10).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Prior to the Separation, the defined benefit plans in which the Company participated related primarily to plans sponsored by BD and for which other businesses of BD also participate (the "Shared Plans"). The Company accounted for the Shared Plans as multiemployer plans and therefore the related assets and liabilities were not reflected in the Consolidated Balance Sheets. For such periods prior to the Separation, the Consolidated Statements of Income reflect a proportional allocation of net periodic benefit cost for the Shared Plans associated with the Company. The Company's participation in the defined pension and postretirement benefit plans sponsored by BD concluded upon the completion of the Separation on April 1, 2022. At and after Separation, Embecta became the plan sponsor for certain non-United States defined benefit pension plans (see Note 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temporary differences between the financial statement and tax basis of assets and liabilities at the applicable tax rates.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maintains valuation allowances where it is more likely than not that all or a portion of a deferred tax asset will not be realized. Changes in valuation allowances are included in the tax provision in the period of change. In determining whether a valuation allowance is warranted, the Company evaluates factors such as prior earnings history, expected future earnings, carryback and carryforward periods, and tax strategies that could potentially enhance the likelihood of the realization of a deferred tax asset.</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the Company engages in transactions in which tax consequences may be subject to uncertainty. The Company conducts business and files tax returns in numerous jurisdictions based on its interpretation of tax laws and regulations. In evaluating the Company’s tax provision, the Company establishes a reserve for uncertain tax positions unless such positions are determined to be more likely than not of being sustained upon examination based on the technical merits. The Company’s policy is to recognize, when applicable, interest and penalties on uncertain tax positions as part of income tax expense.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believes it has identified all reasonable exposures and the reserve it has established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Cuts and Jobs Act was enacted on December 22, 2017 and introduced an additional United States tax on the earnings of non-United States subsidiaries which are referred to as Global Intangible Low Taxed Income (“GILTI”). The Company has elected to treat GILTI as a period cost.</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Prior to the Separation, the Company's operations were included in the tax returns of BD. Income taxes as presented in the Consolidated Financial Statements attribute current and deferred income tax assets and liabilities of BD to the Company in a manner that is systematic, rational, and consistent with the asset and liability method prescribed by the accounting guidance for income taxes. The Company's income tax provision prior to the Separation was prepared using the separate return method. The separate return method applies the accounting guidance for income taxes to the standalone financial statements as if the Company were a separate taxpayer and a standalone enterprise. The Company believes the assumptions supporting the allocation and presentation of income taxes on a separate return basis are reasonable.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accounting for income taxes are provided in Note 14.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and reports its financial information as one segment. In making this determination, the Company (i) determines its Chief Operating Decision Maker (“CODM”), (ii) identifies and analyzes potential business components, (iii)</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50" w:lineRule="auto"/>
        <w:rPr>
          <w:sz w:val="20"/>
          <w:szCs w:val="20"/>
          <w:color w:val="auto"/>
        </w:rPr>
      </w:pPr>
      <w:r>
        <w:rPr>
          <w:rFonts w:ascii="Times New Roman" w:cs="Times New Roman" w:eastAsia="Times New Roman" w:hAnsi="Times New Roman"/>
          <w:sz w:val="18"/>
          <w:szCs w:val="18"/>
          <w:color w:val="auto"/>
        </w:rPr>
        <w:t>identifies its operating segments and (iv) 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President, its CODM, to evaluate performance of the Company’s business and allocate resources and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fair value hierarchy is applied to prioritize inputs used in measuring fair value. The three levels of inputs used to measure fair value are detailed below.</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disclosures regarding the Company’s fair value measurements are provided in Note 15.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1—Inputs to the valuation methodology which represent unadjusted quoted prices in active markets for identical assets and liabilities.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Level 2—Inputs to the valuation methodology which include: quoted prices for similar assets or liabilities in active markets; quoted prices for identical or similar assets or liabilities in markets that are not active; inputs other than quoted prices that are observable for the asset or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3—Inputs to the valuation methodology which are unobservable and significant to the fair value measurement.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an arrangement contains a lease at inception. If a lease is identified in an arrangement, the Company recognizes a right-of-use asset and liability in the Company's Consolidated Balance Sheets and determine whether the lease should be classified as a finance or operating lease. The Company does not recognize assets or liabilities for leases with lease terms of less than 12 months.</w:t>
      </w:r>
    </w:p>
    <w:p>
      <w:pPr>
        <w:spacing w:after="0" w:line="6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Embecta by the end of the lease term, (ii) the Company holds an option to purchase the leased asset that the Company is reasonably certain to exercise,</w:t>
      </w:r>
    </w:p>
    <w:p>
      <w:pPr>
        <w:jc w:val="both"/>
        <w:ind w:firstLine="8"/>
        <w:spacing w:after="0"/>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w:t>
      </w:r>
    </w:p>
    <w:p>
      <w:pPr>
        <w:spacing w:after="0" w:line="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implicit rate is not readily determinable, the Company utilizes its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lease arrangements that are recognized on the Company’s Consolidated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Variable lease payments are expensed as incurred. If a lease includes an option to extend or terminate the lease, the Company reflects the option in the lease term if it is reasonably certain the Company will exercise the option.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Finance leases are recorded in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finance lease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Non Current Finance Lease Liabilities</w:t>
      </w:r>
      <w:r>
        <w:rPr>
          <w:rFonts w:ascii="Times New Roman" w:cs="Times New Roman" w:eastAsia="Times New Roman" w:hAnsi="Times New Roman"/>
          <w:sz w:val="18"/>
          <w:szCs w:val="18"/>
          <w:color w:val="auto"/>
        </w:rPr>
        <w:t xml:space="preserve"> and operating leases are recorded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Liabilities</w:t>
      </w:r>
      <w:r>
        <w:rPr>
          <w:rFonts w:ascii="Times New Roman" w:cs="Times New Roman" w:eastAsia="Times New Roman" w:hAnsi="Times New Roman"/>
          <w:sz w:val="18"/>
          <w:szCs w:val="18"/>
          <w:color w:val="auto"/>
        </w:rPr>
        <w:t xml:space="preserve">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restructuring costs, inventory reserves and taxes on income as reflected in the Consolidated Financial Statements. Actual results could differ from these estimates.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Net Investment from Becton, Dickinson and Company —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represented BD’s interest in the recorded assets of the Company and the cumulative investment by BD in the Company through the date of the Separation, inclusive of operating results and the net effect of the transactions with and allocations from BD. See Notes 2 and 4 for additional information.</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Cash paid for interest related to debt during the year ended September 30, 2023 and 2022 was $111.0 million and $38.9 million, respectively. The Company did not have any debt outstanding during the year ended September 30, 2021. Cash paid for income taxes, net of refunds, for the years ended September 30, 2023 and 2022 was $30.4 million and $15.6 million, respectively. For the year ended September 30, 2021, the Company's current tax liabilities computed under the separate return method are considered to be effectively settled at the time the transaction is recorded, with the offset recorded against </w:t>
      </w:r>
      <w:r>
        <w:rPr>
          <w:rFonts w:ascii="Times New Roman" w:cs="Times New Roman" w:eastAsia="Times New Roman" w:hAnsi="Times New Roman"/>
          <w:sz w:val="17"/>
          <w:szCs w:val="17"/>
          <w:i w:val="1"/>
          <w:iCs w:val="1"/>
          <w:color w:val="auto"/>
        </w:rPr>
        <w:t>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from Becton, Dickinson and Company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October 2021, the Financial Accounting Standards Board issued Accounting Standards Update 2021-08, Business Combinations (Topic 805): Accounting for Contract Assets and Contract Liabilities from Contracts with Customers. The new guidance requires contract assets and contract liabilities acquired in a business combination to be recognized and measured by the acquirer on the acquisition date in accordance with Accounting Standards Codification 606, Revenue from Contracts with Customers, as if it had originated the contracts. The Company adopted this guidance at the beginning of fiscal year 2023 and it did not materially impact the Company's Condensed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Third Party Arrangements and Related Party Disclosures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Separation, BD ceased to be a related party to Embecta and accordingly, no related party transactions or balances are reported subsequent to April 1, 2022.</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Agreements that Embecta entered into with BD that govern aspects of Embecta's relationship with BD following the Separation include, but are not limited to:</w:t>
      </w:r>
    </w:p>
    <w:p>
      <w:pPr>
        <w:spacing w:after="0" w:line="54" w:lineRule="exact"/>
        <w:rPr>
          <w:sz w:val="20"/>
          <w:szCs w:val="20"/>
          <w:color w:val="auto"/>
        </w:rPr>
      </w:pPr>
    </w:p>
    <w:p>
      <w:pPr>
        <w:jc w:val="both"/>
        <w:ind w:left="660" w:hanging="328"/>
        <w:spacing w:after="0" w:line="24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Agreements ("TSA") - Pursuant to the TSA, Embecta and BD and their respective affiliates provide each other, on an interim, transitional basis, various services, including, but not limited to, information technology, human resources, procurement, quality and regulatory affairs, medical affairs, tax and treasury services. The agreed-upon charges for such services are generally intended to allow the servicing party to charge a price comprised of out-of-pocket costs and expenses and a predetermined profit in the form of a mark-up of such out-of-pocket costs and expenses. The services will terminate no later than 24 months following the Separation, subject to the Extension. The Extension is conditioned upon BD obtaining a supplemental private letter ruling. The service recipient may terminate any services by giving prior written notice to the provider of such services and paying any applicable wind-down charges.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 xml:space="preserve">Trade Receivables Factoring Agreements - Embecta </w:t>
      </w:r>
      <w:r>
        <w:rPr>
          <w:rFonts w:ascii="Times New Roman" w:cs="Times New Roman" w:eastAsia="Times New Roman" w:hAnsi="Times New Roman"/>
          <w:sz w:val="18"/>
          <w:szCs w:val="18"/>
          <w:color w:val="000000"/>
        </w:rPr>
        <w:t>and BD entered into trade receivables factoring agreements (the "Factoring Agreements"),</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under which Embecta transfers certain net trade receivable assets to BD, and pays a service fee calculated as 0.1% of annual revenues related to countries subject to the Factoring Agreements in exchange for the services provided by BD. Per the terms of the Factoring Agreements, the Company and its relevant subsidiaries sell receivables to the corresponding BD subsidiary in the same jurisdiction and such BD subsidiary collects the receivables from Company's customers. The BD subsidiary assumes the credit risk in respect of the receivables, and accordingly deducts a factoring fee from the purchase price of such receivables. Accordingly, Embecta accounts for the transfer as sales of trade receivables by recognizing an increase to </w:t>
      </w:r>
      <w:r>
        <w:rPr>
          <w:rFonts w:ascii="Times New Roman" w:cs="Times New Roman" w:eastAsia="Times New Roman" w:hAnsi="Times New Roman"/>
          <w:sz w:val="18"/>
          <w:szCs w:val="18"/>
          <w:i w:val="1"/>
          <w:iCs w:val="1"/>
          <w:color w:val="000000"/>
        </w:rPr>
        <w:t>Cash and cash equivalents</w:t>
      </w:r>
      <w:r>
        <w:rPr>
          <w:rFonts w:ascii="Times New Roman" w:cs="Times New Roman" w:eastAsia="Times New Roman" w:hAnsi="Times New Roman"/>
          <w:sz w:val="18"/>
          <w:szCs w:val="18"/>
          <w:color w:val="000000"/>
        </w:rPr>
        <w:t xml:space="preserve"> and a decrease to </w:t>
      </w:r>
      <w:r>
        <w:rPr>
          <w:rFonts w:ascii="Times New Roman" w:cs="Times New Roman" w:eastAsia="Times New Roman" w:hAnsi="Times New Roman"/>
          <w:sz w:val="18"/>
          <w:szCs w:val="18"/>
          <w:i w:val="1"/>
          <w:iCs w:val="1"/>
          <w:color w:val="000000"/>
        </w:rPr>
        <w:t>Trade Receivables, net</w:t>
      </w:r>
      <w:r>
        <w:rPr>
          <w:rFonts w:ascii="Times New Roman" w:cs="Times New Roman" w:eastAsia="Times New Roman" w:hAnsi="Times New Roman"/>
          <w:sz w:val="18"/>
          <w:szCs w:val="18"/>
          <w:color w:val="000000"/>
        </w:rPr>
        <w:t xml:space="preserve"> in the Consolidated Balance Sheets when proceeds from the transactions are received. The transfers are presented in the Consolidated Statements of Cash Flows as operating activities and the related service fee is presented as a component of </w:t>
      </w:r>
      <w:r>
        <w:rPr>
          <w:rFonts w:ascii="Times New Roman" w:cs="Times New Roman" w:eastAsia="Times New Roman" w:hAnsi="Times New Roman"/>
          <w:sz w:val="18"/>
          <w:szCs w:val="18"/>
          <w:i w:val="1"/>
          <w:iCs w:val="1"/>
          <w:color w:val="000000"/>
        </w:rPr>
        <w:t>Other income (expense), net</w:t>
      </w:r>
      <w:r>
        <w:rPr>
          <w:rFonts w:ascii="Times New Roman" w:cs="Times New Roman" w:eastAsia="Times New Roman" w:hAnsi="Times New Roman"/>
          <w:sz w:val="18"/>
          <w:szCs w:val="18"/>
          <w:color w:val="000000"/>
        </w:rPr>
        <w:t xml:space="preserve"> in the Consolidated Statements of Income.</w:t>
      </w:r>
    </w:p>
    <w:p>
      <w:pPr>
        <w:spacing w:after="0" w:line="79" w:lineRule="exact"/>
        <w:rPr>
          <w:rFonts w:ascii="Times New Roman" w:cs="Times New Roman" w:eastAsia="Times New Roman" w:hAnsi="Times New Roman"/>
          <w:sz w:val="18"/>
          <w:szCs w:val="18"/>
          <w:color w:val="2B2A29"/>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 - Embecta and BD entered into distribution agreements for certain territories, principally in the Asia Pacific Region and Latin America, whereby a subsidiary of BD is appointed as a distributor of Embecta or its relevant subsidiaries to support certain commercial operations of the diabetes care business on a transitional basis in these regions for a maximum of two years. The distribution agreements will each continue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jc w:val="both"/>
        <w:ind w:left="660"/>
        <w:spacing w:after="0" w:line="246" w:lineRule="auto"/>
        <w:rPr>
          <w:sz w:val="20"/>
          <w:szCs w:val="20"/>
          <w:color w:val="auto"/>
        </w:rPr>
      </w:pPr>
      <w:r>
        <w:rPr>
          <w:rFonts w:ascii="Times New Roman" w:cs="Times New Roman" w:eastAsia="Times New Roman" w:hAnsi="Times New Roman"/>
          <w:sz w:val="18"/>
          <w:szCs w:val="18"/>
          <w:color w:val="auto"/>
        </w:rPr>
        <w:t>until either (1) certain governmental approvals needed to distribute products in the defined territory are obtained and order-to-cash processes and other services of the Company for such territory are migrated to an alternative commercial arrangement between the parties or (2) the applicable services are transitioned to a third-party distributor or independently performed by Embecta, but in any event no longer than the maximum term of two years, except certain such agreements may be extended in connection with the Extension. Embecta shall pay BD a return of 1.5% to 2.0% of net revenue for each territory.</w:t>
      </w:r>
    </w:p>
    <w:p>
      <w:pPr>
        <w:spacing w:after="0" w:line="87" w:lineRule="exact"/>
        <w:rPr>
          <w:sz w:val="20"/>
          <w:szCs w:val="20"/>
          <w:color w:val="auto"/>
        </w:rPr>
      </w:pPr>
    </w:p>
    <w:p>
      <w:pPr>
        <w:jc w:val="both"/>
        <w:ind w:left="660" w:hanging="328"/>
        <w:spacing w:after="0" w:line="24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Cannula Supply Agreement - Embecta and BD entered into a cannula supply agreement whereby BD sells to Embecta cannulas for incorporation into Embecta's existing syringes and pen needles, safety syringes and safety pen needles, and products currently under development. BD retains ownership of all cannula technology, cannula production activities and the intellectual property rights therein. Embecta is limited to a maximum number of cannulas that it can purchase under the cannula supply agreement, which will be an absolute upper limit of cannulas per year and yearly limits that vary with annual demand. The cannula supply agreement is terminable by Embecta without cause by providing at least 36 months’ written notice; however, such termination can be effective no earlier than five years from the Separation. The cannula supply agreement will be terminable by BD without cause by providing at least 36 months’ written notice; however, such termination can be effective no earlier than ten years from the Separation. However, in the event of a change of control of Embecta, BD has the right to terminate the cannula supply agreement in its sole discretion. The cannula supply agreement will also terminate automatically, subject to a 36-month wind-down period, if Embecta’s yearly forecast is below the required minimum purchase amount, and the parties have other customary termination rights for material breach or bankruptcy of the other party.</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 - Pursuant to the tax matters agreement, Embecta agreed to certain covenants that contain restrictions intended to preserve the tax-free status of the distribution and certain related transactions. Embecta may take certain actions prohibited by these covenants only if Embecta obtains and provides to BD an opinion from a United States tax counsel or accountant of recognized national standing, in either case satisfactory to BD, to the effect that such action would not jeopardize the tax-free status of the distribution and certain related transactions, or if Embecta obtains prior written consent of BD. Embecta is barred from taking any action, or failing to take any action, where such action or failure to act adversely affects or could reasonably be expected to adversely affect the tax-free status of the distribution and certain related transactions or result in certain other taxes to BD, for all relevant time periods. In addition, during the period ending two years after the Separation, these covenants include specific restrictions on Embecta’s (i) discontinuing the active conduct of Embecta’s trade or business; (ii) issuance or sale of stock or other securities (including securities convertible into Embecta stock, but excluding certain compensatory arrangements); (iii) liquidating, merging, or consolidating with any other person; (iv) amending Embecta’s certificate of incorporation (or other organizational documents) or taking any other action, whether through a stockholder vote or otherwise, affecting the voting rights of Embecta common stock; (v) sales of assets outside the ordinary course of business; and (vi) entering into any other corporate transaction which would cause Embecta to undergo a 50% or greater change in its stock ownership.</w:t>
      </w:r>
    </w:p>
    <w:p>
      <w:pPr>
        <w:spacing w:after="0" w:line="94" w:lineRule="exact"/>
        <w:rPr>
          <w:rFonts w:ascii="Times New Roman" w:cs="Times New Roman" w:eastAsia="Times New Roman" w:hAnsi="Times New Roman"/>
          <w:sz w:val="18"/>
          <w:szCs w:val="18"/>
          <w:color w:val="auto"/>
        </w:rPr>
      </w:pPr>
    </w:p>
    <w:p>
      <w:pPr>
        <w:ind w:left="660" w:right="40" w:hanging="328"/>
        <w:spacing w:after="0" w:line="24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Services Agreement - Embecta and BD entered into a logistics services agreement whereby BD provides Embecta with certain order-to-cash and logistics services to support certain commercial operations for a maximum term of two years, which BD has agreed to extend through March 31, 2024. Embecta will pay BD (i) reimbursable costs, including all shipping costs, selling costs, general administration costs, costs of goods, research and development services costs, and other income and expenses related solely to the diabetes care business, that are incurred by BD directly, as allocated costs or as costs payable to a third party and (ii) a monthly administrative fee of 1.0% of net revenue (which will increase to 1.25% of net revenue after January 1, 2024).</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that Embecta entered into with BD include, but are not limited to, the employee matters agreement ("EMA"), an intellectual property matters agreement, local support services agreements, certain other manufacturing arrangements and a process services agreement and lease agreement for a manufacturing facility located in Holdrege, Nebraska. See Note 17 for more information on the lease agreement for Holdrege.</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it pertains to the Distribution Agreements noted above, Embecta has determined it is the principal under these arrangements and is entitled to all the benefits, and is liable for all the risks, related to the inventory and receivables. Additionally, Embecta has latitude in pricing, has the ability to direct BD regarding decisions over inventory, and is responsible for all credit and collections risks and losses associated with the related receivables when there is no factoring agreement in place. As such, Embecta recognizes these sales on a gross basis.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amount due from BD under the above agreements was $142.4 million at September 30, 2023 and is reflected in </w:t>
      </w:r>
      <w:r>
        <w:rPr>
          <w:rFonts w:ascii="Times New Roman" w:cs="Times New Roman" w:eastAsia="Times New Roman" w:hAnsi="Times New Roman"/>
          <w:sz w:val="18"/>
          <w:szCs w:val="18"/>
          <w:i w:val="1"/>
          <w:iCs w:val="1"/>
          <w:color w:val="auto"/>
        </w:rPr>
        <w:t>Amounts due from Becton, Dickinson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Company</w:t>
      </w:r>
      <w:r>
        <w:rPr>
          <w:rFonts w:ascii="Times New Roman" w:cs="Times New Roman" w:eastAsia="Times New Roman" w:hAnsi="Times New Roman"/>
          <w:sz w:val="18"/>
          <w:szCs w:val="18"/>
          <w:color w:val="auto"/>
        </w:rPr>
        <w:t>. The amount due to BD under these agreements was $73.1 million at September 30, 2023 and is included in</w:t>
      </w:r>
      <w:r>
        <w:rPr>
          <w:rFonts w:ascii="Times New Roman" w:cs="Times New Roman" w:eastAsia="Times New Roman" w:hAnsi="Times New Roman"/>
          <w:sz w:val="18"/>
          <w:szCs w:val="18"/>
          <w:i w:val="1"/>
          <w:iCs w:val="1"/>
          <w:color w:val="auto"/>
        </w:rPr>
        <w:t xml:space="preserve"> Amounts due to Becton,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Dickinson and Company</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closing of the transfers of certain assets and liabilities related to the Diabetes Care Business in certain jurisdictions, including China, Mexico, and Italy, as contemplated by the Separation and Distribution Agreement did not occur at</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Separation. The transfers of the remaining relevant local assets and liabilities for these deferred countries are expected to close at a future date. As of September 30, 2023, the Company estimates that amounts due to BD related to certain assets and liabilities in deferred close jurisdictions is $29.7 million and are reflected in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xml:space="preserve">. As of September 30, 2023, the Company estimates that amounts due from BD related to certain assets and liabilities in deferred close jurisdictions are $8.4 million and is reflected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Separation, the Company did not operate as a standalone business and the Consolidated Financial Statements were derived from the consolidated financial statements and accounting records of BD. The following disclosure summarizes activity between the Company and BD up to the Separation, including the affiliates of BD that were not part of the Separation.</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2022 and 2021, cost of products sold from related party inventory purchases were $28.0 million and $40.6 million, respectively. For the year ended September 30, 2023 there were no cost of products sold from related party inventory purchases.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Medical Segment Allocations from BD</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BD provided significant corporate, finance, human resources, information technology, facilities, and legal services, among others (collectively, “General Corporate Expenses”) to the Company. Some of these services continue to be provided by BD to the Company on a temporary basis under the TSA. For purposes of these Consolidated Financial Statements for the periods prior to the Separation, the General Corporate Expenses have been allocated to the Company.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allocations of General Corporate Expenses are reflected in the Consolidated Statements of Income as follows:</w:t>
      </w:r>
    </w:p>
    <w:p>
      <w:pPr>
        <w:spacing w:after="0" w:line="174"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21590</wp:posOffset>
            </wp:positionV>
            <wp:extent cx="13627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6"/>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0"/>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33"/>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3"/>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0"/>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General Corporate Expenses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expenses were allocated to the Company on a pro rata basis of global and regional revenues, headcount, research and development spend and other drivers. Management believes the assumptions underlying the Consolidated Financial Statements, including the assumptions regarding allocating General Corporate Expenses from BD, are reasonable. Nevertheless, the Consolidated Financial Statements for periods prior to the Separation may not include all of the actual expenses that would have been incurred and may not reflect the Company’s Consolidated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transactions represent activity in the ordinary course of business between the Company and BD prior to the Separation for certain materials for use in production of certain medical products that were not at arm’s length. The following table summarizes such former related party purchases as follows:</w:t>
      </w:r>
    </w:p>
    <w:p>
      <w:pPr>
        <w:spacing w:after="0" w:line="158"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38735</wp:posOffset>
            </wp:positionV>
            <wp:extent cx="13627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57" w:lineRule="exact"/>
        <w:rPr>
          <w:sz w:val="20"/>
          <w:szCs w:val="20"/>
          <w:color w:val="auto"/>
        </w:rPr>
      </w:pPr>
    </w:p>
    <w:p>
      <w:pPr>
        <w:ind w:left="9420"/>
        <w:spacing w:after="0"/>
        <w:tabs>
          <w:tab w:leader="none" w:pos="105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52" w:lineRule="exact"/>
        <w:rPr>
          <w:sz w:val="20"/>
          <w:szCs w:val="20"/>
          <w:color w:val="auto"/>
        </w:rPr>
      </w:pPr>
    </w:p>
    <w:p>
      <w:pPr>
        <w:spacing w:after="0"/>
        <w:tabs>
          <w:tab w:leader="none" w:pos="9100" w:val="left"/>
          <w:tab w:leader="none" w:pos="9680" w:val="left"/>
          <w:tab w:leader="none" w:pos="10160" w:val="left"/>
          <w:tab w:leader="none" w:pos="10840" w:val="left"/>
        </w:tabs>
        <w:rPr>
          <w:sz w:val="20"/>
          <w:szCs w:val="20"/>
          <w:color w:val="auto"/>
        </w:rPr>
      </w:pPr>
      <w:r>
        <w:rPr>
          <w:rFonts w:ascii="Times New Roman" w:cs="Times New Roman" w:eastAsia="Times New Roman" w:hAnsi="Times New Roman"/>
          <w:sz w:val="16"/>
          <w:szCs w:val="16"/>
          <w:color w:val="auto"/>
        </w:rPr>
        <w:t>Purchases from BD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28.0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All significant intercompany transactions between the Company and BD prior to the Separation have been included in the Consolidated Financial Statements and are considered to be effectively settled for cash at the time the transaction is recorded. For the period prior to the Separation, the total net effect of the settlement of these intercompany transactions is reflected in the Consolidated Statements of Cash Flows as a financing activity and in the Consolidated Balance Sheets as </w:t>
      </w:r>
      <w:r>
        <w:rPr>
          <w:rFonts w:ascii="Times New Roman" w:cs="Times New Roman" w:eastAsia="Times New Roman" w:hAnsi="Times New Roman"/>
          <w:sz w:val="18"/>
          <w:szCs w:val="18"/>
          <w:i w:val="1"/>
          <w:iCs w:val="1"/>
          <w:color w:val="auto"/>
        </w:rPr>
        <w:t>Net Investment from Becton, Dickinson and Company.</w:t>
      </w:r>
    </w:p>
    <w:p>
      <w:pPr>
        <w:spacing w:after="0" w:line="6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Prior to the Separation, net transfers to BD were included within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in the Consolidated Statements of Equity and represent the net effect of transactions between the Company and BD.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the net transfers to BD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09"/>
        </w:trPr>
        <w:tc>
          <w:tcPr>
            <w:tcW w:w="8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1"/>
        </w:trPr>
        <w:tc>
          <w:tcPr>
            <w:tcW w:w="8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8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Cash pooling and general financing activities</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w:t>
            </w:r>
          </w:p>
        </w:tc>
      </w:tr>
      <w:tr>
        <w:trPr>
          <w:trHeight w:val="210"/>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segment allocations, excluding non-cash stock-based compensation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33"/>
        </w:trPr>
        <w:tc>
          <w:tcPr>
            <w:tcW w:w="8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3"/>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deemed settled with BD</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0"/>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Separation related adjustments,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BD as reflected in the Consolidated Statements of Cash Flows</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204"/>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33"/>
        </w:trPr>
        <w:tc>
          <w:tcPr>
            <w:tcW w:w="8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3"/>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expense</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0"/>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consideration paid to BD in connection with the Separation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3"/>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senior secured notes</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transfers to (from) BD,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33"/>
        </w:trPr>
        <w:tc>
          <w:tcPr>
            <w:tcW w:w="8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1"/>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BD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340" w:hanging="332"/>
        <w:spacing w:after="0" w:line="217"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nature of activities includes financing activities for capital transfers, cash sweeps and other treasury services. As part of this activity, cash balances were swept to BD on a daily basis under the BD Treasury function and the Company receives capital from BD for its cash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Senior Secured Notes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On March 31, 2022, Embecta issued $200.0 million of senior secured notes to BD (the "Related Party Notes"). </w:t>
      </w:r>
      <w:r>
        <w:rPr>
          <w:rFonts w:ascii="Times New Roman" w:cs="Times New Roman" w:eastAsia="Times New Roman" w:hAnsi="Times New Roman"/>
          <w:sz w:val="18"/>
          <w:szCs w:val="18"/>
          <w:color w:val="2B2A29"/>
        </w:rPr>
        <w:t>The Related Party Notes issued to BD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not issued for cash and instead were subject to a debt-for-debt exchange which occurred on April 1, 2022. As of April 1, 2022 t</w:t>
      </w:r>
      <w:r>
        <w:rPr>
          <w:rFonts w:ascii="Times New Roman" w:cs="Times New Roman" w:eastAsia="Times New Roman" w:hAnsi="Times New Roman"/>
          <w:sz w:val="18"/>
          <w:szCs w:val="18"/>
          <w:color w:val="000000"/>
        </w:rPr>
        <w:t>he Related Party Notes were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 xml:space="preserve">reclassified to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000000"/>
        </w:rPr>
        <w:t xml:space="preserve"> in the Consolidated Balance Sheets as the Related Party Notes are third party debt for periods post Separation. </w:t>
      </w:r>
      <w:r>
        <w:rPr>
          <w:rFonts w:ascii="Times New Roman" w:cs="Times New Roman" w:eastAsia="Times New Roman" w:hAnsi="Times New Roman"/>
          <w:sz w:val="18"/>
          <w:szCs w:val="18"/>
          <w:color w:val="2B2A29"/>
        </w:rPr>
        <w:t>Refer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B2A29"/>
        </w:rPr>
        <w:t>Note 12 for further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Collaboration Agreement</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March 2023, the Company entered into a collaboration agreement with a third-party to develop and commercialize an interoperable automated glycemic controller ("iAGC") to complement the Company's insulin patch pump currently in development. The Company believes that both parties are active participants in the operating activities of the collaboration and exposed to certain risks and rewards depending on commercial success. The transaction included an upfront payment of $2.5 million for project costs, which was expensed to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during the year ended September 30, 2023. Upon successful commercialization of the iAGC, the Company will be responsible for the sales and marketing effort and would pay a royalty to the third-party based on future product sales to customers. The Company expects that it will be the principal in the end customer sale and 100% of product sales will be included in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and any royalty payments and continued project costs after commercialization will be included 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sold </w:t>
      </w:r>
      <w:r>
        <w:rPr>
          <w:rFonts w:ascii="Times New Roman" w:cs="Times New Roman" w:eastAsia="Times New Roman" w:hAnsi="Times New Roman"/>
          <w:sz w:val="18"/>
          <w:szCs w:val="18"/>
          <w:color w:val="auto"/>
        </w:rPr>
        <w:t>as they are incurred.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Operating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incurred separation and stand-up costs of approximately </w:t>
      </w:r>
      <w:r>
        <w:rPr>
          <w:rFonts w:ascii="Times New Roman" w:cs="Times New Roman" w:eastAsia="Times New Roman" w:hAnsi="Times New Roman"/>
          <w:sz w:val="18"/>
          <w:szCs w:val="18"/>
          <w:color w:val="2B2A29"/>
        </w:rPr>
        <w:t>$92.7 million, $44.7 million, and $4.8 million</w:t>
      </w:r>
      <w:r>
        <w:rPr>
          <w:rFonts w:ascii="Times New Roman" w:cs="Times New Roman" w:eastAsia="Times New Roman" w:hAnsi="Times New Roman"/>
          <w:sz w:val="18"/>
          <w:szCs w:val="18"/>
          <w:color w:val="auto"/>
        </w:rPr>
        <w:t xml:space="preserve"> during the years ended September 30, 2023, 2022, and 2021, respectively. The costs incurred primarily consist of costs associated with accounting, auditing, legal services, supply chain, employee retention, the implementation of the Company's new ERP system, and certain other costs to establish certain stand-alone functions to assist with the transition to being a stand-alone entity.</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year ended September 30, 2023, the Company recorded approximately $5.6 million of severance costs related to the optimization of certain business functions. These costs were primarily recorded in the U.S. and severance costs were not material to any comparable prior year periods presented. Liabilities for costs associated with these activities were not material to any period presented. For the years ended September 30, 2022, and 2021 severance costs were not material to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Note 7 — Contingencies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subject to potential liabilities under government regulations and various claims and legal actions that are pending or may be asserted from time-to-time. These matters arise in the ordinary course and conduct of the Company’s business and include, for example, commercial, product liability, breach of contract and tort, intellectual property, product liability, environmental, securities and employment matters. The Company intends to continue to defend itself vigorously in such matters and when warranted, take legal action against others. Furthermore, the Company regularly assesses contingencies to determine the degree of probability and range of possible loss for potential accrual in its financial statements.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 estimated loss contingency is accrued in the Company’s Financial Statements if it is probable that a liability has been incurred and the amount of the loss can be reasonably estimated. Based on the Company’s assessment, it has adequately accrued an amount for contingent liabilities currently in existence. The Company does not accrue amounts for liabilities that it does not believe are probable. Litigation is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September 30, 2023 or September 30, 2022, nor is it a party to any material legal proceedings as of the date of issuance of these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consolidated financial results.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September 30, 2023 and September 30, 2022 was $36.4 million and $43.8 million, respectively. Sales deductions recorded as a reduction of gross revenues for the years ended September 30, 2023, 2022 and 2021 were $411.1 million, $336.4 million, and $298.7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is provided within Note 9.</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Consolidated Balance Sheets.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as of each of September 30, 2023 and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and Geographical Data</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September 30,</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1"/>
        </w:trPr>
        <w:tc>
          <w:tcPr>
            <w:tcW w:w="12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r>
      <w:tr>
        <w:trPr>
          <w:trHeight w:val="243"/>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w:t>
            </w:r>
          </w:p>
        </w:tc>
      </w:tr>
      <w:tr>
        <w:trPr>
          <w:trHeight w:val="262"/>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220" w:type="dxa"/>
            <w:vAlign w:val="bottom"/>
            <w:tcBorders>
              <w:bottom w:val="single" w:sz="8" w:color="auto"/>
            </w:tcBorders>
          </w:tcPr>
          <w:p>
            <w:pPr>
              <w:spacing w:after="0"/>
              <w:rPr>
                <w:sz w:val="14"/>
                <w:szCs w:val="14"/>
                <w:color w:val="auto"/>
              </w:rPr>
            </w:pPr>
          </w:p>
        </w:tc>
        <w:tc>
          <w:tcPr>
            <w:tcW w:w="5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94" w:lineRule="exact"/>
        <w:rPr>
          <w:sz w:val="20"/>
          <w:szCs w:val="20"/>
          <w:color w:val="auto"/>
        </w:rPr>
      </w:pPr>
    </w:p>
    <w:p>
      <w:pPr>
        <w:ind w:left="340" w:hanging="332"/>
        <w:spacing w:after="0" w:line="225"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years ended September 30, 2023, 2022, and 2021 no individual country outside of the United States generated net revenues that represented more than 10.0% of total revenues.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Separation, certain of the Company's employees participated in stock-based compensation plans sponsored by BD. Under these plans BD granted time-vested restricted stock units ("TVUs"), stock appreciation rights ("SARs"), and performance share units ("PSUs") to certain management level employees.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Prior to the Separation on April 1, 2022, share-based compensation expense in the Consolidated Statements of Income is representative of those employees who were dedicated to the Diabetes Care Business. Additionally, share-based compensation expense was allocated to the Diabetes Care Business for BD Corporate and Medical Segment employees who were not dedicated solely to the Diabetes Care Business. This stock-based compensation expense was allocated using a proportional cost allocation method and is included as a component of corporate allocations for periods prior to the Separation. The amounts presented for the periods prior to the Separation are not necessarily indicative of future awards and do not necessarily reflect the costs that the Company would have incurred as an independent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Separation Date and Periods Post Separation</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connection with the Separation, and in accordance with the EMA, Embecta's employees with outstanding former BD share-based awards received replacement share-based awards under the Plan. The ratio used to convert the BD share-based awards was designed to preserve the aggregate intrinsic value of the award immediately after the Separation when compared to the aggregate intrinsic value of the award immediately prior to Separation. As a result of the award modification, Embecta will incur $6.1 million of incremental stock-based compensation expense. Of this amount, $1.8 million and $2.3 million was recognized during the year ended September 30, 2023 and 2022, respectively. $2.0 million will be recognized at a future date over the awards' remaining vesting period.</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April 1, 2022, Embecta established the Plan. A total of 7,000,000 shares of common stock are authorized under the Plan. The Plan provides for the grant of various types of awards including RSU awards, SARs, stock options, performance-based awards and other stock-based awards. Under the Plan, the exercise price of awards, if any, is set on the grant date and may not be less than the fair market value per share on that date. Generally SARs have a term of ten years and a three or four year vesting period, subject to limited exceptions.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cost only for those stock-based awards that are estimated to ultimately vest over their requisite service period, based on the vesting provisions of the individual grants. The cumulative effect on current and prior periods of a change in the estimated forfeiture rate is recognized as compensation cost in earnings in the period of the change.</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4" w:name="page65"/>
    <w:bookmarkEnd w:id="64"/>
    <w:p>
      <w:pPr>
        <w:spacing w:after="0" w:line="266" w:lineRule="auto"/>
        <w:rPr>
          <w:sz w:val="20"/>
          <w:szCs w:val="20"/>
          <w:color w:val="auto"/>
        </w:rPr>
      </w:pPr>
      <w:r>
        <w:rPr>
          <w:rFonts w:ascii="Times New Roman" w:cs="Times New Roman" w:eastAsia="Times New Roman" w:hAnsi="Times New Roman"/>
          <w:sz w:val="18"/>
          <w:szCs w:val="18"/>
          <w:color w:val="2B2A29"/>
        </w:rPr>
        <w:t>On April 1, 2022, Embecta granted 48,192 potential shares to non-employee directors in the form of RSUs, which vest at the earlier of (i) the first anniversary of the grant date or (ii) the date of the first annual meeting of stockholders, subject to continued service of the recipients.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B2A29"/>
        </w:rPr>
        <w:t>On April 4, 2022 and in connection with the Separation, Embecta granted 860,611 of potential shares to members of the Embecta leadership team as a one-time sign-on equity grant, subject to continued employment, comprised of the following:</w:t>
      </w:r>
    </w:p>
    <w:p>
      <w:pPr>
        <w:spacing w:after="0" w:line="5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172,787 grants of time-vested RSUs which cliff vest on the third anniversary after grant date;</w:t>
      </w:r>
    </w:p>
    <w:p>
      <w:pPr>
        <w:spacing w:after="0" w:line="117" w:lineRule="exact"/>
        <w:rPr>
          <w:rFonts w:ascii="Times New Roman" w:cs="Times New Roman" w:eastAsia="Times New Roman" w:hAnsi="Times New Roman"/>
          <w:sz w:val="18"/>
          <w:szCs w:val="18"/>
          <w:color w:val="2B2A29"/>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528,167 grants of SARs which cliff vest on the third anniversary after grant date and;</w:t>
      </w:r>
    </w:p>
    <w:p>
      <w:pPr>
        <w:spacing w:after="0" w:line="103" w:lineRule="exact"/>
        <w:rPr>
          <w:rFonts w:ascii="Times New Roman" w:cs="Times New Roman" w:eastAsia="Times New Roman" w:hAnsi="Times New Roman"/>
          <w:sz w:val="18"/>
          <w:szCs w:val="18"/>
          <w:color w:val="2B2A29"/>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27,653 of TVUs and 132,004 of SARs granted to the Embecta's chief executive officer which vest evenly over three and four years,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direct and allocated stock-based compensation expense for the years ended September 30, 2023, 2022, and 2021 and the respective income tax benefits recognized by the Company in the Consolidated Statements of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33"/>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4"/>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33"/>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6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Liability Awards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
        </w:trPr>
        <w:tc>
          <w:tcPr>
            <w:tcW w:w="6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years ended September 30, 2023 and 2022, subsequent to the Separation:</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4"/>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33"/>
        </w:trPr>
        <w:tc>
          <w:tcPr>
            <w:tcW w:w="7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year </w:t>
      </w:r>
      <w:r>
        <w:rPr>
          <w:rFonts w:ascii="Times New Roman" w:cs="Times New Roman" w:eastAsia="Times New Roman" w:hAnsi="Times New Roman"/>
          <w:sz w:val="18"/>
          <w:szCs w:val="18"/>
          <w:color w:val="000000"/>
        </w:rPr>
        <w:t>ended September 30, 2023</w:t>
      </w:r>
      <w:r>
        <w:rPr>
          <w:rFonts w:ascii="Times New Roman" w:cs="Times New Roman" w:eastAsia="Times New Roman" w:hAnsi="Times New Roman"/>
          <w:sz w:val="18"/>
          <w:szCs w:val="18"/>
          <w:color w:val="2B2A29"/>
        </w:rPr>
        <w:t xml:space="preserve">, Embecta granted 680,281 RSUs in the form of TVUs to employees which vest ratably over three years, subject to continued employment of the recipients. </w:t>
      </w:r>
      <w:r>
        <w:rPr>
          <w:rFonts w:ascii="Times New Roman" w:cs="Times New Roman" w:eastAsia="Times New Roman" w:hAnsi="Times New Roman"/>
          <w:sz w:val="18"/>
          <w:szCs w:val="18"/>
          <w:color w:val="000000"/>
        </w:rPr>
        <w:t>TVUs vest on a graded basis over a period of three years. The related stock-based compensation expense is</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recorded over the requisite service period, which is the vesting period or is based on retirement eligibility. The fair value of all TVUs is based on the market value of the Company’s stock on the date of grant.</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A summary of TVUs outstanding as of September 30, 2023 and changes during the year then ended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 (in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September 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September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1,134.6</w:t>
            </w:r>
          </w:p>
        </w:tc>
        <w:tc>
          <w:tcPr>
            <w:tcW w:w="14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distributed include shares withheld for taxes that are not formally issued to the market.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TVUs granted during the years 2023 and 2022 are as follows:</w:t>
      </w:r>
    </w:p>
    <w:p>
      <w:pPr>
        <w:spacing w:after="0" w:line="149" w:lineRule="exact"/>
        <w:rPr>
          <w:sz w:val="20"/>
          <w:szCs w:val="20"/>
          <w:color w:val="auto"/>
        </w:rPr>
      </w:pPr>
    </w:p>
    <w:p>
      <w:pPr>
        <w:ind w:left="8520"/>
        <w:spacing w:after="0"/>
        <w:tabs>
          <w:tab w:leader="none" w:pos="10260" w:val="left"/>
        </w:tabs>
        <w:rPr>
          <w:sz w:val="20"/>
          <w:szCs w:val="20"/>
          <w:color w:val="auto"/>
        </w:rPr>
      </w:pPr>
      <w:r>
        <w:rPr>
          <w:rFonts w:ascii="Times New Roman" w:cs="Times New Roman" w:eastAsia="Times New Roman" w:hAnsi="Times New Roman"/>
          <w:sz w:val="16"/>
          <w:szCs w:val="16"/>
          <w:color w:val="auto"/>
        </w:rPr>
        <w:t>2023</w:t>
      </w:r>
      <w:r>
        <w:rPr>
          <w:sz w:val="20"/>
          <w:szCs w:val="20"/>
          <w:color w:val="auto"/>
        </w:rPr>
        <w:tab/>
      </w:r>
      <w:r>
        <w:rPr>
          <w:rFonts w:ascii="Times New Roman" w:cs="Times New Roman" w:eastAsia="Times New Roman" w:hAnsi="Times New Roman"/>
          <w:sz w:val="16"/>
          <w:szCs w:val="16"/>
          <w:color w:val="auto"/>
        </w:rPr>
        <w:t>2022</w:t>
      </w:r>
    </w:p>
    <w:p>
      <w:pPr>
        <w:spacing w:after="0" w:line="32" w:lineRule="exact"/>
        <w:rPr>
          <w:sz w:val="20"/>
          <w:szCs w:val="20"/>
          <w:color w:val="auto"/>
        </w:rPr>
      </w:pPr>
    </w:p>
    <w:p>
      <w:pPr>
        <w:ind w:left="20"/>
        <w:spacing w:after="0"/>
        <w:tabs>
          <w:tab w:leader="none" w:pos="7880" w:val="left"/>
          <w:tab w:leader="none" w:pos="9020" w:val="left"/>
          <w:tab w:leader="none" w:pos="9640" w:val="left"/>
          <w:tab w:leader="none" w:pos="10780" w:val="left"/>
        </w:tabs>
        <w:rPr>
          <w:sz w:val="20"/>
          <w:szCs w:val="20"/>
          <w:color w:val="auto"/>
        </w:rPr>
      </w:pPr>
      <w:r>
        <w:rPr>
          <w:rFonts w:ascii="Times New Roman" w:cs="Times New Roman" w:eastAsia="Times New Roman" w:hAnsi="Times New Roman"/>
          <w:sz w:val="16"/>
          <w:szCs w:val="16"/>
          <w:color w:val="auto"/>
        </w:rPr>
        <w:t>Weighted average grant date fair value of units granted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31.00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TVUs vested during the years 2023 and 2022 was as follows:</w:t>
      </w:r>
    </w:p>
    <w:p>
      <w:pPr>
        <w:spacing w:after="0" w:line="149" w:lineRule="exact"/>
        <w:rPr>
          <w:sz w:val="20"/>
          <w:szCs w:val="20"/>
          <w:color w:val="auto"/>
        </w:rPr>
      </w:pPr>
    </w:p>
    <w:p>
      <w:pPr>
        <w:ind w:left="9200"/>
        <w:spacing w:after="0"/>
        <w:tabs>
          <w:tab w:leader="none" w:pos="10880" w:val="left"/>
        </w:tabs>
        <w:rPr>
          <w:sz w:val="20"/>
          <w:szCs w:val="20"/>
          <w:color w:val="auto"/>
        </w:rPr>
      </w:pPr>
      <w:r>
        <w:rPr>
          <w:rFonts w:ascii="Times New Roman" w:cs="Times New Roman" w:eastAsia="Times New Roman" w:hAnsi="Times New Roman"/>
          <w:sz w:val="16"/>
          <w:szCs w:val="16"/>
          <w:color w:val="auto"/>
        </w:rPr>
        <w:t>2023</w:t>
      </w:r>
      <w:r>
        <w:rPr>
          <w:sz w:val="20"/>
          <w:szCs w:val="20"/>
          <w:color w:val="auto"/>
        </w:rPr>
        <w:tab/>
      </w:r>
      <w:r>
        <w:rPr>
          <w:rFonts w:ascii="Times New Roman" w:cs="Times New Roman" w:eastAsia="Times New Roman" w:hAnsi="Times New Roman"/>
          <w:sz w:val="16"/>
          <w:szCs w:val="16"/>
          <w:color w:val="auto"/>
        </w:rPr>
        <w:t>2022</w:t>
      </w:r>
    </w:p>
    <w:p>
      <w:pPr>
        <w:spacing w:after="0" w:line="32" w:lineRule="exact"/>
        <w:rPr>
          <w:sz w:val="20"/>
          <w:szCs w:val="20"/>
          <w:color w:val="auto"/>
        </w:rPr>
      </w:pPr>
    </w:p>
    <w:p>
      <w:pPr>
        <w:ind w:left="20"/>
        <w:spacing w:after="0"/>
        <w:tabs>
          <w:tab w:leader="none" w:pos="7940" w:val="left"/>
          <w:tab w:leader="none" w:pos="9160" w:val="left"/>
          <w:tab w:leader="none" w:pos="9640" w:val="left"/>
          <w:tab w:leader="none" w:pos="10960" w:val="left"/>
        </w:tabs>
        <w:rPr>
          <w:sz w:val="20"/>
          <w:szCs w:val="20"/>
          <w:color w:val="auto"/>
        </w:rPr>
      </w:pPr>
      <w:r>
        <w:rPr>
          <w:rFonts w:ascii="Times New Roman" w:cs="Times New Roman" w:eastAsia="Times New Roman" w:hAnsi="Times New Roman"/>
          <w:sz w:val="16"/>
          <w:szCs w:val="16"/>
          <w:color w:val="auto"/>
        </w:rPr>
        <w:t>Total fair value of units vested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10.9</w:t>
        <w:tab/>
        <w:t>$</w:t>
      </w:r>
      <w:r>
        <w:rPr>
          <w:sz w:val="20"/>
          <w:szCs w:val="20"/>
          <w:color w:val="auto"/>
        </w:rPr>
        <w:tab/>
      </w: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2023, the weighted average remaining vesting term of TVUs is 1.5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B2A29"/>
        </w:rPr>
        <w:t xml:space="preserve">During the year </w:t>
      </w:r>
      <w:r>
        <w:rPr>
          <w:rFonts w:ascii="Times New Roman" w:cs="Times New Roman" w:eastAsia="Times New Roman" w:hAnsi="Times New Roman"/>
          <w:sz w:val="18"/>
          <w:szCs w:val="18"/>
          <w:color w:val="000000"/>
        </w:rPr>
        <w:t>ended September 30, 2023</w:t>
      </w:r>
      <w:r>
        <w:rPr>
          <w:rFonts w:ascii="Times New Roman" w:cs="Times New Roman" w:eastAsia="Times New Roman" w:hAnsi="Times New Roman"/>
          <w:sz w:val="18"/>
          <w:szCs w:val="18"/>
          <w:color w:val="2B2A29"/>
        </w:rPr>
        <w:t xml:space="preserve">, Embecta awarded 244,192 RSUs in the form of PSUs to certain executive officers and employees which vest after three years, subject to continued employment of the recipients and the achievement of certain performance metric targets. For a portion of these awards, the Company has identified certain performance metrics and targets that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w:t>
      </w:r>
      <w:r>
        <w:rPr>
          <w:rFonts w:ascii="Times New Roman" w:cs="Times New Roman" w:eastAsia="Times New Roman" w:hAnsi="Times New Roman"/>
          <w:sz w:val="18"/>
          <w:szCs w:val="18"/>
          <w:color w:val="000000"/>
        </w:rPr>
        <w:t>PSUs cliff vest on the third</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anniversary after grant date. The related stock-based compensation expense is recorded over the requisite service period, which is the vesting period or is based on retirement eligibility. The fair value of all PSUs is based on the market value of the Company’s stock on the date of grant.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PSUs outstanding as of September 30, 2023 and changes during the year then ended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Units (in</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September 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September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PSUs granted during 2023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units granted</w:t>
            </w:r>
          </w:p>
        </w:tc>
        <w:tc>
          <w:tcPr>
            <w:tcW w:w="21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r>
      <w:tr>
        <w:trPr>
          <w:trHeight w:val="41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2023, the weighted average remaining vesting term of PSUs is 2.2 years.</w:t>
            </w: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2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33"/>
        </w:trPr>
        <w:tc>
          <w:tcPr>
            <w:tcW w:w="7800" w:type="dxa"/>
            <w:vAlign w:val="bottom"/>
            <w:tcBorders>
              <w:bottom w:val="single" w:sz="8" w:color="9A9A9A"/>
            </w:tcBorders>
          </w:tcPr>
          <w:p>
            <w:pPr>
              <w:spacing w:after="0"/>
              <w:rPr>
                <w:sz w:val="20"/>
                <w:szCs w:val="20"/>
                <w:color w:val="auto"/>
              </w:rPr>
            </w:pPr>
          </w:p>
        </w:tc>
        <w:tc>
          <w:tcPr>
            <w:tcW w:w="216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SARs represent the right to receive, upon exercise, shares of common stock having a value equal to the difference between the market price of common stock on the date of exercise and the exercise price on the date of grant. SARs generally vest over a period of three to four years and have a term of ten years. The fair value of awards are estimated on the date of grant using a Black-Scholes-Merton (“BSM”) model. The BSM assumptions include expected dividend yield, risk-free interest rate, volatility, and term of the SARs.</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connection with the SARs granted during 2022, the Company used the BSM to determine the fair value of the SARs as of the grant date. In applying this model, the Company uses both historical data and current market data to estimate the fair value of its SARs. The expected dividend yield is based on forecasted patterns of dividend payments. The risk-free interest rate is based on the rate at grant date of zero-coupon United States Treasury Notes with a term equal to the expected term of the SAR. Expected volatility is estimated using historical volatility. Due to the lack of trading history of Embecta's stock at the time of valuation efforts, the historical component of expected volatility is based on historical monthly price changes of the peer group within the industry. BD's historical data for Embecta employees was used to estimate equity award exercise and employee termination behavior within the valuation model. The expected term represents the amount of time that SARs granted are expected to be outstanding based on historical and forecasted exercise behavior. The weighted average fair value of SARs was determined using the following assumptions: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10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10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0"/>
        </w:trPr>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37.8 %</w:t>
            </w:r>
          </w:p>
        </w:tc>
      </w:tr>
      <w:tr>
        <w:trPr>
          <w:trHeight w:val="33"/>
        </w:trPr>
        <w:tc>
          <w:tcPr>
            <w:tcW w:w="10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10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0"/>
        </w:trPr>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10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per SAR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9.38</w:t>
            </w:r>
          </w:p>
        </w:tc>
      </w:tr>
      <w:tr>
        <w:trPr>
          <w:trHeight w:val="33"/>
        </w:trPr>
        <w:tc>
          <w:tcPr>
            <w:tcW w:w="10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SARs outstanding as of September 30, 2023 and changes and changes during the year then ended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4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SARs (in thousands)</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60" w:type="dxa"/>
            <w:vAlign w:val="bottom"/>
          </w:tcPr>
          <w:p>
            <w:pPr>
              <w:spacing w:after="0"/>
              <w:rPr>
                <w:sz w:val="18"/>
                <w:szCs w:val="18"/>
                <w:color w:val="auto"/>
              </w:rPr>
            </w:pPr>
          </w:p>
        </w:tc>
        <w:tc>
          <w:tcPr>
            <w:tcW w:w="14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September 30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September 30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exercised include shares withheld for taxes that are not formally issued to the market.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SARs exercised during the years 2023 and 2022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intrinsic value of SARs exercised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fair value of SARs exercised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as of September 30, 2023, is approximately $28.2 million, which is expected to be recognized over a weighted-average remaining life of approximately 1.8 years. At September 30, 2023, 3.4 million shares were authorized for future grants under the Plan.</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Note 11 —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Amortization Period</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3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92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4"/>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 amortization expense was $1.2 million for the year ended September 30, 2023, $0.7 million for the year ended September 30, 2022 and $0.3 million for the year ended September 30, 2021, respectively. The estimated intangible asset amortization expense for each of the fiscal years ended September 30, 2024 through 2028 is expected to approximate $1.1 million per year and $3.6 million for years subsequent thereafter.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 Senior Secured Notes due 2030</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10, 2022 Embecta issued $500.0 million aggregate principal amount of 5.00% senior secured notes due February 15, 2030 (the “5.00% Notes”). </w:t>
      </w:r>
      <w:r>
        <w:rPr>
          <w:rFonts w:ascii="Times New Roman" w:cs="Times New Roman" w:eastAsia="Times New Roman" w:hAnsi="Times New Roman"/>
          <w:sz w:val="18"/>
          <w:szCs w:val="18"/>
          <w:color w:val="2B2A29"/>
        </w:rPr>
        <w:t>Interest payments on the</w:t>
      </w:r>
      <w:r>
        <w:rPr>
          <w:rFonts w:ascii="Times New Roman" w:cs="Times New Roman" w:eastAsia="Times New Roman" w:hAnsi="Times New Roman"/>
          <w:sz w:val="18"/>
          <w:szCs w:val="18"/>
          <w:color w:val="auto"/>
        </w:rPr>
        <w:t xml:space="preserve"> 5.00% </w:t>
      </w:r>
      <w:r>
        <w:rPr>
          <w:rFonts w:ascii="Times New Roman" w:cs="Times New Roman" w:eastAsia="Times New Roman" w:hAnsi="Times New Roman"/>
          <w:sz w:val="18"/>
          <w:szCs w:val="18"/>
          <w:color w:val="2B2A29"/>
        </w:rPr>
        <w:t>Notes are due semi-annually in February and August until maturity</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6.75% Senior Secured Notes due 2030</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31, 2022, Embecta issued $200.0 million of 6.75% Related Party Notes at a discount of $3.0 million. </w:t>
      </w:r>
      <w:r>
        <w:rPr>
          <w:rFonts w:ascii="Times New Roman" w:cs="Times New Roman" w:eastAsia="Times New Roman" w:hAnsi="Times New Roman"/>
          <w:sz w:val="18"/>
          <w:szCs w:val="18"/>
          <w:color w:val="2B2A29"/>
        </w:rPr>
        <w:t>The Related Party Notes issued to BD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not issued for cash and instead were subject to a debt-for-debt exchange which occurred on April 1, 2022. As such, the issuance of the Related Party Notes is a non-cash financing activity and is not presented in the Consolidated Statements of Cash Flows for the year ended September 30, 2022.</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B2A29"/>
        </w:rPr>
        <w:t xml:space="preserve">On April 1, 2022, BD transferred the Related Party Notes with a notional value of </w:t>
      </w:r>
      <w:r>
        <w:rPr>
          <w:rFonts w:ascii="Times New Roman" w:cs="Times New Roman" w:eastAsia="Times New Roman" w:hAnsi="Times New Roman"/>
          <w:sz w:val="18"/>
          <w:szCs w:val="18"/>
          <w:color w:val="000000"/>
        </w:rPr>
        <w:t>$200.0 million</w:t>
      </w:r>
      <w:r>
        <w:rPr>
          <w:rFonts w:ascii="Times New Roman" w:cs="Times New Roman" w:eastAsia="Times New Roman" w:hAnsi="Times New Roman"/>
          <w:sz w:val="18"/>
          <w:szCs w:val="18"/>
          <w:color w:val="2B2A29"/>
        </w:rPr>
        <w:t xml:space="preserve"> issued by Embecta to Morgan Stanley in exchange for certain notes of BD that were purchased by Morgan Stanley pursuant to a tender offer. Morgan Stanley then sold the senior secured notes to qualified institutional buyers in the United States pursuant to Rule 144A under the Securities Act of 1933, as amended. As of April 1, 2022, the 6.75% senior secured notes (the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became third party debt of Embecta. Interest payments on the 6.75% Notes are due semi-annually in February and August until maturity. The 6.75% Notes will mature on February 15, 2030.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4" w:lineRule="exact"/>
        <w:rPr>
          <w:sz w:val="20"/>
          <w:szCs w:val="20"/>
          <w:color w:val="auto"/>
        </w:rPr>
      </w:pPr>
    </w:p>
    <w:p>
      <w:pPr>
        <w:jc w:val="both"/>
        <w:ind w:left="900" w:hanging="568"/>
        <w:spacing w:after="0" w:line="250" w:lineRule="auto"/>
        <w:tabs>
          <w:tab w:leader="none" w:pos="895" w:val="left"/>
        </w:tabs>
        <w:numPr>
          <w:ilvl w:val="0"/>
          <w:numId w:val="30"/>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82" w:lineRule="exact"/>
        <w:rPr>
          <w:rFonts w:ascii="Times New Roman" w:cs="Times New Roman" w:eastAsia="Times New Roman" w:hAnsi="Times New Roman"/>
          <w:sz w:val="18"/>
          <w:szCs w:val="18"/>
          <w:color w:val="2B2A29"/>
        </w:rPr>
      </w:pPr>
    </w:p>
    <w:p>
      <w:pPr>
        <w:jc w:val="both"/>
        <w:ind w:left="900" w:hanging="568"/>
        <w:spacing w:after="0" w:line="244" w:lineRule="auto"/>
        <w:tabs>
          <w:tab w:leader="none" w:pos="895" w:val="left"/>
        </w:tabs>
        <w:numPr>
          <w:ilvl w:val="0"/>
          <w:numId w:val="30"/>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September 30, 2023,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and the senior secured notes are secured by substantially all assets of Embecta and each subsidiary guarantor, subject to certain exceptions.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Notes and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September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935.8</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1,635.8</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1,593.9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1,588.3</w:t>
            </w:r>
          </w:p>
        </w:tc>
      </w:tr>
    </w:tbl>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September 30, 2023 was $1,474.2 million compared with a carrying value (which includes a reduction for unamortized debt issuance costs and discounts) of $1,603.4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the date of the Separation, 57,012,925 shares of Embecta's common stock, par value $0.01 per share, were distributed to BD shareholders of record as of March 22, 2022, the record date of the distribution. This share amount is utilized for the calculation of earnings per basic and diluted common share for all periods presented prior to the Separation.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and in accordance with the EMA, Embecta's employees with outstanding former BD share-based awards received replacement share-based awards under the Plan. The ratio used to convert the BD share-based awards was designed to preserve the aggregate intrinsic value of the award immediately after the Separation when compared to the aggregate intrinsic value of the award immediately prior to the Separation (see Note 10 for additional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8"/>
          <w:szCs w:val="18"/>
          <w:color w:val="2B2A29"/>
        </w:rPr>
        <w:t>years ended September 30, 2023, 2022 and 2021 were as follows: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4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Embecta</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57,013</w:t>
            </w: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57,013</w:t>
            </w:r>
          </w:p>
        </w:tc>
      </w:t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6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periods prior to the Separation, it is assumed that there were no dilutive equity instruments as there were no equity awards of Embecta outstanding prior to the Separation.</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periods subsequent to the Separation, diluted earnings per share is computed by giving effect to all potentially dilutive stock awards that are outstanding. The computation of earnings per diluted share excludes the effect of the potential exercise of stock-based awards, when the effect of the potential exercise would be anti-dilutive. For both 2023 and 2022, 1.8 million of dilutive share equivalents issuable under stock-based compensation plans were excluded from the diluted shares outstanding calculation because the result would have been antidilutive.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w:t>
      </w:r>
      <w:r>
        <w:rPr>
          <w:rFonts w:ascii="Times New Roman" w:cs="Times New Roman" w:eastAsia="Times New Roman" w:hAnsi="Times New Roman"/>
          <w:sz w:val="18"/>
          <w:szCs w:val="18"/>
          <w:color w:val="auto"/>
        </w:rPr>
        <w: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xml:space="preserve"> for the years ended September 30 consisted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(100.9)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206.6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w:t>
            </w: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105.7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years ended September 30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9"/>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6"/>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0"/>
        </w:trPr>
        <w:tc>
          <w:tcPr>
            <w:tcW w:w="54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19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54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0"/>
        </w:trPr>
        <w:tc>
          <w:tcPr>
            <w:tcW w:w="5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income tax provision for the first half of 2022 and the year ended September 30, 2021 were prepared using a separate return method. The separate return method applies the accounting guidance for income taxes to the standalone financial statements as if the Company was a separate taxpayer and a standalone enterprise. The Company believes the assumptions supporting the allocation and presentation of income taxes on a separate return basis are reasonable.</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a portion of fiscal year 2022 and all periods prior to the Separation, the Company’s domestic and foreign operations were included in BD’s domestic consolidated and foreign tax returns, and payments to all tax authorities were made by BD on the Company’s behalf. The Company filed its own foreign tax return and made its own foreign tax payments in Ireland. The Company’s current tax liabilities computed under the separate return method were considered to be effectively settled in the consolidated financial statements at the time the transaction was recorded, with the offset recorded against Net parent investment.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federal statutory tax rate to the Company's effective income tax rate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gridSpan w:val="2"/>
          </w:tcPr>
          <w:p>
            <w:pPr>
              <w:ind w:left="60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tax rate</w:t>
            </w:r>
          </w:p>
        </w:tc>
        <w:tc>
          <w:tcPr>
            <w:tcW w:w="1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tax benefit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income tax at rates other than 21%</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tax on foreign earnings</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reserves</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Nontaxable items</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0"/>
        </w:trPr>
        <w:tc>
          <w:tcPr>
            <w:tcW w:w="5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increase in the Company's effective income tax rate for fiscal year 2023 as compared to fiscal year 2022 was primarily due to the establishment of a valuation allowance against interest expense carryforwards in the U.S., an increase in U.S. tax on foreign earnings primarily because of limitations on the utilization of foreign tax credits and higher withholding taxes on unremitted foreign earnings; partially offset by increased tax benefits from non-taxable items and change in geographical mix of earnings. For fiscal year 2023, the Other, net included a tax benefit for the establishment of net deferred tax assets incurred in connection with the ongoing separation of the Diabetes Care Business from BD, partially offset by a return to provision adjustment from the prior year.</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decrease in the Company's effective income tax rate for fiscal year 2022 as compared to fiscal year 2021 was primarily due to the change in geographical mix of earnings and favorable unrecognized tax benefits recorded in fiscal year 2022; partially offset by tax expense that have been provided on undistributed earnings of foreign subsidiaries.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at September 30 consisted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carryforwards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loss and credit carryforwards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deferred tax assets before valuation allowance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r>
      <w:tr>
        <w:trPr>
          <w:trHeight w:val="20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r>
      <w:tr>
        <w:trPr>
          <w:trHeight w:val="239"/>
        </w:trPr>
        <w:tc>
          <w:tcPr>
            <w:tcW w:w="8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on unremitted foreign earnings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7"/>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 (liabilities) (i)</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r>
    </w:tbl>
    <w:p>
      <w:pPr>
        <w:spacing w:after="0" w:line="223" w:lineRule="exact"/>
        <w:rPr>
          <w:sz w:val="20"/>
          <w:szCs w:val="20"/>
          <w:color w:val="auto"/>
        </w:rPr>
      </w:pPr>
    </w:p>
    <w:p>
      <w:pPr>
        <w:ind w:left="660" w:right="20" w:hanging="328"/>
        <w:spacing w:after="0" w:line="284" w:lineRule="auto"/>
        <w:tabs>
          <w:tab w:leader="none" w:pos="6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deferred tax assets are included in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and net deferred tax liabilities are included in </w:t>
      </w:r>
      <w:r>
        <w:rPr>
          <w:rFonts w:ascii="Times New Roman" w:cs="Times New Roman" w:eastAsia="Times New Roman" w:hAnsi="Times New Roman"/>
          <w:sz w:val="18"/>
          <w:szCs w:val="18"/>
          <w:i w:val="1"/>
          <w:iCs w:val="1"/>
          <w:color w:val="auto"/>
        </w:rPr>
        <w:t>Deferred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and Other Liabilities </w:t>
      </w:r>
      <w:r>
        <w:rPr>
          <w:rFonts w:ascii="Times New Roman" w:cs="Times New Roman" w:eastAsia="Times New Roman" w:hAnsi="Times New Roman"/>
          <w:sz w:val="18"/>
          <w:szCs w:val="18"/>
          <w:color w:val="auto"/>
        </w:rPr>
        <w:t>in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netted in the Consolidated Balance Sheets by separate tax jurisdictions.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2023 and September 30, 2022, the Company has recorded deferred taxes on undistributed earnings of foreign subsidiaries. The vast majority of these taxes were accrued, in part, because the Company does not meet certain holding period requirements for stock ownership. During fiscal year 2024, the Company anticipates that it will meet these requirements at which time approximately $18.0 million of the accrued balance as of September 30, 2023 will be recorded as a reduction to income tax expense.</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2023 the Company has recorded valuation allowances of $31.6 million due to the uncertainty that exists regarding future realizability of certain deferred tax assets primarily for interest expense carryforwards in the U.S. related to limitations on the annual deductibility of such interest, state net operating losses, state tax credits and deferred tax assets related to certain foreign manufacturing operations.</w:t>
      </w:r>
    </w:p>
    <w:p>
      <w:pPr>
        <w:spacing w:after="0" w:line="8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has recorded valuation allowances of $10.4 million for deferred tax assets related to certain foreign manufacturing operations.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approximate tax reduction related to a tax holiday in Switzerland in which the Company does business is $2.1 million and $0.04 impact on diluted earnings per share in fiscal year 2023. The tax holiday will expire in 2026.</w:t>
      </w:r>
    </w:p>
    <w:p>
      <w:pPr>
        <w:spacing w:after="0" w:line="4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Tax loss and credit carryforwards consist of approximately $1.0 million of state income tax credit carryforwards and $5.6 million net operating loss carryforwards in various jurisdictions. Approximately $1.0 million of net operating loss carryforwards will not expire and the remaining carryforwards expire in varying amounts from 2028 through 2042.</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gross amounts of unrecognized tax benefits without regard to reduction in tax liabilities or additions to deferred tax assets and liabilities if such unrecognized tax benefits were settled.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due to current year tax positions</w:t>
            </w: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prior year tax positions</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due to prior year tax positions</w:t>
            </w: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due to settlements with tax authorities</w:t>
            </w:r>
          </w:p>
        </w:tc>
        <w:tc>
          <w:tcPr>
            <w:tcW w:w="13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Decrease due to lapse of statute of limitations</w:t>
            </w: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w:t>
            </w: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42"/>
        </w:trPr>
        <w:tc>
          <w:tcPr>
            <w:tcW w:w="5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Unrecognized tax benefits including interest and penalties that would affect the</w:t>
            </w:r>
          </w:p>
        </w:tc>
        <w:tc>
          <w:tcPr>
            <w:tcW w:w="1300" w:type="dxa"/>
            <w:vAlign w:val="bottom"/>
            <w:vMerge w:val="restart"/>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2"/>
                <w:szCs w:val="12"/>
                <w:color w:val="auto"/>
              </w:rPr>
            </w:pPr>
          </w:p>
        </w:tc>
        <w:tc>
          <w:tcPr>
            <w:tcW w:w="1280" w:type="dxa"/>
            <w:vAlign w:val="bottom"/>
            <w:vMerge w:val="restart"/>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2"/>
                <w:szCs w:val="12"/>
                <w:color w:val="auto"/>
              </w:rPr>
            </w:pP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 if recognized</w:t>
            </w:r>
          </w:p>
        </w:tc>
        <w:tc>
          <w:tcPr>
            <w:tcW w:w="13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 portion of fiscal year 2022 and all periods prior to the Separation, the Company’s domestic and foreign operations were included in BD’s domestic consolidated and foreign tax returns, with the exception of Ireland.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conducts business and files tax returns in numerous countries and currently has no tax audits in progress for the period after the Separation.</w:t>
      </w:r>
    </w:p>
    <w:p>
      <w:pPr>
        <w:spacing w:after="0" w:line="11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The following were included for the years ended September 30 as a component of </w:t>
      </w: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xml:space="preserve"> in the Consolidated Statements of Income and the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45"/>
        </w:trPr>
        <w:tc>
          <w:tcPr>
            <w:tcW w:w="5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 and penalties expense (benefit) associated with unrecognized tax benefits</w:t>
            </w: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the Consolidated Statements of Income</w:t>
            </w:r>
          </w:p>
        </w:tc>
        <w:tc>
          <w:tcPr>
            <w:tcW w:w="4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 and penalties associated with unrecognized tax benefits on the</w:t>
            </w:r>
          </w:p>
        </w:tc>
        <w:tc>
          <w:tcPr>
            <w:tcW w:w="4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4"/>
                <w:szCs w:val="14"/>
                <w:color w:val="auto"/>
              </w:rPr>
            </w:pPr>
          </w:p>
        </w:tc>
        <w:tc>
          <w:tcPr>
            <w:tcW w:w="4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4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Financial Instruments and Fair Value Measurements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reported within the Consolidated Balance Sheets as of September 30, 2023 and September 30, 2022, to the total amounts shown in the 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r>
    </w:tbl>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includes cash held in money market funds and other cash equivalents. All cash and cash equivalents are Level 1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hierarchy. Interest income on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was $9.4 million for the year ended September 30, 2023 and is included as a component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For the years ended September 30, 2022 and 2021, interest income was not material to the Company's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bl>
    <w:p>
      <w:pPr>
        <w:spacing w:after="0" w:line="225" w:lineRule="exact"/>
        <w:rPr>
          <w:sz w:val="20"/>
          <w:szCs w:val="20"/>
          <w:color w:val="auto"/>
        </w:rPr>
      </w:pPr>
    </w:p>
    <w:p>
      <w:pPr>
        <w:jc w:val="both"/>
        <w:ind w:left="660" w:hanging="328"/>
        <w:spacing w:after="0" w:line="258" w:lineRule="auto"/>
        <w:tabs>
          <w:tab w:leader="none" w:pos="6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 hedges of transactional foreign exchange exposures resulting primarily from intercompany payables and receivables. Gains and losses on these instruments are recognized immediately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These gains and losses are largely offset by gains and losses on the underlying hedged items, as well as the</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3" w:name="page74"/>
    <w:bookmarkEnd w:id="73"/>
    <w:p>
      <w:pPr>
        <w:ind w:left="660" w:right="20"/>
        <w:spacing w:after="0" w:line="266" w:lineRule="auto"/>
        <w:rPr>
          <w:sz w:val="20"/>
          <w:szCs w:val="20"/>
          <w:color w:val="auto"/>
        </w:rPr>
      </w:pPr>
      <w:r>
        <w:rPr>
          <w:rFonts w:ascii="Times New Roman" w:cs="Times New Roman" w:eastAsia="Times New Roman" w:hAnsi="Times New Roman"/>
          <w:sz w:val="18"/>
          <w:szCs w:val="18"/>
          <w:color w:val="auto"/>
        </w:rPr>
        <w:t>hedging costs associated with the derivative instruments. Gains and losses recognized to date on these instruments were not material to the Company's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2023, the Company recorded impairment charges of $2.5 million related to the abandonment of certain manufacturing equipment in China that is no longer in use that were inherited as part of the spin from BD. These assets were previously included as a component of </w:t>
      </w:r>
      <w:r>
        <w:rPr>
          <w:rFonts w:ascii="Times New Roman" w:cs="Times New Roman" w:eastAsia="Times New Roman" w:hAnsi="Times New Roman"/>
          <w:sz w:val="18"/>
          <w:szCs w:val="18"/>
          <w:i w:val="1"/>
          <w:iCs w:val="1"/>
          <w:color w:val="auto"/>
        </w:rPr>
        <w:t xml:space="preserve">Machinery, equipment and fixtures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The impairment charges are recognized within</w:t>
      </w:r>
      <w:r>
        <w:rPr>
          <w:rFonts w:ascii="Times New Roman" w:cs="Times New Roman" w:eastAsia="Times New Roman" w:hAnsi="Times New Roman"/>
          <w:sz w:val="18"/>
          <w:szCs w:val="18"/>
          <w:i w:val="1"/>
          <w:iCs w:val="1"/>
          <w:color w:val="auto"/>
        </w:rPr>
        <w:t xml:space="preserve"> Impairment expense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Income.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2022, the Company recorded impairment charges of $58.9 million related to the abandonment of certain manufacturing production lines in the United States that are no longer expected to be completed. These assets were previously included as a component of </w:t>
      </w:r>
      <w:r>
        <w:rPr>
          <w:rFonts w:ascii="Times New Roman" w:cs="Times New Roman" w:eastAsia="Times New Roman" w:hAnsi="Times New Roman"/>
          <w:sz w:val="18"/>
          <w:szCs w:val="18"/>
          <w:i w:val="1"/>
          <w:iCs w:val="1"/>
          <w:color w:val="auto"/>
        </w:rPr>
        <w:t xml:space="preserve">Construction in progress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The impairment charges are recognized within</w:t>
      </w:r>
      <w:r>
        <w:rPr>
          <w:rFonts w:ascii="Times New Roman" w:cs="Times New Roman" w:eastAsia="Times New Roman" w:hAnsi="Times New Roman"/>
          <w:sz w:val="18"/>
          <w:szCs w:val="18"/>
          <w:i w:val="1"/>
          <w:iCs w:val="1"/>
          <w:color w:val="auto"/>
        </w:rPr>
        <w:t xml:space="preserve"> Impairment expense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2021, the Company recorded impairment charges related to certain construction in progress assets related to discontinued projects totaling $13.8 million. The impairment charges were recorded to adjust the carrying amount of the assets to the assets’ fair values, which were estimated through a discounted cash flow model that utilized Level 3 inputs. The impairment charges are recognized within </w:t>
      </w:r>
      <w:r>
        <w:rPr>
          <w:rFonts w:ascii="Times New Roman" w:cs="Times New Roman" w:eastAsia="Times New Roman" w:hAnsi="Times New Roman"/>
          <w:sz w:val="18"/>
          <w:szCs w:val="18"/>
          <w:i w:val="1"/>
          <w:iCs w:val="1"/>
          <w:color w:val="auto"/>
        </w:rPr>
        <w:t>Cost of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sold </w:t>
      </w:r>
      <w:r>
        <w:rPr>
          <w:rFonts w:ascii="Times New Roman" w:cs="Times New Roman" w:eastAsia="Times New Roman" w:hAnsi="Times New Roman"/>
          <w:sz w:val="18"/>
          <w:szCs w:val="18"/>
          <w:color w:val="auto"/>
        </w:rPr>
        <w:t>in the Consolidated Statements of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and prior to the Separation, the Company’s operations formed part of BD’s monitoring of concentrations of credit risk associated with financial institutions for which BD conducted business.</w:t>
      </w:r>
    </w:p>
    <w:p>
      <w:pPr>
        <w:spacing w:after="0" w:line="4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transferred the majority of its trade receivables to BD under the Factoring Agreements (see Note 4). As a result, the Company is no longer exposed to credit risk associated with those transferred receivables and does not have material credit risk exposure associated with the remaining $16.7 million of trade receivables.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40.2% and 40.1% for the years ended September 30, 2023 and 2022, respectively. Two customers represented at least 10.0% of total revenues individually and, in the aggregate, represented approximately 30.7% of total revenues for the year ended September 30, 2021.</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September 30, 2023</w:t>
            </w:r>
          </w:p>
        </w:tc>
        <w:tc>
          <w:tcPr>
            <w:tcW w:w="200" w:type="dxa"/>
            <w:vAlign w:val="bottom"/>
          </w:tcPr>
          <w:p>
            <w:pPr>
              <w:spacing w:after="0"/>
              <w:rPr>
                <w:sz w:val="18"/>
                <w:szCs w:val="18"/>
                <w:color w:val="auto"/>
              </w:rPr>
            </w:pPr>
          </w:p>
        </w:tc>
        <w:tc>
          <w:tcPr>
            <w:tcW w:w="21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r>
      <w:tr>
        <w:trPr>
          <w:trHeight w:val="219"/>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2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04"/>
        </w:trPr>
        <w:tc>
          <w:tcPr>
            <w:tcW w:w="63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701.6</w:t>
            </w:r>
          </w:p>
        </w:tc>
      </w:tr>
      <w:tr>
        <w:trPr>
          <w:trHeight w:val="33"/>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w:t>
            </w:r>
          </w:p>
        </w:tc>
      </w:tr>
      <w:tr>
        <w:trPr>
          <w:trHeight w:val="33"/>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2023, the Company recorded impairment charges of $2.5 million related to the abandonment of certain manufacturing equipment in China that is no longer in use that were inherited as part of the spin from BD. These assets were previously included as a component of </w:t>
      </w:r>
      <w:r>
        <w:rPr>
          <w:rFonts w:ascii="Times New Roman" w:cs="Times New Roman" w:eastAsia="Times New Roman" w:hAnsi="Times New Roman"/>
          <w:sz w:val="18"/>
          <w:szCs w:val="18"/>
          <w:i w:val="1"/>
          <w:iCs w:val="1"/>
          <w:color w:val="auto"/>
        </w:rPr>
        <w:t xml:space="preserve">Machinery, equipment and fixtures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September 30, 2022, the Company recorded impairment charges of $58.9 million related to the abandonment of certain manufacturing production lines in the United States that are no longer expected to be completed. These assets were previously included as a component of </w:t>
      </w:r>
      <w:r>
        <w:rPr>
          <w:rFonts w:ascii="Times New Roman" w:cs="Times New Roman" w:eastAsia="Times New Roman" w:hAnsi="Times New Roman"/>
          <w:sz w:val="18"/>
          <w:szCs w:val="18"/>
          <w:i w:val="1"/>
          <w:iCs w:val="1"/>
          <w:color w:val="auto"/>
        </w:rPr>
        <w:t xml:space="preserve">Construction in progress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The impairment charges are recognized within</w:t>
      </w:r>
      <w:r>
        <w:rPr>
          <w:rFonts w:ascii="Times New Roman" w:cs="Times New Roman" w:eastAsia="Times New Roman" w:hAnsi="Times New Roman"/>
          <w:sz w:val="18"/>
          <w:szCs w:val="18"/>
          <w:i w:val="1"/>
          <w:iCs w:val="1"/>
          <w:color w:val="auto"/>
        </w:rPr>
        <w:t xml:space="preserve"> Impairment expense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ten years and an option for the Company to extend the lease term for an additional period of up to five years. This lease is classified as a finance lease.</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For the year ended September 30, 2023, the Company recorded total finance lease costs of $4.8 million which is comprised of $2.4 million attributable to depreciation of assets and $2.4 million attributable to interest expense associated with the lease liability. The amounts are included in </w:t>
      </w: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respectively. For the year ended September 30, 2022, total finance lease costs were not material to the Company's Consolidated Statements of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 The Company entered into a real estate lease for a new Corporate Headquarters located in Parsippany, NJ which commenced during the second quarter of fiscal year 2023 for an initial term of ten years. The Company has options to extend the lease for additional period of six years and to extend for a subsequent additional period of four years, after the expiration of the first extension period.</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September 30, 2023 operating lease costs were $4.5 million. For the years ended September 30, 2022, and 2021 total operating lease costs were not material to the Company's Consolidated Statements of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Consolidated Balance Sheets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As of September 30, 2023</w:t>
            </w:r>
          </w:p>
        </w:tc>
        <w:tc>
          <w:tcPr>
            <w:tcW w:w="220" w:type="dxa"/>
            <w:vAlign w:val="bottom"/>
          </w:tcPr>
          <w:p>
            <w:pPr>
              <w:spacing w:after="0"/>
              <w:rPr>
                <w:sz w:val="18"/>
                <w:szCs w:val="18"/>
                <w:color w:val="auto"/>
              </w:rPr>
            </w:pPr>
          </w:p>
        </w:tc>
        <w:tc>
          <w:tcPr>
            <w:tcW w:w="22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r>
      <w:tr>
        <w:trPr>
          <w:trHeight w:val="206"/>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22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22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r>
      <w:tr>
        <w:trPr>
          <w:trHeight w:val="33"/>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2"/>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20" w:type="dxa"/>
            <w:vAlign w:val="bottom"/>
          </w:tcPr>
          <w:p>
            <w:pPr>
              <w:spacing w:after="0"/>
              <w:rPr>
                <w:sz w:val="18"/>
                <w:szCs w:val="18"/>
                <w:color w:val="auto"/>
              </w:rPr>
            </w:pP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32.6</w:t>
            </w:r>
          </w:p>
        </w:tc>
      </w:tr>
      <w:tr>
        <w:trPr>
          <w:trHeight w:val="33"/>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2"/>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2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14.5</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08"/>
        </w:trPr>
        <w:tc>
          <w:tcPr>
            <w:tcW w:w="6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204"/>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04"/>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220" w:type="dxa"/>
            <w:vAlign w:val="bottom"/>
          </w:tcPr>
          <w:p>
            <w:pPr>
              <w:spacing w:after="0"/>
              <w:rPr>
                <w:sz w:val="18"/>
                <w:szCs w:val="18"/>
                <w:color w:val="auto"/>
              </w:rPr>
            </w:pPr>
          </w:p>
        </w:tc>
        <w:tc>
          <w:tcPr>
            <w:tcW w:w="2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33"/>
        </w:trPr>
        <w:tc>
          <w:tcPr>
            <w:tcW w:w="6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33"/>
        </w:trPr>
        <w:tc>
          <w:tcPr>
            <w:tcW w:w="7920" w:type="dxa"/>
            <w:vAlign w:val="bottom"/>
            <w:tcBorders>
              <w:bottom w:val="single" w:sz="8" w:color="9A9A9A"/>
            </w:tcBorders>
          </w:tcPr>
          <w:p>
            <w:pPr>
              <w:spacing w:after="0"/>
              <w:rPr>
                <w:sz w:val="20"/>
                <w:szCs w:val="20"/>
                <w:color w:val="auto"/>
              </w:rPr>
            </w:pPr>
          </w:p>
        </w:tc>
        <w:tc>
          <w:tcPr>
            <w:tcW w:w="3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as of September 30,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gridSpan w:val="3"/>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September 30, 2021 right of use assets obtained in exchange for lease liabilities was not material.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9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3"/>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r>
      <w:tr>
        <w:trPr>
          <w:trHeight w:val="210"/>
        </w:trPr>
        <w:tc>
          <w:tcPr>
            <w:tcW w:w="9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2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9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September 30, 2022, and 2021 cash paid for amounts included in the measurement of lease liabilities were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September 30, 2023 by fiscal year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7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0" w:type="dxa"/>
            <w:vAlign w:val="bottom"/>
          </w:tcPr>
          <w:p>
            <w:pPr>
              <w:spacing w:after="0"/>
              <w:rPr>
                <w:sz w:val="18"/>
                <w:szCs w:val="18"/>
                <w:color w:val="auto"/>
              </w:rPr>
            </w:pPr>
          </w:p>
        </w:tc>
      </w:tr>
      <w:tr>
        <w:trPr>
          <w:trHeight w:val="33"/>
        </w:trPr>
        <w:tc>
          <w:tcPr>
            <w:tcW w:w="4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20" w:type="dxa"/>
            <w:vAlign w:val="bottom"/>
          </w:tcPr>
          <w:p>
            <w:pPr>
              <w:spacing w:after="0"/>
              <w:rPr>
                <w:sz w:val="20"/>
                <w:szCs w:val="20"/>
                <w:color w:val="auto"/>
              </w:rPr>
            </w:pPr>
          </w:p>
        </w:tc>
      </w:tr>
      <w:tr>
        <w:trPr>
          <w:trHeight w:val="204"/>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0" w:type="dxa"/>
            <w:vAlign w:val="bottom"/>
          </w:tcPr>
          <w:p>
            <w:pPr>
              <w:spacing w:after="0"/>
              <w:rPr>
                <w:sz w:val="17"/>
                <w:szCs w:val="17"/>
                <w:color w:val="auto"/>
              </w:rPr>
            </w:pPr>
          </w:p>
        </w:tc>
      </w:tr>
      <w:tr>
        <w:trPr>
          <w:trHeight w:val="33"/>
        </w:trPr>
        <w:tc>
          <w:tcPr>
            <w:tcW w:w="42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0" w:type="dxa"/>
            <w:vAlign w:val="bottom"/>
          </w:tcPr>
          <w:p>
            <w:pPr>
              <w:spacing w:after="0"/>
              <w:rPr>
                <w:sz w:val="22"/>
                <w:szCs w:val="22"/>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r>
      <w:tr>
        <w:trPr>
          <w:trHeight w:val="219"/>
        </w:trPr>
        <w:tc>
          <w:tcPr>
            <w:tcW w:w="420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9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18 — Benefit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Prior to the Separation on April 1, 2022, Embecta participated in BD's non-United States plans. BD has defined benefit pension plans covering eligible employees in certain of its international subsidiaries. The Company participated in BD's benefit plans as though it was a participant in a multi-employer plan with the other businesses of BD. The retirement benefits accounting guidance provides that liabilities beyond any contributions currently due and unpaid are not required to be reported. Accordingly, no assets or liabilities associated with plans where the Company was a participant in a multi-employer plan with the other businesses of BD have been reflected in the Company’s Consolidated Balance Sheets. The Consolidated Statements of Income include expense allocations for these benefits, which were determined using a proportional allocation method. Total benefit plan expense allocated to the Company for the years ended September 30, 2022 and 2021 was $3.6 million and $9.0 million, respectively. Except for deferred closing countries, the Company's participation in the defined pension and postretirement benefit plans sponsored by BD concluded upon the completion of the Separation on April 1, 2022.</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April 1, 2022, Embecta became the plan sponsor for certain global defined benefit pension plans. These Consolidated Financial Statements reflect the periodic benefit costs and funded status of such plans. The Company uses September 30 as the year-end measurement date for these plans. Net periodic benefit cost for the Company’s global defined benefit pension plans for the years ended September 30, 2023 and 2022 was $1.0 million and $0.7 million, respectively. Of the plans, the defined benefit pension plan covering employees in Switzerland (the "Swiss Plan") is the only defined benefit pension plan material to the Company's Consolidated Financial Statements.</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Company's Swiss Plan is a government-mandated retirement account balance plan. Companies within the Swiss regulatory environment have substantial freedom in setting their pension plan design (e.g. with regards to the salary covered, level of retirement benefits, or overall benefit design) provided the benefits are always at least equal to the minimum requirements as defined by law. Most employers provide higher benefits than those required by law, which is the case for Embecta. The minimum level of retirement benefit is expressed by a cash balance formula with age-related contribution rates (or "retirement credits") based on an insured salary defined by law, and a minimum required interest crediting rate which is set by the government (1.00% in 2023 and 2022). The sum of the Company's contributions should be at least equal to the sum of employee contributions. Contributions to the Swiss Plan are invested into a diversified fund managed by an investment fiduciary. As of September 30, 2023 and 2022, the Swiss plan had an unfunded net pension obligation of $1.9 million and $0.6 million, respectively, and plan assets that totaled $14.1 million and $8.0 million, respectively. Since the Separation, the Company recognized net periodic benefit cost totaling $0.9 million and $0.2 million during the fiscal years ended September 30, 2023 and 2022, respectively, related to the Company's Swiss plan, of which $0.3 million and $0.1 million was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during the fiscal years ended September 30, 2023 and 2022,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various defined contribution savings plans that cover substantially all employees in the United States, Ireland, and Japan. The Company matches a certain percentage of each employee’s contributions as per the provisions of the plans. Total employer contributions by the Company to the plans were $14.1 million and $8.9 million for the fiscal years ended September 30, 2023 and 2022, respectively.</w:t>
      </w:r>
    </w:p>
    <w:p>
      <w:pPr>
        <w:spacing w:after="0" w:line="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Between April 1, 2022 and September 30, 2022, BD remained the defined benefit pension plan sponsor for certain Embecta employees in Ireland. The Company accounts for this plan as though it was a participant in a multi-employer plan with other businesses of BD. The amount of contributions to BD for this plan are included in the amounts noted above. At the Separation Date, Embecta effectuated an Embecta sponsored defined contribution pension plan for certain other employees in Ireland. On October 1, 2022, any Embecta employees who remained participating in the BD defined benefit pension plan ceased participating and these employees began participating in an Embecta sponsored defined contribution pension plan that was effectuated at the Separation Date.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date of the Separation, the Company established a Deferred Compensation Plan in which certain directors and employees of the Company may defer the payment and taxation of up to 75% of their base salary and up to 100% of bonus amounts and other eligible cash compensation. A participant's deferrals are “invested” at the direction of the employee in a hypothetical portfolio of investments which are tracked by an administrator. The amounts accrued under this plan were $6.1 million and $3.7 million as of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19"/>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19 — Supplemental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recognized in fiscal years 2023, 2022 and 2021 relating to allowances for doubtful accounts and cash discounts, which are netted against trade receivables, are provided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Allowance for Doubtful</w:t>
            </w:r>
          </w:p>
        </w:tc>
        <w:tc>
          <w:tcPr>
            <w:tcW w:w="380" w:type="dxa"/>
            <w:vAlign w:val="bottom"/>
          </w:tcPr>
          <w:p>
            <w:pPr>
              <w:spacing w:after="0"/>
              <w:rPr>
                <w:sz w:val="16"/>
                <w:szCs w:val="16"/>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Allowance for Cash</w:t>
            </w:r>
          </w:p>
        </w:tc>
        <w:tc>
          <w:tcPr>
            <w:tcW w:w="182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380" w:type="dxa"/>
            <w:vAlign w:val="bottom"/>
          </w:tcPr>
          <w:p>
            <w:pPr>
              <w:spacing w:after="0"/>
              <w:rPr>
                <w:sz w:val="18"/>
                <w:szCs w:val="18"/>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Discounts</w:t>
            </w: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September 30, 2020</w:t>
            </w:r>
          </w:p>
        </w:tc>
        <w:tc>
          <w:tcPr>
            <w:tcW w:w="1840" w:type="dxa"/>
            <w:vAlign w:val="bottom"/>
            <w:tcBorders>
              <w:top w:val="single" w:sz="8" w:color="auto"/>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(3.9)</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w w:val="97"/>
              </w:rPr>
              <w:t>(0.3)</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Borders>
              <w:bottom w:val="single" w:sz="8" w:color="CCEEFF"/>
            </w:tcBorders>
            <w:shd w:val="clear" w:color="auto" w:fill="CCEEFF"/>
          </w:tcPr>
          <w:p>
            <w:pPr>
              <w:jc w:val="center"/>
              <w:ind w:left="1399"/>
              <w:spacing w:after="0"/>
              <w:rPr>
                <w:sz w:val="20"/>
                <w:szCs w:val="20"/>
                <w:color w:val="auto"/>
              </w:rPr>
            </w:pPr>
            <w:r>
              <w:rPr>
                <w:rFonts w:ascii="Times New Roman" w:cs="Times New Roman" w:eastAsia="Times New Roman" w:hAnsi="Times New Roman"/>
                <w:sz w:val="16"/>
                <w:szCs w:val="16"/>
                <w:color w:val="auto"/>
                <w:w w:val="99"/>
              </w:rPr>
              <w:t>1.1</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September 30, 2021</w:t>
            </w:r>
          </w:p>
        </w:tc>
        <w:tc>
          <w:tcPr>
            <w:tcW w:w="1840" w:type="dxa"/>
            <w:vAlign w:val="bottom"/>
            <w:tcBorders>
              <w:top w:val="single" w:sz="8" w:color="auto"/>
            </w:tcBorders>
          </w:tcPr>
          <w:p>
            <w:pPr>
              <w:jc w:val="center"/>
              <w:ind w:left="1379"/>
              <w:spacing w:after="0"/>
              <w:rPr>
                <w:sz w:val="20"/>
                <w:szCs w:val="20"/>
                <w:color w:val="auto"/>
              </w:rPr>
            </w:pPr>
            <w:r>
              <w:rPr>
                <w:rFonts w:ascii="Times New Roman" w:cs="Times New Roman" w:eastAsia="Times New Roman" w:hAnsi="Times New Roman"/>
                <w:sz w:val="16"/>
                <w:szCs w:val="16"/>
                <w:color w:val="auto"/>
                <w:w w:val="97"/>
              </w:rPr>
              <w:t>(3.1)</w:t>
            </w:r>
          </w:p>
        </w:tc>
        <w:tc>
          <w:tcPr>
            <w:tcW w:w="38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Borders>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(0.3)</w:t>
            </w:r>
          </w:p>
        </w:tc>
        <w:tc>
          <w:tcPr>
            <w:tcW w:w="3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Pr>
          <w:p>
            <w:pPr>
              <w:jc w:val="center"/>
              <w:ind w:left="1399"/>
              <w:spacing w:after="0"/>
              <w:rPr>
                <w:sz w:val="20"/>
                <w:szCs w:val="20"/>
                <w:color w:val="auto"/>
              </w:rPr>
            </w:pPr>
            <w:r>
              <w:rPr>
                <w:rFonts w:ascii="Times New Roman" w:cs="Times New Roman" w:eastAsia="Times New Roman" w:hAnsi="Times New Roman"/>
                <w:sz w:val="16"/>
                <w:szCs w:val="16"/>
                <w:color w:val="auto"/>
                <w:w w:val="99"/>
              </w:rPr>
              <w:t>2.1</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840" w:type="dxa"/>
            <w:vAlign w:val="bottom"/>
            <w:tcBorders>
              <w:bottom w:val="single" w:sz="8" w:color="CCEEFF"/>
            </w:tcBorders>
            <w:shd w:val="clear" w:color="auto" w:fill="CCEEFF"/>
          </w:tcPr>
          <w:p>
            <w:pPr>
              <w:jc w:val="center"/>
              <w:ind w:left="1379"/>
              <w:spacing w:after="0"/>
              <w:rPr>
                <w:sz w:val="20"/>
                <w:szCs w:val="20"/>
                <w:color w:val="auto"/>
              </w:rPr>
            </w:pPr>
            <w:r>
              <w:rPr>
                <w:rFonts w:ascii="Times New Roman" w:cs="Times New Roman" w:eastAsia="Times New Roman" w:hAnsi="Times New Roman"/>
                <w:sz w:val="16"/>
                <w:szCs w:val="16"/>
                <w:color w:val="auto"/>
                <w:w w:val="97"/>
              </w:rPr>
              <w:t>(1.3)</w:t>
            </w:r>
          </w:p>
        </w:tc>
        <w:tc>
          <w:tcPr>
            <w:tcW w:w="3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184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w w:val="97"/>
              </w:rPr>
              <w:t>(0.2)</w:t>
            </w: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Deductions and other</w:t>
            </w:r>
          </w:p>
        </w:tc>
        <w:tc>
          <w:tcPr>
            <w:tcW w:w="1840" w:type="dxa"/>
            <w:vAlign w:val="bottom"/>
            <w:tcBorders>
              <w:bottom w:val="single" w:sz="8" w:color="CCEEFF"/>
            </w:tcBorders>
            <w:shd w:val="clear" w:color="auto" w:fill="CCEEFF"/>
          </w:tcPr>
          <w:p>
            <w:pPr>
              <w:jc w:val="center"/>
              <w:ind w:left="1399"/>
              <w:spacing w:after="0"/>
              <w:rPr>
                <w:sz w:val="20"/>
                <w:szCs w:val="20"/>
                <w:color w:val="auto"/>
              </w:rPr>
            </w:pPr>
            <w:r>
              <w:rPr>
                <w:rFonts w:ascii="Times New Roman" w:cs="Times New Roman" w:eastAsia="Times New Roman" w:hAnsi="Times New Roman"/>
                <w:sz w:val="16"/>
                <w:szCs w:val="16"/>
                <w:color w:val="auto"/>
                <w:w w:val="99"/>
              </w:rPr>
              <w:t>0.5</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4"/>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840" w:type="dxa"/>
            <w:vAlign w:val="bottom"/>
            <w:tcBorders>
              <w:top w:val="single" w:sz="8" w:color="auto"/>
            </w:tcBorders>
          </w:tcPr>
          <w:p>
            <w:pPr>
              <w:jc w:val="center"/>
              <w:ind w:left="1379"/>
              <w:spacing w:after="0"/>
              <w:rPr>
                <w:sz w:val="20"/>
                <w:szCs w:val="20"/>
                <w:color w:val="auto"/>
              </w:rPr>
            </w:pPr>
            <w:r>
              <w:rPr>
                <w:rFonts w:ascii="Times New Roman" w:cs="Times New Roman" w:eastAsia="Times New Roman" w:hAnsi="Times New Roman"/>
                <w:sz w:val="16"/>
                <w:szCs w:val="16"/>
                <w:color w:val="auto"/>
                <w:w w:val="97"/>
              </w:rPr>
              <w:t>(1.0)</w:t>
            </w:r>
          </w:p>
        </w:tc>
        <w:tc>
          <w:tcPr>
            <w:tcW w:w="38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Accounts written off</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 Amounts factored to BD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Long-lived assets, which include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Goodwill and Other Intangibles, net,</w:t>
      </w:r>
      <w:r>
        <w:rPr>
          <w:rFonts w:ascii="Times New Roman" w:cs="Times New Roman" w:eastAsia="Times New Roman" w:hAnsi="Times New Roman"/>
          <w:sz w:val="18"/>
          <w:szCs w:val="18"/>
          <w:color w:val="auto"/>
        </w:rPr>
        <w:t xml:space="preserve"> by geographic area where located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and 2022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r>
      <w:tr>
        <w:trPr>
          <w:trHeight w:val="33"/>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7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5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and Time-Vested Restricted Stock Units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and pursuant to the Company's 2022 Employee and Director Equity Based Compensation Plan (the "Plan"), the Company granted approximately 1.3 million </w:t>
      </w:r>
      <w:r>
        <w:rPr>
          <w:rFonts w:ascii="Times New Roman" w:cs="Times New Roman" w:eastAsia="Times New Roman" w:hAnsi="Times New Roman"/>
          <w:sz w:val="18"/>
          <w:szCs w:val="18"/>
          <w:color w:val="2B2A29"/>
        </w:rPr>
        <w:t>TVUs in connection with the Company's annual grant which</w:t>
      </w:r>
      <w:r>
        <w:rPr>
          <w:rFonts w:ascii="Times New Roman" w:cs="Times New Roman" w:eastAsia="Times New Roman" w:hAnsi="Times New Roman"/>
          <w:sz w:val="18"/>
          <w:szCs w:val="18"/>
          <w:color w:val="auto"/>
        </w:rPr>
        <w:t xml:space="preserve"> vest on a graded basis over a period of three years, subject to continuous service to the Company by the employee.</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Company also awarded approximately 0.5 million PSUs to certain executive officers and employees in connection with the Company's annual grant </w:t>
      </w:r>
      <w:r>
        <w:rPr>
          <w:rFonts w:ascii="Times New Roman" w:cs="Times New Roman" w:eastAsia="Times New Roman" w:hAnsi="Times New Roman"/>
          <w:sz w:val="18"/>
          <w:szCs w:val="18"/>
          <w:color w:val="2B2A29"/>
        </w:rPr>
        <w:t>which vest after three years, subject to continued employment of the recipients and the achievement of certain performance metric targets. The Company has identified certain performance metrics and targets that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20"/>
        </w:trPr>
        <w:tc>
          <w:tcPr>
            <w:tcW w:w="7920" w:type="dxa"/>
            <w:vAlign w:val="bottom"/>
            <w:tcBorders>
              <w:bottom w:val="single" w:sz="8" w:color="9A9A9A"/>
            </w:tcBorders>
          </w:tcPr>
          <w:p>
            <w:pPr>
              <w:spacing w:after="0"/>
              <w:rPr>
                <w:sz w:val="19"/>
                <w:szCs w:val="19"/>
                <w:color w:val="auto"/>
              </w:rPr>
            </w:pPr>
          </w:p>
        </w:tc>
        <w:tc>
          <w:tcPr>
            <w:tcW w:w="3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September 30, 2023. Based upon that evaluation, the Chief Executive Officer and Chief Financial Officer concluded that the design and operation of these disclosure controls and procedures were, as of the end of the period covered by this Annual Report on Form 10-K, effective and designed to ensure that material information relating to Embecta and its consolidated subsidiaries would be made known to them by others within these entities.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TSA period, we will continue to rely on certain material processes and internal control over financial reporting performed by BD. There were no changes in our internal control over financial reporting during the fiscal quarter ended September 30, 2023, that have materially affected, or are reasonably likely to materially affect, Embecta’s internal control over financial reporting.</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2022, the Company commenced on the process of building a new ERP system to replace the existing systems provided by BD. The ERP system is designed to accurately maintain the Company's financial records used to report operating results. The implementation of the ERP will occur in phases. The first phase of the ERP implementation began in the fourth quarter of 2023. The Company will evaluate each quarter whether there are changes that materially affect, or are reasonably likely to materially affect our internal control over financial reporting.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Reports of Management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financial statements have been prepared by management in conformity with U.S. generally accepted accounting principles and include, where required, amounts based on the best estimates and judgments of management. The integrity and objectivity of data in the financial statements and elsewhere in this Annual Report are the responsibility of management.</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fulfilling its responsibilities for the integrity of the data presented and to safeguard the Company’s assets, management employs a system of internal accounting controls designed to provide reasonable assurance, at appropriate cost, that the Company’s assets are protected and that transactions are appropriately authorized, recorded and summarized. This system of control is supported by the selection of qualified personnel, by organizational assignments that provide appropriate delegation of authority and division of responsibilities, and by the dissemination of written policies and procedures. This control structure is further reinforced by a program of internal audits, including a policy that requires responsive action by management.</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Board of Directors monitors the internal control system, including internal accounting and financial reporting controls, through its Audit Committee, which consists of three independent Directors. The Audit Committee meets periodically with the independent registered public accounting firm, the internal auditors and management to review the work of each and to satisfy itself that they are properly discharging their responsibilities. The independent registered public accounting firm and the internal auditors have full and free access to the Audit Committee and meet with its members, with and without management present, to discuss the scope and results of their audits including internal control, auditing and financial reporting matters.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Securities Act of 1934, as amended. Management conducted an assessment of the effectiveness of internal control over financial reporting based on the criteria established in Internal Control-Integrated Framework issued by the Committee of Sponsoring Organizations of the Treadway Commission (2013 framework).</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 Company's assessment of the effectiveness of internal control over financial reporting and the criteria noted above, management concluded that internal controls over financial reporting were effective as of September 30, 2023. The financial statements and internal control over financial reporting have been audited by Ernst &amp; Young LLP, an independent registered public accounting firm. Ernst &amp; Young’s reports with respect to fairness of the presentation of the financial statements, and the effectiveness of internal control over financial reporting, are included in Item 8. Financial Statements and Supplementary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has a Code of Conduct applicable to all employees, including the principal executive officer, principal financial officer, principal accounting officer, and controller, and all directors. The Code of Conduct is available at https://investors.embecta.com/corporate-governance/documents-charters. To the extent required by the rules of the SEC or The Nasdaq Stock Market LLC, Embecta intends to satisfy the disclosure requirements regarding any amendment or waiver of our Code of Conduct by posting such information on our website.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required by this item will be included in the 2024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information required by this item will be included in the 2024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4" w:lineRule="exact"/>
        <w:rPr>
          <w:sz w:val="20"/>
          <w:szCs w:val="20"/>
          <w:color w:val="auto"/>
        </w:rPr>
      </w:pPr>
    </w:p>
    <w:p>
      <w:pPr>
        <w:ind w:left="640" w:hanging="470"/>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p>
      <w:pPr>
        <w:spacing w:after="0" w:line="65" w:lineRule="exact"/>
        <w:rPr>
          <w:rFonts w:ascii="Times New Roman" w:cs="Times New Roman" w:eastAsia="Times New Roman" w:hAnsi="Times New Roman"/>
          <w:sz w:val="18"/>
          <w:szCs w:val="18"/>
          <w:b w:val="1"/>
          <w:bCs w:val="1"/>
          <w:color w:val="auto"/>
        </w:rPr>
      </w:pPr>
    </w:p>
    <w:p>
      <w:pPr>
        <w:ind w:left="900" w:hanging="325"/>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Embecta are included in Item 8 of this Annual Report on Form 10-K:</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42)</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 Fiscal years ended September 30, 2023, 2022 and 2021</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 Fiscal years ended September 30, 2023, 2022 and 2021</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September 30, 2023 and 2022</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Equity — Fiscal years ended September 30, 2023, 2022 and 2021</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Fiscal years ended September 30, 2023, 2022 and 2021</w:t>
      </w:r>
    </w:p>
    <w:p>
      <w:pPr>
        <w:spacing w:after="0" w:line="4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4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65"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19 to the Consolidated Financial Statements included in Item 8. Financial Statements and Supplementary Data.</w:t>
      </w:r>
    </w:p>
    <w:p>
      <w:pPr>
        <w:spacing w:after="0" w:line="209"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Exhibits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10"/>
          </w:tcPr>
          <w:p>
            <w:pPr>
              <w:spacing w:after="0" w:line="18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Separation and Distribution Agreement, dated as of March 31, 2022, by and between the Company and BD. (Incorporated by reference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to the Company’s Current Report on Form 8-K filed on April 6, 2022.) **</w:t>
              </w:r>
            </w:hyperlink>
          </w:p>
        </w:tc>
        <w:tc>
          <w:tcPr>
            <w:tcW w:w="440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and Restated Bylaws of the Company adopted effective as of August 2, 2023. (Incorporated by reference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Current Report on Form 8-K filed on August 3, 2023.)</w:t>
              </w:r>
            </w:hyperlink>
          </w:p>
        </w:tc>
        <w:tc>
          <w:tcPr>
            <w:tcW w:w="568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Bylaws of the Company. (Incorporated by reference to the Company’s Current Report on Form 8-K filed on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April 6, 2022.)</w:t>
              </w:r>
            </w:hyperlink>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9800" w:type="dxa"/>
            <w:vAlign w:val="bottom"/>
            <w:gridSpan w:val="1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Indenture, dated February 10, 2022, by and between the Company and U.S. Bank Trust Company, National Association, as trustee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as notes collateral agent, including the form of 5.000% Senior Secured Notes due 2030. (Incorporated by reference to the Company’s</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Current Report on Form 8-K filed on February 11, 2022.)</w:t>
              </w:r>
            </w:hyperlink>
          </w:p>
        </w:tc>
        <w:tc>
          <w:tcPr>
            <w:tcW w:w="5440" w:type="dxa"/>
            <w:vAlign w:val="bottom"/>
            <w:tcBorders>
              <w:top w:val="single" w:sz="8" w:color="0000FF"/>
            </w:tcBorders>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35" w:right="33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4.2</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First Supplemental Indenture, dated as of April 1, 2022, to the Indenture dated as of February 10, 2022, by and between the Company</w:t>
        </w:r>
      </w:hyperlink>
    </w:p>
    <w:p>
      <w:pPr>
        <w:spacing w:after="0" w:line="2" w:lineRule="exact"/>
        <w:rPr>
          <w:sz w:val="20"/>
          <w:szCs w:val="20"/>
          <w:color w:val="auto"/>
        </w:rPr>
      </w:pPr>
    </w:p>
    <w:p>
      <w:pPr>
        <w:ind w:right="720"/>
        <w:spacing w:after="0" w:line="22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and U.S. Bank Trust Company, National Association, as trustee and as notes collateral agent. (Incorporated by reference to the</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Company’s Current Report on Form 8-K filed on April 6, 2022.)</w:t>
        </w:r>
      </w:hyperlink>
    </w:p>
    <w:p>
      <w:pPr>
        <w:spacing w:after="0" w:line="90" w:lineRule="exact"/>
        <w:rPr>
          <w:sz w:val="20"/>
          <w:szCs w:val="20"/>
          <w:color w:val="auto"/>
        </w:rPr>
      </w:pPr>
    </w:p>
    <w:p>
      <w:pPr>
        <w:jc w:val="both"/>
        <w:ind w:right="40"/>
        <w:spacing w:after="0" w:line="258"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Indenture, dated as of March 31, 2022, by and between the Company and U.S. Bank Trust Company, National Association, as trustee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and as notes collateral agent, including the form of 6.750% Senior Secured Notes due 2030. (Incorporated by reference to the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Company's Current Report on Form 8-K filed on April 6, 2022.)</w:t>
        </w:r>
      </w:hyperlink>
    </w:p>
    <w:p>
      <w:pPr>
        <w:spacing w:after="0" w:line="34"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First Supplemental Indenture, dated as of April 1, 2022, to the Indenture dated as of March 31, 2022, by and between the Company and</w:t>
        </w:r>
      </w:hyperlink>
    </w:p>
    <w:p>
      <w:pPr>
        <w:spacing w:after="0" w:line="2" w:lineRule="exact"/>
        <w:rPr>
          <w:rFonts w:ascii="Times New Roman" w:cs="Times New Roman" w:eastAsia="Times New Roman" w:hAnsi="Times New Roman"/>
          <w:sz w:val="18"/>
          <w:szCs w:val="18"/>
          <w:u w:val="single" w:color="auto"/>
          <w:color w:val="0000FF"/>
        </w:rPr>
      </w:pPr>
    </w:p>
    <w:p>
      <w:pPr>
        <w:ind w:right="160"/>
        <w:spacing w:after="0" w:line="22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U.S. Bank Trust Company, National Association, as trustee and as notes collateral agent. (Incorporated by reference to the Company’s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Current Report on Form 8-K on April 6, 2022.)</w:t>
        </w:r>
      </w:hyperlink>
    </w:p>
    <w:p>
      <w:pPr>
        <w:spacing w:after="0" w:line="1" w:lineRule="exact"/>
        <w:rPr>
          <w:sz w:val="20"/>
          <w:szCs w:val="20"/>
          <w:color w:val="auto"/>
        </w:rPr>
      </w:pPr>
    </w:p>
    <w:p>
      <w:pPr>
        <w:sectPr>
          <w:pgSz w:w="11900" w:h="16838" w:orient="portrait"/>
          <w:cols w:equalWidth="0" w:num="2">
            <w:col w:w="700" w:space="720"/>
            <w:col w:w="9820"/>
          </w:cols>
          <w:pgMar w:left="320" w:top="103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4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98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 (Filed herewith.)</w:t>
            </w:r>
          </w:p>
        </w:tc>
      </w:tr>
      <w:tr>
        <w:trPr>
          <w:trHeight w:val="20"/>
        </w:trPr>
        <w:tc>
          <w:tcPr>
            <w:tcW w:w="14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Transition Services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Company’s Current Report on Form 8-K filed on April 6, 2022.) **</w:t>
              </w:r>
            </w:hyperlink>
          </w:p>
        </w:tc>
        <w:tc>
          <w:tcPr>
            <w:tcW w:w="4680" w:type="dxa"/>
            <w:vAlign w:val="bottom"/>
            <w:tcBorders>
              <w:top w:val="single" w:sz="8" w:color="0000FF"/>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1 to Transition Services Agreement, dated as of July 1, 2022, by and between BD and the Company. (Incorporated by</w:t>
              </w:r>
            </w:hyperlink>
          </w:p>
        </w:tc>
      </w:tr>
      <w:tr>
        <w:trPr>
          <w:trHeight w:val="169"/>
        </w:trPr>
        <w:tc>
          <w:tcPr>
            <w:tcW w:w="1420" w:type="dxa"/>
            <w:vAlign w:val="bottom"/>
          </w:tcPr>
          <w:p>
            <w:pPr>
              <w:spacing w:after="0"/>
              <w:rPr>
                <w:sz w:val="14"/>
                <w:szCs w:val="14"/>
                <w:color w:val="auto"/>
              </w:rPr>
            </w:pPr>
          </w:p>
        </w:tc>
        <w:tc>
          <w:tcPr>
            <w:tcW w:w="65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reference to the Company’s Annual Report on Form 10-K filed on December 22, 2022.) **</w:t>
              </w:r>
            </w:hyperlink>
          </w:p>
        </w:tc>
        <w:tc>
          <w:tcPr>
            <w:tcW w:w="3140" w:type="dxa"/>
            <w:vAlign w:val="bottom"/>
            <w:tcBorders>
              <w:top w:val="single" w:sz="8" w:color="0000FF"/>
            </w:tcBorders>
            <w:gridSpan w:val="5"/>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Tax Matters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Company’s Current Report on Form 8-K filed on April 6, 2022.) **</w:t>
              </w:r>
            </w:hyperlink>
          </w:p>
        </w:tc>
        <w:tc>
          <w:tcPr>
            <w:tcW w:w="4160" w:type="dxa"/>
            <w:vAlign w:val="bottom"/>
            <w:tcBorders>
              <w:top w:val="single" w:sz="8" w:color="0000FF"/>
            </w:tcBorders>
            <w:gridSpan w:val="2"/>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Employee Matters Agreement, dated as of March 31, 2022, by and between BD and the Company. (Incorporated by reference to the</w:t>
              </w:r>
            </w:hyperlink>
          </w:p>
        </w:tc>
      </w:tr>
      <w:tr>
        <w:trPr>
          <w:trHeight w:val="169"/>
        </w:trPr>
        <w:tc>
          <w:tcPr>
            <w:tcW w:w="1420" w:type="dxa"/>
            <w:vAlign w:val="bottom"/>
          </w:tcPr>
          <w:p>
            <w:pPr>
              <w:spacing w:after="0"/>
              <w:rPr>
                <w:sz w:val="14"/>
                <w:szCs w:val="14"/>
                <w:color w:val="auto"/>
              </w:rPr>
            </w:pPr>
          </w:p>
        </w:tc>
        <w:tc>
          <w:tcPr>
            <w:tcW w:w="950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Company’s Current Report on Form 8-K filed on April 6, 2022.) **</w:t>
              </w:r>
            </w:hyperlink>
          </w:p>
        </w:tc>
        <w:tc>
          <w:tcPr>
            <w:tcW w:w="1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9820" w:type="dxa"/>
            <w:vAlign w:val="bottom"/>
            <w:gridSpan w:val="1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Embecta 2022 Employee and Director Equity Based Compensation Plan. (Incorporated by reference to the Company’s Current Report</w:t>
              </w:r>
            </w:hyperlink>
          </w:p>
        </w:tc>
      </w:tr>
      <w:tr>
        <w:trPr>
          <w:trHeight w:val="169"/>
        </w:trPr>
        <w:tc>
          <w:tcPr>
            <w:tcW w:w="1420" w:type="dxa"/>
            <w:vAlign w:val="bottom"/>
          </w:tcPr>
          <w:p>
            <w:pPr>
              <w:spacing w:after="0"/>
              <w:rPr>
                <w:sz w:val="14"/>
                <w:szCs w:val="14"/>
                <w:color w:val="auto"/>
              </w:rPr>
            </w:pPr>
          </w:p>
        </w:tc>
        <w:tc>
          <w:tcPr>
            <w:tcW w:w="29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on Form 8-K filed on April 6, 2022.) (+)</w:t>
              </w:r>
            </w:hyperlink>
          </w:p>
        </w:tc>
        <w:tc>
          <w:tcPr>
            <w:tcW w:w="6740" w:type="dxa"/>
            <w:vAlign w:val="bottom"/>
            <w:tcBorders>
              <w:top w:val="single" w:sz="8" w:color="0000FF"/>
            </w:tcBorders>
            <w:gridSpan w:val="8"/>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915"/>
        </w:trPr>
        <w:tc>
          <w:tcPr>
            <w:tcW w:w="1420" w:type="dxa"/>
            <w:vAlign w:val="bottom"/>
          </w:tcPr>
          <w:p>
            <w:pPr>
              <w:spacing w:after="0"/>
              <w:rPr>
                <w:sz w:val="24"/>
                <w:szCs w:val="24"/>
                <w:color w:val="auto"/>
              </w:rPr>
            </w:pPr>
          </w:p>
        </w:tc>
        <w:tc>
          <w:tcPr>
            <w:tcW w:w="4860" w:type="dxa"/>
            <w:vAlign w:val="bottom"/>
            <w:gridSpan w:val="3"/>
          </w:tcPr>
          <w:p>
            <w:pPr>
              <w:ind w:left="4140"/>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5"/>
        </w:trPr>
        <w:tc>
          <w:tcPr>
            <w:tcW w:w="14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7"/>
                <w:szCs w:val="17"/>
                <w:color w:val="auto"/>
              </w:rPr>
            </w:pPr>
          </w:p>
        </w:tc>
        <w:tc>
          <w:tcPr>
            <w:tcW w:w="9800" w:type="dxa"/>
            <w:vAlign w:val="bottom"/>
            <w:gridSpan w:val="46"/>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Embecta Corp. Executive Severance and Change in Control Plan. (Incorporated by reference to the Company’s Current Report on Form</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8-K filed on April 6, 2022.) (+)</w:t>
              </w:r>
            </w:hyperlink>
          </w:p>
        </w:tc>
        <w:tc>
          <w:tcPr>
            <w:tcW w:w="7540" w:type="dxa"/>
            <w:vAlign w:val="bottom"/>
            <w:tcBorders>
              <w:top w:val="single" w:sz="8" w:color="0000FF"/>
            </w:tcBorders>
            <w:gridSpan w:val="39"/>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Embecta Deferred Compensation Plan. (Incorporated by reference to the Company’s Current Report on Form 8-K filed on April 6,</w:t>
              </w:r>
            </w:hyperlink>
          </w:p>
        </w:tc>
      </w:tr>
      <w:tr>
        <w:trPr>
          <w:trHeight w:val="155"/>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2"/>
              </w:rPr>
            </w:pPr>
            <w:hyperlink r:id="rId149">
              <w:r>
                <w:rPr>
                  <w:rFonts w:ascii="Times New Roman" w:cs="Times New Roman" w:eastAsia="Times New Roman" w:hAnsi="Times New Roman"/>
                  <w:sz w:val="18"/>
                  <w:szCs w:val="18"/>
                  <w:color w:val="0000FF"/>
                  <w:w w:val="92"/>
                </w:rPr>
                <w:t>2022.</w:t>
              </w:r>
              <w:r>
                <w:rPr>
                  <w:rFonts w:ascii="Times New Roman" w:cs="Times New Roman" w:eastAsia="Times New Roman" w:hAnsi="Times New Roman"/>
                  <w:sz w:val="18"/>
                  <w:szCs w:val="18"/>
                  <w:u w:val="single" w:color="auto"/>
                  <w:color w:val="0000FF"/>
                  <w:w w:val="92"/>
                </w:rPr>
                <w:t>)</w:t>
              </w:r>
              <w:r>
                <w:rPr>
                  <w:rFonts w:ascii="Times New Roman" w:cs="Times New Roman" w:eastAsia="Times New Roman" w:hAnsi="Times New Roman"/>
                  <w:sz w:val="18"/>
                  <w:szCs w:val="18"/>
                  <w:color w:val="0000FF"/>
                  <w:w w:val="92"/>
                </w:rPr>
                <w:t xml:space="preserve"> (+)</w:t>
              </w:r>
            </w:hyperlink>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Embecta Corp. Directors’ Deferral Plan. (Incorporated by reference to the Company’s Annual Report on Form 10-K filed on December</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5"/>
              </w:rPr>
            </w:pPr>
            <w:hyperlink r:id="rId150">
              <w:r>
                <w:rPr>
                  <w:rFonts w:ascii="Times New Roman" w:cs="Times New Roman" w:eastAsia="Times New Roman" w:hAnsi="Times New Roman"/>
                  <w:sz w:val="18"/>
                  <w:szCs w:val="18"/>
                  <w:color w:val="0000FF"/>
                  <w:w w:val="95"/>
                </w:rPr>
                <w:t>22, 2022.) (+)</w:t>
              </w:r>
            </w:hyperlink>
          </w:p>
        </w:tc>
        <w:tc>
          <w:tcPr>
            <w:tcW w:w="1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Founders Grants under the Embecta Corp. 2022 Employee and Director Equity-Based Compensation Plan Terms and</w:t>
              </w:r>
            </w:hyperlink>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6"/>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Conditions of Awards (April 1, 2022) (Incorporated by reference to the Company’s Annual Report on Form 10-K filed on December</w:t>
              </w:r>
            </w:hyperlink>
          </w:p>
        </w:tc>
      </w:tr>
      <w:tr>
        <w:trPr>
          <w:trHeight w:val="169"/>
        </w:trPr>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6"/>
              </w:rPr>
            </w:pPr>
            <w:hyperlink r:id="rId151">
              <w:r>
                <w:rPr>
                  <w:rFonts w:ascii="Times New Roman" w:cs="Times New Roman" w:eastAsia="Times New Roman" w:hAnsi="Times New Roman"/>
                  <w:sz w:val="18"/>
                  <w:szCs w:val="18"/>
                  <w:color w:val="0000FF"/>
                  <w:w w:val="96"/>
                </w:rPr>
                <w:t>22, 2022) (+)</w:t>
              </w:r>
            </w:hyperlink>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8"/>
                <w:szCs w:val="18"/>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Non-Employee Directors RSU Award under the Embecta Corp. 2022 Employee and Director Equity-Based Compensation</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Plan Terms and Conditions of Awards (April 1, 2022) (Incorporated by reference to the Company’s Annual Report on Form 10-K</w:t>
              </w:r>
            </w:hyperlink>
          </w:p>
        </w:tc>
        <w:tc>
          <w:tcPr>
            <w:tcW w:w="360" w:type="dxa"/>
            <w:vAlign w:val="bottom"/>
            <w:gridSpan w:val="13"/>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filed</w:t>
              </w:r>
            </w:hyperlink>
          </w:p>
        </w:tc>
      </w:tr>
      <w:tr>
        <w:trPr>
          <w:trHeight w:val="169"/>
        </w:trPr>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41"/>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on December 22, 2022) (+)</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8"/>
                <w:szCs w:val="18"/>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Employee and Director PSU and RSU Awards under the 2022 Employee and Director Equity Based Compensation Plan and</w:t>
              </w:r>
            </w:hyperlink>
          </w:p>
        </w:tc>
      </w:tr>
      <w:tr>
        <w:trPr>
          <w:trHeight w:val="155"/>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Conditions of Awards (November 26, 2022). (Incorporated by reference to the Company’s Quarterly Report on Form 10-Q filed on</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May 12, 2023.)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18"/>
                <w:szCs w:val="18"/>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Letter Agreement, dated as of January 25, 2021, by and between BD and Devdatt Kurdikar. (Incorporated by reference to the</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Company’s Information Statement on Form 10 filed December 21, 2021.) (+)</w:t>
              </w:r>
            </w:hyperlink>
          </w:p>
        </w:tc>
        <w:tc>
          <w:tcPr>
            <w:tcW w:w="34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Letter Agreement, dated as of April 9, 2021, by and between BD and Jacob Elguicze. (Incorporated by reference to the Company’s</w:t>
              </w:r>
            </w:hyperlink>
          </w:p>
        </w:tc>
      </w:tr>
      <w:tr>
        <w:trPr>
          <w:trHeight w:val="155"/>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Information Statement on Form 10 filed December 21, 2021.) (+)</w:t>
              </w:r>
            </w:hyperlink>
          </w:p>
        </w:tc>
        <w:tc>
          <w:tcPr>
            <w:tcW w:w="468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Letter Agreement, dated as of August 13, 2021, by and between BD and Shaun Curtis. (Incorporated by reference to the Company’s</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Information Statement on Form 10 filed December 21, 2021.) (+)</w:t>
              </w:r>
            </w:hyperlink>
          </w:p>
        </w:tc>
        <w:tc>
          <w:tcPr>
            <w:tcW w:w="4780" w:type="dxa"/>
            <w:vAlign w:val="bottom"/>
            <w:tcBorders>
              <w:top w:val="single" w:sz="8" w:color="0000FF"/>
            </w:tcBorders>
            <w:gridSpan w:val="24"/>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Letter Agreement, dated as of February 24, 2021, by and between BD and Ajay Kumar. (Incorporated by reference to the Company’s</w:t>
              </w:r>
            </w:hyperlink>
          </w:p>
        </w:tc>
      </w:tr>
      <w:tr>
        <w:trPr>
          <w:trHeight w:val="155"/>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Information Statement on Form 10 filed December 21, 2021.) (+)</w:t>
              </w:r>
            </w:hyperlink>
          </w:p>
        </w:tc>
        <w:tc>
          <w:tcPr>
            <w:tcW w:w="4880" w:type="dxa"/>
            <w:vAlign w:val="bottom"/>
            <w:tcBorders>
              <w:top w:val="single" w:sz="8" w:color="0000FF"/>
            </w:tcBorders>
            <w:gridSpan w:val="28"/>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Letter Agreement, dated as of May 26, 2021, by and between BD and Jeff Mann. (Incorporated by reference to the Company’s</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Information Statement on Form 10 filed December 21, 2021.) (+)</w:t>
              </w:r>
            </w:hyperlink>
          </w:p>
        </w:tc>
        <w:tc>
          <w:tcPr>
            <w:tcW w:w="4380" w:type="dxa"/>
            <w:vAlign w:val="bottom"/>
            <w:tcBorders>
              <w:top w:val="single" w:sz="8" w:color="0000FF"/>
            </w:tcBorders>
            <w:gridSpan w:val="15"/>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Change in Control Employment Agreement, dated as of February 10, 2021, by and between BD and Devdatt Kurdikar. (Incorporated</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by reference to the Company’s Information Statement on Form 10 filed December 21, 2021.) (+)</w:t>
              </w:r>
            </w:hyperlink>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Cannula Supply Agreement, dated as of March 31, 2022, by and between BD and the Company. (Incorporated by reference to the</w:t>
              </w:r>
            </w:hyperlink>
          </w:p>
        </w:tc>
      </w:tr>
      <w:tr>
        <w:trPr>
          <w:trHeight w:val="155"/>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Company’s Current Report on Form 8-K filed on April 6, 2022.) *, **</w:t>
              </w:r>
            </w:hyperlink>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Contract Manufacturing Agreement, dated as of March 31, 2022, by and between BD and the Company. (Incorporated by</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reference to the Company’s Current Report on Form 8-K filed on April 6, 2022.) **</w:t>
              </w:r>
            </w:hyperlink>
          </w:p>
        </w:tc>
        <w:tc>
          <w:tcPr>
            <w:tcW w:w="3340" w:type="dxa"/>
            <w:vAlign w:val="bottom"/>
            <w:tcBorders>
              <w:top w:val="single" w:sz="8" w:color="0000FF"/>
            </w:tcBorders>
            <w:gridSpan w:val="1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Lease Agreement, dated as of March 31, 2022, by and between BD and the Company. (Incorporated by reference to the Company’s</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Current Report on Form 8-K filed on April 6, 2022.) *, **</w:t>
              </w:r>
            </w:hyperlink>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Intellectual Property Matters Agreement, dated as of March 31, 2022, by and between BD and the Company. (Incorporated by</w:t>
              </w:r>
            </w:hyperlink>
          </w:p>
        </w:tc>
      </w:tr>
      <w:tr>
        <w:trPr>
          <w:trHeight w:val="155"/>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reference to the Company’s Current Report on Form 8-K filed on April 6, 2022.) *, **</w:t>
              </w:r>
            </w:hyperlink>
          </w:p>
        </w:tc>
        <w:tc>
          <w:tcPr>
            <w:tcW w:w="2860" w:type="dxa"/>
            <w:vAlign w:val="bottom"/>
            <w:tcBorders>
              <w:top w:val="single" w:sz="8" w:color="0000FF"/>
            </w:tcBorders>
            <w:gridSpan w:val="7"/>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gridSpan w:val="8"/>
          </w:tcPr>
          <w:p>
            <w:pPr>
              <w:spacing w:after="0"/>
              <w:rPr>
                <w:sz w:val="13"/>
                <w:szCs w:val="13"/>
                <w:color w:val="auto"/>
              </w:rPr>
            </w:pPr>
          </w:p>
        </w:tc>
        <w:tc>
          <w:tcPr>
            <w:tcW w:w="1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19"/>
                <w:szCs w:val="19"/>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Logistics Services Agreement, dated as of January 1, 2022, by and between BD and the Company. (Incorporated by reference to the</w:t>
              </w:r>
            </w:hyperlink>
          </w:p>
        </w:tc>
      </w:tr>
      <w:tr>
        <w:trPr>
          <w:trHeight w:val="155"/>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Company’s Current Report on Form 8-K filed on April 6, 2022.) **</w:t>
              </w:r>
            </w:hyperlink>
          </w:p>
        </w:tc>
        <w:tc>
          <w:tcPr>
            <w:tcW w:w="1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9"/>
                <w:szCs w:val="19"/>
                <w:color w:val="auto"/>
              </w:rPr>
            </w:pPr>
          </w:p>
        </w:tc>
        <w:tc>
          <w:tcPr>
            <w:tcW w:w="9720" w:type="dxa"/>
            <w:vAlign w:val="bottom"/>
            <w:tcBorders>
              <w:bottom w:val="single" w:sz="8" w:color="0000FF"/>
            </w:tcBorders>
            <w:gridSpan w:val="42"/>
          </w:tcPr>
          <w:p>
            <w:pPr>
              <w:spacing w:after="0"/>
              <w:rPr>
                <w:sz w:val="20"/>
                <w:szCs w:val="20"/>
                <w:color w:val="auto"/>
              </w:rPr>
            </w:pPr>
            <w:r>
              <w:rPr>
                <w:rFonts w:ascii="Times New Roman" w:cs="Times New Roman" w:eastAsia="Times New Roman" w:hAnsi="Times New Roman"/>
                <w:sz w:val="18"/>
                <w:szCs w:val="18"/>
                <w:color w:val="0000FF"/>
                <w:w w:val="99"/>
              </w:rPr>
              <w:t>Amendment to Logistics Services Agreement, dated as of November 20, 2023, by and between BD and the Company. (Filed herewith.)</w:t>
            </w:r>
          </w:p>
        </w:tc>
        <w:tc>
          <w:tcPr>
            <w:tcW w:w="80" w:type="dxa"/>
            <w:vAlign w:val="bottom"/>
            <w:gridSpan w:val="4"/>
          </w:tcPr>
          <w:p>
            <w:pPr>
              <w:spacing w:after="0"/>
              <w:rPr>
                <w:sz w:val="19"/>
                <w:szCs w:val="19"/>
                <w:color w:val="auto"/>
              </w:rPr>
            </w:pPr>
          </w:p>
        </w:tc>
      </w:tr>
      <w:tr>
        <w:trPr>
          <w:trHeight w:val="209"/>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18"/>
                <w:szCs w:val="18"/>
                <w:color w:val="auto"/>
              </w:rPr>
            </w:pPr>
          </w:p>
        </w:tc>
        <w:tc>
          <w:tcPr>
            <w:tcW w:w="9800" w:type="dxa"/>
            <w:vAlign w:val="bottom"/>
            <w:gridSpan w:val="4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Distribution Agreement, dated as of March 31, 2022, by and between BD and the Company. (Incorporated by reference to the</w:t>
              </w:r>
            </w:hyperlink>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Company’s Current Report on Form 8-K filed on April 6, 2022.) **</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8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19"/>
                <w:szCs w:val="19"/>
                <w:color w:val="auto"/>
              </w:rPr>
            </w:pPr>
          </w:p>
        </w:tc>
        <w:tc>
          <w:tcPr>
            <w:tcW w:w="92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Credit Agreement, dated as of March 31, 2022, by and among the Company, the lenders and other parties from time to time party</w:t>
              </w:r>
            </w:hyperlink>
          </w:p>
        </w:tc>
        <w:tc>
          <w:tcPr>
            <w:tcW w:w="520" w:type="dxa"/>
            <w:vAlign w:val="bottom"/>
            <w:gridSpan w:val="19"/>
          </w:tcPr>
          <w:p>
            <w:pPr>
              <w:spacing w:after="0"/>
              <w:rPr>
                <w:sz w:val="19"/>
                <w:szCs w:val="19"/>
                <w:color w:val="auto"/>
              </w:rPr>
            </w:pPr>
          </w:p>
        </w:tc>
      </w:tr>
      <w:tr>
        <w:trPr>
          <w:trHeight w:val="156"/>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6"/>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thereto and Morgan Stanley Senior Funding, Inc., as administrative agent, collateral agent and an L/C issuer. (Incorporated by reference</w:t>
              </w:r>
            </w:hyperlink>
          </w:p>
        </w:tc>
      </w:tr>
      <w:tr>
        <w:trPr>
          <w:trHeight w:val="169"/>
        </w:trPr>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to the Company’s Current Report on Form 8-K filed on April 6, 2022.) **</w:t>
              </w:r>
            </w:hyperlink>
          </w:p>
        </w:tc>
        <w:tc>
          <w:tcPr>
            <w:tcW w:w="4460" w:type="dxa"/>
            <w:vAlign w:val="bottom"/>
            <w:tcBorders>
              <w:top w:val="single" w:sz="8" w:color="0000FF"/>
            </w:tcBorders>
            <w:gridSpan w:val="29"/>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8"/>
                <w:szCs w:val="18"/>
                <w:color w:val="auto"/>
              </w:rPr>
            </w:pPr>
          </w:p>
        </w:tc>
        <w:tc>
          <w:tcPr>
            <w:tcW w:w="980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List of Subsidiaries of Embecta Corp. (Filed herewith.)</w:t>
            </w:r>
          </w:p>
        </w:tc>
      </w:tr>
      <w:tr>
        <w:trPr>
          <w:trHeight w:val="210"/>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35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 (Filed herewith.)</w:t>
            </w:r>
          </w:p>
        </w:tc>
        <w:tc>
          <w:tcPr>
            <w:tcW w:w="400" w:type="dxa"/>
            <w:vAlign w:val="bottom"/>
            <w:tcBorders>
              <w:top w:val="single" w:sz="8" w:color="0000FF"/>
            </w:tcBorders>
          </w:tcPr>
          <w:p>
            <w:pPr>
              <w:spacing w:after="0"/>
              <w:rPr>
                <w:sz w:val="18"/>
                <w:szCs w:val="18"/>
                <w:color w:val="auto"/>
              </w:rPr>
            </w:pPr>
          </w:p>
        </w:tc>
        <w:tc>
          <w:tcPr>
            <w:tcW w:w="5860" w:type="dxa"/>
            <w:vAlign w:val="bottom"/>
            <w:gridSpan w:val="38"/>
          </w:tcPr>
          <w:p>
            <w:pPr>
              <w:spacing w:after="0"/>
              <w:rPr>
                <w:sz w:val="18"/>
                <w:szCs w:val="18"/>
                <w:color w:val="auto"/>
              </w:rPr>
            </w:pPr>
          </w:p>
        </w:tc>
      </w:tr>
      <w:tr>
        <w:trPr>
          <w:trHeight w:val="223"/>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66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 (Filed herewith.)</w:t>
            </w:r>
          </w:p>
        </w:tc>
        <w:tc>
          <w:tcPr>
            <w:tcW w:w="3220" w:type="dxa"/>
            <w:vAlign w:val="bottom"/>
            <w:gridSpan w:val="26"/>
          </w:tcPr>
          <w:p>
            <w:pPr>
              <w:spacing w:after="0"/>
              <w:rPr>
                <w:sz w:val="19"/>
                <w:szCs w:val="19"/>
                <w:color w:val="auto"/>
              </w:rPr>
            </w:pPr>
          </w:p>
        </w:tc>
      </w:tr>
      <w:tr>
        <w:trPr>
          <w:trHeight w:val="236"/>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4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 (Filed herewith.)</w:t>
            </w:r>
          </w:p>
        </w:tc>
      </w:tr>
      <w:tr>
        <w:trPr>
          <w:trHeight w:val="20"/>
        </w:trPr>
        <w:tc>
          <w:tcPr>
            <w:tcW w:w="1420" w:type="dxa"/>
            <w:vAlign w:val="bottom"/>
          </w:tcPr>
          <w:p>
            <w:pPr>
              <w:spacing w:after="0" w:line="20" w:lineRule="exact"/>
              <w:rPr>
                <w:sz w:val="1"/>
                <w:szCs w:val="1"/>
                <w:color w:val="auto"/>
              </w:rPr>
            </w:pPr>
          </w:p>
        </w:tc>
        <w:tc>
          <w:tcPr>
            <w:tcW w:w="4460" w:type="dxa"/>
            <w:vAlign w:val="bottom"/>
            <w:gridSpan w:val="11"/>
            <w:shd w:val="clear" w:color="auto" w:fill="0000FF"/>
          </w:tcPr>
          <w:p>
            <w:pPr>
              <w:spacing w:after="0" w:line="20" w:lineRule="exact"/>
              <w:rPr>
                <w:sz w:val="1"/>
                <w:szCs w:val="1"/>
                <w:color w:val="auto"/>
              </w:rPr>
            </w:pPr>
          </w:p>
        </w:tc>
        <w:tc>
          <w:tcPr>
            <w:tcW w:w="2080" w:type="dxa"/>
            <w:vAlign w:val="bottom"/>
            <w:gridSpan w:val="9"/>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gridSpan w:val="23"/>
          </w:tcPr>
          <w:p>
            <w:pPr>
              <w:spacing w:after="0" w:line="20" w:lineRule="exact"/>
              <w:rPr>
                <w:sz w:val="1"/>
                <w:szCs w:val="1"/>
                <w:color w:val="auto"/>
              </w:rPr>
            </w:pPr>
          </w:p>
        </w:tc>
      </w:tr>
      <w:tr>
        <w:trPr>
          <w:trHeight w:val="237"/>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71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(Furnished herewith.)</w:t>
            </w:r>
          </w:p>
        </w:tc>
        <w:tc>
          <w:tcPr>
            <w:tcW w:w="2700" w:type="dxa"/>
            <w:vAlign w:val="bottom"/>
            <w:gridSpan w:val="23"/>
          </w:tcPr>
          <w:p>
            <w:pPr>
              <w:spacing w:after="0"/>
              <w:rPr>
                <w:sz w:val="20"/>
                <w:szCs w:val="20"/>
                <w:color w:val="auto"/>
              </w:rPr>
            </w:pPr>
          </w:p>
        </w:tc>
      </w:tr>
      <w:tr>
        <w:trPr>
          <w:trHeight w:val="237"/>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4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(Furnished herewith.)</w:t>
            </w:r>
          </w:p>
        </w:tc>
      </w:tr>
      <w:tr>
        <w:trPr>
          <w:trHeight w:val="236"/>
        </w:trPr>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97.1</w:t>
            </w:r>
          </w:p>
        </w:tc>
        <w:tc>
          <w:tcPr>
            <w:tcW w:w="70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Embecta Corp. Dodd-Frank Clawback Policy (Filed herewith.)</w:t>
            </w:r>
          </w:p>
        </w:tc>
        <w:tc>
          <w:tcPr>
            <w:tcW w:w="2760" w:type="dxa"/>
            <w:vAlign w:val="bottom"/>
            <w:gridSpan w:val="24"/>
          </w:tcPr>
          <w:p>
            <w:pPr>
              <w:spacing w:after="0"/>
              <w:rPr>
                <w:sz w:val="20"/>
                <w:szCs w:val="20"/>
                <w:color w:val="auto"/>
              </w:rPr>
            </w:pPr>
          </w:p>
        </w:tc>
      </w:tr>
      <w:tr>
        <w:trPr>
          <w:trHeight w:val="928"/>
        </w:trPr>
        <w:tc>
          <w:tcPr>
            <w:tcW w:w="1420" w:type="dxa"/>
            <w:vAlign w:val="bottom"/>
          </w:tcPr>
          <w:p>
            <w:pPr>
              <w:spacing w:after="0"/>
              <w:rPr>
                <w:sz w:val="24"/>
                <w:szCs w:val="24"/>
                <w:color w:val="auto"/>
              </w:rPr>
            </w:pPr>
          </w:p>
        </w:tc>
        <w:tc>
          <w:tcPr>
            <w:tcW w:w="4460" w:type="dxa"/>
            <w:vAlign w:val="bottom"/>
            <w:tcBorders>
              <w:top w:val="single" w:sz="8" w:color="0000FF"/>
            </w:tcBorders>
            <w:gridSpan w:val="11"/>
          </w:tcPr>
          <w:p>
            <w:pPr>
              <w:ind w:left="4140"/>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83" w:name="page84"/>
    <w:bookmarkEnd w:id="83"/>
    <w:p>
      <w:pPr>
        <w:ind w:left="40"/>
        <w:spacing w:after="0"/>
        <w:tabs>
          <w:tab w:leader="none" w:pos="1400" w:val="left"/>
        </w:tabs>
        <w:rPr>
          <w:sz w:val="20"/>
          <w:szCs w:val="20"/>
          <w:color w:val="auto"/>
        </w:rPr>
      </w:pPr>
      <w:r>
        <w:rPr>
          <w:rFonts w:ascii="Times New Roman" w:cs="Times New Roman" w:eastAsia="Times New Roman" w:hAnsi="Times New Roman"/>
          <w:sz w:val="18"/>
          <w:szCs w:val="18"/>
          <w:color w:val="auto"/>
        </w:rPr>
        <w:t>97.2</w:t>
      </w:r>
      <w:r>
        <w:rPr>
          <w:sz w:val="20"/>
          <w:szCs w:val="20"/>
          <w:color w:val="auto"/>
        </w:rPr>
        <w:tab/>
      </w:r>
      <w:r>
        <w:rPr>
          <w:rFonts w:ascii="Times New Roman" w:cs="Times New Roman" w:eastAsia="Times New Roman" w:hAnsi="Times New Roman"/>
          <w:sz w:val="17"/>
          <w:szCs w:val="17"/>
          <w:u w:val="single" w:color="auto"/>
          <w:color w:val="0000FF"/>
        </w:rPr>
        <w:t>Embecta Corp. Supplemental Policy Regarding the Recovery of Compensation, Effective December 1, 2023 (Filed herewith.)</w:t>
      </w:r>
    </w:p>
    <w:p>
      <w:pPr>
        <w:spacing w:after="0" w:line="50" w:lineRule="exact"/>
        <w:rPr>
          <w:sz w:val="20"/>
          <w:szCs w:val="20"/>
          <w:color w:val="auto"/>
        </w:rPr>
      </w:pPr>
    </w:p>
    <w:p>
      <w:pPr>
        <w:ind w:left="1420" w:right="260" w:hanging="1381"/>
        <w:spacing w:after="0" w:line="250"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this Annual Report on Form 10-K, formatted in iXBRL (Inline eXtensible Business Reporting Language): (i) the Consolidated Statements of Income, (ii) the Consolidated Statements of Comprehensive Income, (iii) the Consolidated Balance Sheets, (iv) the Consolidated Statements of Equity, (v) the Consolidated Statements of Cash Flows, and (vi) Notes to Consolidated Financial Statements. (Filed herewith.)</w:t>
      </w:r>
    </w:p>
    <w:p>
      <w:pPr>
        <w:spacing w:after="0" w:line="15" w:lineRule="exact"/>
        <w:rPr>
          <w:sz w:val="20"/>
          <w:szCs w:val="20"/>
          <w:color w:val="auto"/>
        </w:rPr>
      </w:pPr>
    </w:p>
    <w:p>
      <w:pPr>
        <w:ind w:left="1420" w:hanging="1381"/>
        <w:spacing w:after="0"/>
        <w:tabs>
          <w:tab w:leader="none" w:pos="1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00" w:hanging="474"/>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information contained in this document has been omitted because it is both (i) not material and (ii) is the type that the Company treats as</w:t>
      </w:r>
    </w:p>
    <w:p>
      <w:pPr>
        <w:ind w:left="500" w:hanging="474"/>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or confidential.</w:t>
      </w:r>
    </w:p>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Schedules and exhibits omitted pursuant to Item 601(b)(2) of Regulation S-K. The Company agrees to furnish a supplemental copy of any omitted</w:t>
      </w:r>
    </w:p>
    <w:p>
      <w:pPr>
        <w:ind w:left="500" w:hanging="474"/>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to the Securities and Exchange Commission upon request.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is not providing summary information.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5" w:right="5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90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0" w:lineRule="exact"/>
        <w:rPr>
          <w:sz w:val="20"/>
          <w:szCs w:val="20"/>
          <w:color w:val="auto"/>
        </w:rPr>
      </w:pPr>
    </w:p>
    <w:p>
      <w:pPr>
        <w:spacing w:after="0" w:line="349"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90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0" w:lineRule="exact"/>
        <w:rPr>
          <w:sz w:val="20"/>
          <w:szCs w:val="20"/>
          <w:color w:val="auto"/>
        </w:rPr>
      </w:pPr>
    </w:p>
    <w:p>
      <w:pPr>
        <w:spacing w:after="0" w:line="349" w:lineRule="exact"/>
        <w:rPr>
          <w:sz w:val="20"/>
          <w:szCs w:val="20"/>
          <w:color w:val="auto"/>
        </w:rPr>
      </w:pPr>
    </w:p>
    <w:tbl>
      <w:tblPr>
        <w:tblLayout w:type="fixed"/>
        <w:tblInd w:w="49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CAPONE</w:t>
            </w: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Capone</w:t>
            </w: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7"/>
        </w:trPr>
        <w:tc>
          <w:tcPr>
            <w:tcW w:w="90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5" w:name="page86"/>
    <w:bookmarkEnd w:id="85"/>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250" w:lineRule="exact"/>
        <w:rPr>
          <w:sz w:val="20"/>
          <w:szCs w:val="20"/>
          <w:color w:val="auto"/>
        </w:rPr>
      </w:pPr>
    </w:p>
    <w:p>
      <w:pPr>
        <w:ind w:left="2240"/>
        <w:spacing w:after="0"/>
        <w:tabs>
          <w:tab w:leader="none" w:pos="6160" w:val="left"/>
          <w:tab w:leader="none" w:pos="952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Capacity</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255" w:right="339" w:bottom="1440" w:gutter="0" w:footer="0" w:header="0"/>
        </w:sectPr>
      </w:pPr>
    </w:p>
    <w:p>
      <w:pPr>
        <w:spacing w:after="0" w:line="331" w:lineRule="exact"/>
        <w:rPr>
          <w:sz w:val="20"/>
          <w:szCs w:val="20"/>
          <w:color w:val="auto"/>
        </w:rPr>
      </w:pPr>
    </w:p>
    <w:p>
      <w:pPr>
        <w:ind w:left="380" w:right="1480"/>
        <w:spacing w:after="0" w:line="379" w:lineRule="auto"/>
        <w:rPr>
          <w:sz w:val="20"/>
          <w:szCs w:val="20"/>
          <w:color w:val="auto"/>
        </w:rPr>
      </w:pPr>
      <w:r>
        <w:rPr>
          <w:rFonts w:ascii="Times New Roman" w:cs="Times New Roman" w:eastAsia="Times New Roman" w:hAnsi="Times New Roman"/>
          <w:sz w:val="17"/>
          <w:szCs w:val="17"/>
          <w:color w:val="auto"/>
        </w:rPr>
        <w:t>/s/ LTG (RET.) DAVID F. MELCHER LTG (Ret.) David F. Melcher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-234315</wp:posOffset>
            </wp:positionV>
            <wp:extent cx="25971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DAVID J. ALBRITTON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David J. Albritton</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ROBERT (BOB) J. HOMBACH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Robert (Bob) J. Hombach</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MILTON M. MORRIS,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Milton M. Morris, Ph.D.</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CLAIRE POMEROY,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Claire Pomeroy, M.D.</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KAREN N. PRANGE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Karen N. Prange</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CHRISTOPHER R. REIDY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Christopher R. Reidy</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5971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Jacob Elguicze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270"/>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and Chairman of the Board</w:t>
            </w:r>
          </w:p>
        </w:tc>
        <w:tc>
          <w:tcPr>
            <w:tcW w:w="2140" w:type="dxa"/>
            <w:vAlign w:val="bottom"/>
          </w:tcPr>
          <w:p>
            <w:pPr>
              <w:spacing w:after="0"/>
              <w:rPr>
                <w:sz w:val="23"/>
                <w:szCs w:val="23"/>
                <w:color w:val="auto"/>
              </w:rPr>
            </w:pPr>
          </w:p>
        </w:tc>
      </w:tr>
      <w:tr>
        <w:trPr>
          <w:trHeight w:val="513"/>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797"/>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796"/>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797"/>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796"/>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797"/>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796"/>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797"/>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270"/>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Officer</w:t>
            </w:r>
          </w:p>
        </w:tc>
        <w:tc>
          <w:tcPr>
            <w:tcW w:w="2140" w:type="dxa"/>
            <w:vAlign w:val="bottom"/>
          </w:tcPr>
          <w:p>
            <w:pPr>
              <w:spacing w:after="0"/>
              <w:rPr>
                <w:sz w:val="23"/>
                <w:szCs w:val="23"/>
                <w:color w:val="auto"/>
              </w:rPr>
            </w:pPr>
          </w:p>
        </w:tc>
      </w:tr>
      <w:tr>
        <w:trPr>
          <w:trHeight w:val="513"/>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Senior Vice President, Chief</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29, 2023</w:t>
            </w:r>
          </w:p>
        </w:tc>
      </w:tr>
      <w:tr>
        <w:trPr>
          <w:trHeight w:val="270"/>
        </w:trPr>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Financial Officer</w:t>
            </w:r>
          </w:p>
        </w:tc>
        <w:tc>
          <w:tcPr>
            <w:tcW w:w="21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4640" w:space="720"/>
            <w:col w:w="5880"/>
          </w:cols>
          <w:pgMar w:left="320" w:top="1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240"/>
          </w:cols>
          <w:pgMar w:left="320" w:top="1255" w:right="3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EMBECTA CAPITAL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Embecta Corp.’s (“Embecta”) authorized capital stock consists of 250,000,000 shares of common stock, par value $0.01 per share, and 10,000,000</w:t>
      </w:r>
    </w:p>
    <w:p>
      <w:pPr>
        <w:spacing w:after="0" w:line="2" w:lineRule="exact"/>
        <w:rPr>
          <w:sz w:val="20"/>
          <w:szCs w:val="20"/>
          <w:color w:val="auto"/>
        </w:rPr>
      </w:pPr>
    </w:p>
    <w:p>
      <w:pPr>
        <w:ind w:right="640"/>
        <w:spacing w:after="0" w:line="226" w:lineRule="auto"/>
        <w:rPr>
          <w:sz w:val="20"/>
          <w:szCs w:val="20"/>
          <w:color w:val="auto"/>
        </w:rPr>
      </w:pPr>
      <w:r>
        <w:rPr>
          <w:rFonts w:ascii="Times New Roman" w:cs="Times New Roman" w:eastAsia="Times New Roman" w:hAnsi="Times New Roman"/>
          <w:sz w:val="18"/>
          <w:szCs w:val="18"/>
          <w:color w:val="auto"/>
        </w:rPr>
        <w:t>shares of preferred stock, par value $0.01 per share. We do not have any preferred stock issued and outstanding. Embecta’s Board of Directors may establish the rights and preferences of the preferred stock from time to time.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2" w:lineRule="exact"/>
        <w:rPr>
          <w:sz w:val="20"/>
          <w:szCs w:val="20"/>
          <w:color w:val="auto"/>
        </w:rPr>
      </w:pPr>
    </w:p>
    <w:p>
      <w:pPr>
        <w:ind w:left="660" w:right="520" w:hanging="328"/>
        <w:spacing w:after="0" w:line="23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Embecta common stock is entitled to one vote for each share on all matters to be voted upon by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Embecta common stock, and there are no cumulative voting rights.</w:t>
      </w:r>
    </w:p>
    <w:p>
      <w:pPr>
        <w:spacing w:after="0" w:line="75" w:lineRule="exact"/>
        <w:rPr>
          <w:rFonts w:ascii="Times New Roman" w:cs="Times New Roman" w:eastAsia="Times New Roman" w:hAnsi="Times New Roman"/>
          <w:sz w:val="18"/>
          <w:szCs w:val="18"/>
          <w:color w:val="auto"/>
        </w:rPr>
      </w:pPr>
    </w:p>
    <w:p>
      <w:pPr>
        <w:ind w:left="660" w:right="280" w:hanging="328"/>
        <w:spacing w:after="0" w:line="365" w:lineRule="auto"/>
        <w:tabs>
          <w:tab w:leader="none" w:pos="6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Dividend Rights. </w:t>
      </w:r>
      <w:r>
        <w:rPr>
          <w:rFonts w:ascii="Times New Roman" w:cs="Times New Roman" w:eastAsia="Times New Roman" w:hAnsi="Times New Roman"/>
          <w:sz w:val="17"/>
          <w:szCs w:val="17"/>
          <w:color w:val="auto"/>
        </w:rPr>
        <w:t>Subject to any preferential rights of any outstanding preferred stock, holders of Embecta common stock are entitled to receive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ratably the dividends, if any, as may be declared from time to time by its Board of Directors out of funds legally available for that purpose.</w:t>
      </w:r>
    </w:p>
    <w:p>
      <w:pPr>
        <w:spacing w:after="0" w:line="12" w:lineRule="exact"/>
        <w:rPr>
          <w:rFonts w:ascii="Times New Roman" w:cs="Times New Roman" w:eastAsia="Times New Roman" w:hAnsi="Times New Roman"/>
          <w:sz w:val="17"/>
          <w:szCs w:val="17"/>
          <w:color w:val="auto"/>
        </w:rPr>
      </w:pPr>
    </w:p>
    <w:p>
      <w:pPr>
        <w:ind w:left="660" w:right="240" w:hanging="328"/>
        <w:spacing w:after="0" w:line="31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to Receive liquidation distributions. </w:t>
      </w:r>
      <w:r>
        <w:rPr>
          <w:rFonts w:ascii="Times New Roman" w:cs="Times New Roman" w:eastAsia="Times New Roman" w:hAnsi="Times New Roman"/>
          <w:sz w:val="18"/>
          <w:szCs w:val="18"/>
          <w:color w:val="auto"/>
        </w:rPr>
        <w:t>If there is a liquidation, dissolution or winding up of Embecta, holders of its common stock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ratable distribution of its assets remaining after the payment in full of liabilities and any preferential rights of any then-outstanding preferred stock.</w:t>
      </w:r>
    </w:p>
    <w:p>
      <w:pPr>
        <w:spacing w:after="0" w:line="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Holders of Embecta common stock have no preemptive or conversion rights or other subscription rights, and</w:t>
      </w:r>
    </w:p>
    <w:p>
      <w:pPr>
        <w:spacing w:after="0" w:line="51" w:lineRule="exact"/>
        <w:rPr>
          <w:rFonts w:ascii="Times New Roman" w:cs="Times New Roman" w:eastAsia="Times New Roman" w:hAnsi="Times New Roman"/>
          <w:sz w:val="18"/>
          <w:szCs w:val="18"/>
          <w:color w:val="auto"/>
        </w:rPr>
      </w:pPr>
    </w:p>
    <w:p>
      <w:pPr>
        <w:ind w:left="660" w:right="260"/>
        <w:spacing w:after="0" w:line="3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there are no redemption or sinking fund provisions applicable to the Embecta common stock. All outstanding shares of Embecta common stock are fully paid and non-assessable. The rights, preferences and privileges of the holders of Embecta common stock are subject to, and may be adversely affected by, the rights of the holders of shares of any series of preferred stock that Embecta may designate and issue in the future.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Governance Provisions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provisions of Delaware law and Embecta’s amended and restated certificate of incorporation and bylaws may be deemed to have an anti-</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takeover effect and may delay, defer or prevent a tender offer or change in control of Embecta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Embecta’s Board of Directors and in the policies formulated by Embecta’s Board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could discourage certain types of transactions that may involve an actual or threatened change of control.</w:t>
      </w:r>
    </w:p>
    <w:p>
      <w:pPr>
        <w:spacing w:after="0" w:line="55" w:lineRule="exact"/>
        <w:rPr>
          <w:sz w:val="20"/>
          <w:szCs w:val="20"/>
          <w:color w:val="auto"/>
        </w:rPr>
      </w:pPr>
    </w:p>
    <w:p>
      <w:pPr>
        <w:ind w:left="660" w:hanging="328"/>
        <w:spacing w:after="0" w:line="21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Embecta’s amended and restated certificate of incorporation provides that, until the annual stockholder meeting in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Embecta’s Board of Directors will be divided into three classes, with each class consisting, as nearly as reasonably possible, of one-third of the total number of directors. The first term of office for the Class I directors will expire at the 2023 annual meeting of stockholders. The first term of office for the Class II directors will expire at the 2024 annual meeting of stockholders. The first term of office for the Class III directors will expire at the 2025 annual meeting of stockholders. At the 2023 annual meeting of stockholders, the Class I directors will be elected for a term of office to expire at the 2026 annual meeting of stockholders. At the 2024 annual meeting of stockholders, the Class II directors will be elected for a term of office to expire at the 2026 annual meeting of stockholders. At the 2025 annual meeting of stockholders, the Class III directors will be elected for a term of office to expire at the 2026 annual meeting of stockholders. Commencing with the 2026 annual meeting of stockholders, all directors will be elected annually and for a term of office to expire at the next annual meeting of stockholders, and Embecta’s Board of Directors will thereafter no longer be divided into classes. Before Embecta’s Board of Directors is declassified, it would take at least two annual stockholders meetings to occur for any individual or group to gain control of Embecta’s Board of Directors. Accordingly, while the Board of Directors is divided into classes, these provisions could discourage a third-party from initiating a proxy contest, making a tender offer or otherwise attempting to control Embecta.</w:t>
      </w:r>
    </w:p>
    <w:p>
      <w:pPr>
        <w:spacing w:after="0" w:line="55" w:lineRule="exact"/>
        <w:rPr>
          <w:rFonts w:ascii="Times New Roman" w:cs="Times New Roman" w:eastAsia="Times New Roman" w:hAnsi="Times New Roman"/>
          <w:sz w:val="18"/>
          <w:szCs w:val="18"/>
          <w:color w:val="auto"/>
        </w:rPr>
      </w:pPr>
    </w:p>
    <w:p>
      <w:pPr>
        <w:ind w:left="660" w:hanging="328"/>
        <w:spacing w:after="0" w:line="22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and Vacancies. </w:t>
      </w:r>
      <w:r>
        <w:rPr>
          <w:rFonts w:ascii="Times New Roman" w:cs="Times New Roman" w:eastAsia="Times New Roman" w:hAnsi="Times New Roman"/>
          <w:sz w:val="18"/>
          <w:szCs w:val="18"/>
          <w:color w:val="auto"/>
        </w:rPr>
        <w:t>Embecta’s amended and restated certificate of incorporation and bylaws provide that (i) until the 2026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(or such other time as the Board of Directors is no longer classified under the Delaware General Corporation Law (the “DGCL”), Embecta stockholders may remove directors only for cause and (ii) from and including the 2026 annual meeting of stockholders (or such other time as the Board of Directors is no longer classified under the DGCL), Embecta stockholders may remove directors with or without cause. Removal will require the affirmative vote of holders of at least a majority of the voting power of Embecta stock outstanding and entitled to vote on such removal.</w:t>
      </w:r>
    </w:p>
    <w:p>
      <w:pPr>
        <w:sectPr>
          <w:pgSz w:w="11900" w:h="16838" w:orient="portrait"/>
          <w:cols w:equalWidth="0" w:num="1">
            <w:col w:w="11240"/>
          </w:cols>
          <w:pgMar w:left="320" w:top="482" w:right="339" w:bottom="1440" w:gutter="0" w:footer="0" w:header="0"/>
        </w:sectPr>
      </w:pPr>
    </w:p>
    <w:bookmarkStart w:id="87" w:name="page88"/>
    <w:bookmarkEnd w:id="87"/>
    <w:p>
      <w:pPr>
        <w:spacing w:after="0" w:line="153" w:lineRule="exact"/>
        <w:rPr>
          <w:sz w:val="20"/>
          <w:szCs w:val="20"/>
          <w:color w:val="auto"/>
        </w:rPr>
      </w:pPr>
    </w:p>
    <w:p>
      <w:pPr>
        <w:ind w:left="328"/>
        <w:spacing w:after="0" w:line="226" w:lineRule="auto"/>
        <w:rPr>
          <w:sz w:val="20"/>
          <w:szCs w:val="20"/>
          <w:color w:val="auto"/>
        </w:rPr>
      </w:pPr>
      <w:r>
        <w:rPr>
          <w:rFonts w:ascii="Times New Roman" w:cs="Times New Roman" w:eastAsia="Times New Roman" w:hAnsi="Times New Roman"/>
          <w:sz w:val="18"/>
          <w:szCs w:val="18"/>
          <w:color w:val="auto"/>
        </w:rPr>
        <w:t>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Embecta’s Board of Directors or by a sole remaining director.</w:t>
      </w:r>
    </w:p>
    <w:p>
      <w:pPr>
        <w:spacing w:after="0" w:line="88" w:lineRule="exact"/>
        <w:rPr>
          <w:sz w:val="20"/>
          <w:szCs w:val="20"/>
          <w:color w:val="auto"/>
        </w:rPr>
      </w:pPr>
    </w:p>
    <w:p>
      <w:pPr>
        <w:ind w:left="328" w:right="80" w:hanging="328"/>
        <w:spacing w:after="0" w:line="315"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Size of the Board</w:t>
      </w:r>
      <w:r>
        <w:rPr>
          <w:rFonts w:ascii="Times New Roman" w:cs="Times New Roman" w:eastAsia="Times New Roman" w:hAnsi="Times New Roman"/>
          <w:sz w:val="18"/>
          <w:szCs w:val="18"/>
          <w:color w:val="auto"/>
        </w:rPr>
        <w:t>. Embecta’s amended and restated certificate of incorporation and bylaws provide that Embecta’s Board of Directors has the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fix the number of directors on the Board.</w:t>
      </w:r>
    </w:p>
    <w:p>
      <w:pPr>
        <w:spacing w:after="0" w:line="64" w:lineRule="exact"/>
        <w:rPr>
          <w:rFonts w:ascii="Times New Roman" w:cs="Times New Roman" w:eastAsia="Times New Roman" w:hAnsi="Times New Roman"/>
          <w:sz w:val="18"/>
          <w:szCs w:val="18"/>
          <w:color w:val="auto"/>
        </w:rPr>
      </w:pPr>
    </w:p>
    <w:p>
      <w:pPr>
        <w:jc w:val="both"/>
        <w:ind w:left="328" w:right="200" w:hanging="328"/>
        <w:spacing w:after="0" w:line="307" w:lineRule="auto"/>
        <w:tabs>
          <w:tab w:leader="none" w:pos="32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Blank Check Preferred Stock</w:t>
      </w:r>
      <w:r>
        <w:rPr>
          <w:rFonts w:ascii="Times New Roman" w:cs="Times New Roman" w:eastAsia="Times New Roman" w:hAnsi="Times New Roman"/>
          <w:sz w:val="17"/>
          <w:szCs w:val="17"/>
          <w:color w:val="auto"/>
        </w:rPr>
        <w:t>. Embecta’s amended and restated certificate of incorporation authorizes Embecta’s Board of Directors to designate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issue, without any further vote or action by the Embecta stockholders, shares of preferred stock from time to time in one or more series and,</w:t>
      </w:r>
    </w:p>
    <w:p>
      <w:pPr>
        <w:spacing w:after="0" w:line="1" w:lineRule="exact"/>
        <w:rPr>
          <w:rFonts w:ascii="Times New Roman" w:cs="Times New Roman" w:eastAsia="Times New Roman" w:hAnsi="Times New Roman"/>
          <w:sz w:val="17"/>
          <w:szCs w:val="17"/>
          <w:color w:val="auto"/>
        </w:rPr>
      </w:pPr>
    </w:p>
    <w:p>
      <w:pPr>
        <w:ind w:left="328" w:right="1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w:t>
      </w:r>
    </w:p>
    <w:p>
      <w:pPr>
        <w:spacing w:after="0" w:line="59" w:lineRule="exact"/>
        <w:rPr>
          <w:rFonts w:ascii="Times New Roman" w:cs="Times New Roman" w:eastAsia="Times New Roman" w:hAnsi="Times New Roman"/>
          <w:sz w:val="17"/>
          <w:szCs w:val="17"/>
          <w:color w:val="auto"/>
        </w:rPr>
      </w:pPr>
    </w:p>
    <w:p>
      <w:pPr>
        <w:ind w:left="328" w:right="60" w:hanging="328"/>
        <w:spacing w:after="0" w:line="314"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Embecta’s amended and restated certificate of incorporation and bylaws expressly exclude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Embecta stockholders to act by written consent. Stockholder action must therefore take place at an annual meeting or at a special meeting of Embecta stockholders.</w:t>
      </w:r>
    </w:p>
    <w:p>
      <w:pPr>
        <w:spacing w:after="0" w:line="5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Stockholder Ability to Call Special Meetings of Stockholders. </w:t>
      </w:r>
      <w:r>
        <w:rPr>
          <w:rFonts w:ascii="Times New Roman" w:cs="Times New Roman" w:eastAsia="Times New Roman" w:hAnsi="Times New Roman"/>
          <w:sz w:val="18"/>
          <w:szCs w:val="18"/>
          <w:color w:val="auto"/>
        </w:rPr>
        <w:t>Embecta’s amended and restated certificate of incorporation and bylaws provide</w:t>
      </w:r>
    </w:p>
    <w:p>
      <w:pPr>
        <w:spacing w:after="0" w:line="51" w:lineRule="exact"/>
        <w:rPr>
          <w:rFonts w:ascii="Times New Roman" w:cs="Times New Roman" w:eastAsia="Times New Roman" w:hAnsi="Times New Roman"/>
          <w:sz w:val="18"/>
          <w:szCs w:val="18"/>
          <w:color w:val="auto"/>
        </w:rPr>
      </w:pPr>
    </w:p>
    <w:p>
      <w:pPr>
        <w:ind w:left="328"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Embecta stockholders can only be called by the Chairman of the Board or a majority of the directors Embecta’s Board of Directors. Embecta stockholders are not be able to call a special meeting of stockholders.</w:t>
      </w:r>
    </w:p>
    <w:p>
      <w:pPr>
        <w:spacing w:after="0" w:line="65" w:lineRule="exact"/>
        <w:rPr>
          <w:rFonts w:ascii="Times New Roman" w:cs="Times New Roman" w:eastAsia="Times New Roman" w:hAnsi="Times New Roman"/>
          <w:sz w:val="18"/>
          <w:szCs w:val="18"/>
          <w:color w:val="auto"/>
        </w:rPr>
      </w:pPr>
    </w:p>
    <w:p>
      <w:pPr>
        <w:ind w:left="328" w:hanging="328"/>
        <w:spacing w:after="0" w:line="307" w:lineRule="auto"/>
        <w:tabs>
          <w:tab w:leader="none" w:pos="32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Requirements for Advance Notification of Stockholder Nominations and Proposals</w:t>
      </w:r>
      <w:r>
        <w:rPr>
          <w:rFonts w:ascii="Times New Roman" w:cs="Times New Roman" w:eastAsia="Times New Roman" w:hAnsi="Times New Roman"/>
          <w:sz w:val="17"/>
          <w:szCs w:val="17"/>
          <w:color w:val="auto"/>
        </w:rPr>
        <w:t>. Embecta’s amended and restated bylaws require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seeking to nominate persons for election as directors at an annual or special meeting of stockholders, or to bring other business before an annual or</w:t>
      </w:r>
    </w:p>
    <w:p>
      <w:pPr>
        <w:spacing w:after="0" w:line="1" w:lineRule="exact"/>
        <w:rPr>
          <w:rFonts w:ascii="Times New Roman" w:cs="Times New Roman" w:eastAsia="Times New Roman" w:hAnsi="Times New Roman"/>
          <w:sz w:val="17"/>
          <w:szCs w:val="17"/>
          <w:color w:val="auto"/>
        </w:rPr>
      </w:pPr>
    </w:p>
    <w:p>
      <w:pPr>
        <w:ind w:left="328" w:right="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meeting (other than a proposal submitted under Rule 14a-8 under the Securities Exchange Act of 1934, as amended (the “Exchange Act”), to provide timely notice in writing. A stockholder’s notice to Embecta’s Corporate Secretary must be in proper written form and must set forth</w:t>
      </w:r>
    </w:p>
    <w:p>
      <w:pPr>
        <w:spacing w:after="0" w:line="1" w:lineRule="exact"/>
        <w:rPr>
          <w:rFonts w:ascii="Times New Roman" w:cs="Times New Roman" w:eastAsia="Times New Roman" w:hAnsi="Times New Roman"/>
          <w:sz w:val="17"/>
          <w:szCs w:val="17"/>
          <w:color w:val="auto"/>
        </w:rPr>
      </w:pPr>
    </w:p>
    <w:p>
      <w:pPr>
        <w:ind w:left="328" w:right="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certain information, as required under Embecta’s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59" w:lineRule="exact"/>
        <w:rPr>
          <w:rFonts w:ascii="Times New Roman" w:cs="Times New Roman" w:eastAsia="Times New Roman" w:hAnsi="Times New Roman"/>
          <w:sz w:val="17"/>
          <w:szCs w:val="17"/>
          <w:color w:val="auto"/>
        </w:rPr>
      </w:pPr>
    </w:p>
    <w:p>
      <w:pPr>
        <w:ind w:left="328" w:right="140" w:hanging="328"/>
        <w:spacing w:after="0" w:line="331"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Bylaws</w:t>
      </w:r>
      <w:r>
        <w:rPr>
          <w:rFonts w:ascii="Times New Roman" w:cs="Times New Roman" w:eastAsia="Times New Roman" w:hAnsi="Times New Roman"/>
          <w:sz w:val="18"/>
          <w:szCs w:val="18"/>
          <w:color w:val="auto"/>
        </w:rPr>
        <w:t>. Embecta’s amended and restated certificate of incorporation and bylaws provide that Embecta’s Board of Directors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authority to amend and repeal the Embecta amended and restated bylaws without a stockholder vote.</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Embecta’s amended and restated certificate of incorporation provides that, unless Embecta (through approval of the Board of</w:t>
      </w:r>
    </w:p>
    <w:p>
      <w:pPr>
        <w:spacing w:after="0" w:line="51" w:lineRule="exact"/>
        <w:rPr>
          <w:rFonts w:ascii="Times New Roman" w:cs="Times New Roman" w:eastAsia="Times New Roman" w:hAnsi="Times New Roman"/>
          <w:sz w:val="18"/>
          <w:szCs w:val="18"/>
          <w:color w:val="auto"/>
        </w:rPr>
      </w:pPr>
    </w:p>
    <w:p>
      <w:pPr>
        <w:ind w:left="328" w:right="260"/>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Directors) consents in writing to the selection of an alternative forum, the Court of Chancery of the State of Delaware shall be the sole and exclusive forum for (1) any derivative action or proceeding brought on behalf of Embecta, (2) any action or proceeding asserting a claim for or based on a breach of a fiduciary duty owed by any current or former director or officer or other employee of Embecta to Embecta or Embecta’s</w:t>
      </w:r>
    </w:p>
    <w:p>
      <w:pPr>
        <w:ind w:left="328" w:right="2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stockholders, including any claim alleging aiding and abetting of such a breach of fiduciary duty, (3) any action or proceeding asserting a claim against Embecta or any current or former director or officer or other employee of Embecta arising pursuant to, or seeking to enforce any right,</w:t>
      </w:r>
    </w:p>
    <w:p>
      <w:pPr>
        <w:spacing w:after="0" w:line="1" w:lineRule="exact"/>
        <w:rPr>
          <w:rFonts w:ascii="Times New Roman" w:cs="Times New Roman" w:eastAsia="Times New Roman" w:hAnsi="Times New Roman"/>
          <w:sz w:val="18"/>
          <w:szCs w:val="18"/>
          <w:color w:val="auto"/>
        </w:rPr>
      </w:pPr>
    </w:p>
    <w:p>
      <w:pPr>
        <w:ind w:left="328" w:right="1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obligation or remedy under, any provision of the DGCL or Embecta’s amended and restated certificate of incorporation or amended and restated bylaws (as either may be amended from time to time), (4) any action or proceeding asserting a claim related to or involving Embecta or any</w:t>
      </w:r>
    </w:p>
    <w:p>
      <w:pPr>
        <w:spacing w:after="0" w:line="1" w:lineRule="exact"/>
        <w:rPr>
          <w:rFonts w:ascii="Times New Roman" w:cs="Times New Roman" w:eastAsia="Times New Roman" w:hAnsi="Times New Roman"/>
          <w:sz w:val="18"/>
          <w:szCs w:val="18"/>
          <w:color w:val="auto"/>
        </w:rPr>
      </w:pPr>
    </w:p>
    <w:p>
      <w:pPr>
        <w:ind w:left="328" w:right="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former director or officer or other employee of Embecta governed by the internal affairs doctrine, or (5) any action or proceeding as to which the DGCL (as it may be amended from time to time) confers jurisdiction</w:t>
      </w:r>
    </w:p>
    <w:p>
      <w:pPr>
        <w:sectPr>
          <w:pgSz w:w="11900" w:h="16838" w:orient="portrait"/>
          <w:cols w:equalWidth="0" w:num="1">
            <w:col w:w="10888"/>
          </w:cols>
          <w:pgMar w:left="652" w:top="1440" w:right="359" w:bottom="1440" w:gutter="0" w:footer="0" w:header="0"/>
        </w:sectPr>
      </w:pPr>
    </w:p>
    <w:bookmarkStart w:id="88" w:name="page89"/>
    <w:bookmarkEnd w:id="88"/>
    <w:p>
      <w:pPr>
        <w:spacing w:after="0" w:line="180" w:lineRule="exact"/>
        <w:rPr>
          <w:sz w:val="20"/>
          <w:szCs w:val="20"/>
          <w:color w:val="auto"/>
        </w:rPr>
      </w:pPr>
    </w:p>
    <w:p>
      <w:pPr>
        <w:ind w:left="660" w:right="160"/>
        <w:spacing w:after="0" w:line="294" w:lineRule="auto"/>
        <w:rPr>
          <w:sz w:val="20"/>
          <w:szCs w:val="20"/>
          <w:color w:val="auto"/>
        </w:rPr>
      </w:pPr>
      <w:r>
        <w:rPr>
          <w:rFonts w:ascii="Times New Roman" w:cs="Times New Roman" w:eastAsia="Times New Roman" w:hAnsi="Times New Roman"/>
          <w:sz w:val="18"/>
          <w:szCs w:val="18"/>
          <w:color w:val="auto"/>
        </w:rPr>
        <w:t>on the Court of Chancery of the State of Delaware. If and only if the Court of Chancery of the State of Delaware dismisses any such action or proceeding for lack of subject matter jurisdiction, such action or proceeding may be brought in another state court located within the State of Delaware (or, if no state court located within the State of Delaware has jurisdiction, the federal district court for the District of Delaware). These exclusive forum provisions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of 1933, as amended, or the Exchange Act, regardless of whether the state courts in the State of Delaware have jurisdiction over those claims.</w:t>
      </w:r>
    </w:p>
    <w:p>
      <w:pPr>
        <w:spacing w:after="0" w:line="73" w:lineRule="exact"/>
        <w:rPr>
          <w:sz w:val="20"/>
          <w:szCs w:val="20"/>
          <w:color w:val="auto"/>
        </w:rPr>
      </w:pPr>
    </w:p>
    <w:p>
      <w:pPr>
        <w:ind w:left="660" w:right="200" w:hanging="328"/>
        <w:spacing w:after="0" w:line="31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Combinations with Interested Stockholder. </w:t>
      </w:r>
      <w:r>
        <w:rPr>
          <w:rFonts w:ascii="Times New Roman" w:cs="Times New Roman" w:eastAsia="Times New Roman" w:hAnsi="Times New Roman"/>
          <w:sz w:val="18"/>
          <w:szCs w:val="18"/>
          <w:color w:val="auto"/>
        </w:rPr>
        <w:t>Embecta is subject to Section 203 of the DGCL, which, subject to certain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prohibits a Delaware corporation from engaging in a “business combination” with an “interested stockholder” for three years following the time that such person or entity becomes an interested stockholder.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Indemnification of Directors and Officers</w:t>
      </w:r>
    </w:p>
    <w:p>
      <w:pPr>
        <w:spacing w:after="0" w:line="162" w:lineRule="exact"/>
        <w:rPr>
          <w:sz w:val="20"/>
          <w:szCs w:val="20"/>
          <w:color w:val="auto"/>
        </w:rPr>
      </w:pPr>
    </w:p>
    <w:p>
      <w:pPr>
        <w:ind w:right="160" w:firstLine="648"/>
        <w:spacing w:after="0" w:line="294" w:lineRule="auto"/>
        <w:rPr>
          <w:sz w:val="20"/>
          <w:szCs w:val="20"/>
          <w:color w:val="auto"/>
        </w:rPr>
      </w:pPr>
      <w:r>
        <w:rPr>
          <w:rFonts w:ascii="Times New Roman" w:cs="Times New Roman" w:eastAsia="Times New Roman" w:hAnsi="Times New Roman"/>
          <w:sz w:val="18"/>
          <w:szCs w:val="18"/>
          <w:color w:val="auto"/>
        </w:rPr>
        <w:t>Delaware law permits a corporation to adopt a provision in its certificate of incorporation eliminating or limiting, with exceptions, the monetary liability of a director to the corporation or its shareholders for breach of the director’s fiduciary duties. Embecta’s amended and restated certificate of incorporation includes provisions that eliminate the liability of directors to Embecta or its shareholders for monetary damages for a breach of fiduciary duties as directors to the fullest extent permitted by Delaware law. Under Delaware law, such a provision may not eliminate or limit a director’s monetary liability for: (i) breaches of the director’s duty of loyalty to the corporation or its shareholders; (ii) acts or omissions not in good faith or involving intentional misconduct or knowing violation of law; (iii) the payment of unlawful dividends or stock repurchases or redemptions; or (iv) transactions in which the director received an improper personal benefit.</w:t>
      </w:r>
    </w:p>
    <w:p>
      <w:pPr>
        <w:spacing w:after="0" w:line="75"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Embecta’s amended and restated bylaws generally provide indemnification and advancement of expenses for its directors and officers to the fullest extent permitted by the DGCL.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Embecta’s common stock is listed on The Nasdaq Global Select Market, under the ticker symbol “EMBC.”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Embecta common stock is Computershare Trust Company, N.A.</w:t>
      </w:r>
    </w:p>
    <w:p>
      <w:pPr>
        <w:sectPr>
          <w:pgSz w:w="11900" w:h="16838" w:orient="portrait"/>
          <w:cols w:equalWidth="0" w:num="1">
            <w:col w:w="11220"/>
          </w:cols>
          <w:pgMar w:left="320" w:top="1440" w:right="3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Becton, Dickinson and Company</w:t>
      </w:r>
    </w:p>
    <w:p>
      <w:pPr>
        <w:jc w:val="center"/>
        <w:ind w:right="60"/>
        <w:spacing w:after="0" w:line="204" w:lineRule="auto"/>
        <w:rPr>
          <w:sz w:val="20"/>
          <w:szCs w:val="20"/>
          <w:color w:val="auto"/>
        </w:rPr>
      </w:pPr>
      <w:r>
        <w:rPr>
          <w:rFonts w:ascii="Times New Roman" w:cs="Times New Roman" w:eastAsia="Times New Roman" w:hAnsi="Times New Roman"/>
          <w:sz w:val="22"/>
          <w:szCs w:val="22"/>
          <w:color w:val="auto"/>
        </w:rPr>
        <w:t>1 Becton Drive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Franklin Lakes, New Jersey 07417</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20,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Embecta Corp.</w:t>
      </w:r>
    </w:p>
    <w:p>
      <w:pPr>
        <w:spacing w:after="0" w:line="204" w:lineRule="auto"/>
        <w:rPr>
          <w:sz w:val="20"/>
          <w:szCs w:val="20"/>
          <w:color w:val="auto"/>
        </w:rPr>
      </w:pPr>
      <w:r>
        <w:rPr>
          <w:rFonts w:ascii="Times New Roman" w:cs="Times New Roman" w:eastAsia="Times New Roman" w:hAnsi="Times New Roman"/>
          <w:sz w:val="22"/>
          <w:szCs w:val="22"/>
          <w:color w:val="auto"/>
        </w:rPr>
        <w:t>1 Becton Drive</w:t>
      </w:r>
    </w:p>
    <w:p>
      <w:pPr>
        <w:spacing w:after="0" w:line="205" w:lineRule="auto"/>
        <w:rPr>
          <w:sz w:val="20"/>
          <w:szCs w:val="20"/>
          <w:color w:val="auto"/>
        </w:rPr>
      </w:pPr>
      <w:r>
        <w:rPr>
          <w:rFonts w:ascii="Times New Roman" w:cs="Times New Roman" w:eastAsia="Times New Roman" w:hAnsi="Times New Roman"/>
          <w:sz w:val="22"/>
          <w:szCs w:val="22"/>
          <w:color w:val="auto"/>
        </w:rPr>
        <w:t>Franklin Lakes, New Jersey 07417</w:t>
      </w:r>
    </w:p>
    <w:p>
      <w:pPr>
        <w:spacing w:after="0" w:line="205" w:lineRule="auto"/>
        <w:tabs>
          <w:tab w:leader="none" w:pos="1140" w:val="left"/>
        </w:tabs>
        <w:rPr>
          <w:sz w:val="20"/>
          <w:szCs w:val="20"/>
          <w:color w:val="auto"/>
        </w:rPr>
      </w:pPr>
      <w:r>
        <w:rPr>
          <w:rFonts w:ascii="Times New Roman" w:cs="Times New Roman" w:eastAsia="Times New Roman" w:hAnsi="Times New Roman"/>
          <w:sz w:val="22"/>
          <w:szCs w:val="22"/>
          <w:color w:val="auto"/>
        </w:rPr>
        <w:t>Attention:</w:t>
        <w:tab/>
        <w:t>Jeffrey Mann</w:t>
      </w:r>
    </w:p>
    <w:p>
      <w:pPr>
        <w:ind w:left="440"/>
        <w:spacing w:after="0" w:line="205" w:lineRule="auto"/>
        <w:rPr>
          <w:sz w:val="20"/>
          <w:szCs w:val="20"/>
          <w:color w:val="auto"/>
        </w:rPr>
      </w:pPr>
      <w:r>
        <w:rPr>
          <w:rFonts w:ascii="Times New Roman" w:cs="Times New Roman" w:eastAsia="Times New Roman" w:hAnsi="Times New Roman"/>
          <w:sz w:val="22"/>
          <w:szCs w:val="22"/>
          <w:color w:val="auto"/>
        </w:rPr>
        <w:t>Senior Vice President</w:t>
      </w:r>
    </w:p>
    <w:p>
      <w:pPr>
        <w:spacing w:after="0" w:line="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jeff.mann@embecta.com</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 Logistics Services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Mr. Mann:</w:t>
      </w:r>
    </w:p>
    <w:p>
      <w:pPr>
        <w:spacing w:after="0" w:line="206"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Reference is made to the Logistics Services Agreement, dated as of January 1, 2022 (the “</w:t>
      </w:r>
      <w:r>
        <w:rPr>
          <w:rFonts w:ascii="Times New Roman" w:cs="Times New Roman" w:eastAsia="Times New Roman" w:hAnsi="Times New Roman"/>
          <w:sz w:val="22"/>
          <w:szCs w:val="22"/>
          <w:u w:val="single" w:color="auto"/>
          <w:color w:val="auto"/>
        </w:rPr>
        <w:t>LSA</w:t>
      </w:r>
      <w:r>
        <w:rPr>
          <w:rFonts w:ascii="Times New Roman" w:cs="Times New Roman" w:eastAsia="Times New Roman" w:hAnsi="Times New Roman"/>
          <w:sz w:val="22"/>
          <w:szCs w:val="22"/>
          <w:color w:val="auto"/>
        </w:rPr>
        <w:t>”), by and between Embecta Corp. (“</w:t>
      </w:r>
      <w:r>
        <w:rPr>
          <w:rFonts w:ascii="Times New Roman" w:cs="Times New Roman" w:eastAsia="Times New Roman" w:hAnsi="Times New Roman"/>
          <w:sz w:val="22"/>
          <w:szCs w:val="22"/>
          <w:u w:val="single" w:color="auto"/>
          <w:color w:val="auto"/>
        </w:rPr>
        <w:t>Embecta</w:t>
      </w:r>
      <w:r>
        <w:rPr>
          <w:rFonts w:ascii="Times New Roman" w:cs="Times New Roman" w:eastAsia="Times New Roman" w:hAnsi="Times New Roman"/>
          <w:sz w:val="22"/>
          <w:szCs w:val="22"/>
          <w:color w:val="auto"/>
        </w:rPr>
        <w:t>”) and Becton, Dickinson and Company (together with Embecta,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Capitalized terms used but not otherwise defined herein shall have the meanings ascribed to such terms in the LSA.</w:t>
      </w:r>
    </w:p>
    <w:p>
      <w:pPr>
        <w:spacing w:after="0" w:line="179"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In consideration of the mutual promises and covenants contained herein, and for other good and valuable consideration, the receipt and adequacy of which are hereby acknowledged, the Parties agree to the following:</w:t>
      </w:r>
    </w:p>
    <w:p>
      <w:pPr>
        <w:spacing w:after="0" w:line="177" w:lineRule="exact"/>
        <w:rPr>
          <w:sz w:val="20"/>
          <w:szCs w:val="20"/>
          <w:color w:val="auto"/>
        </w:rPr>
      </w:pPr>
    </w:p>
    <w:p>
      <w:pPr>
        <w:ind w:right="200" w:firstLine="656"/>
        <w:spacing w:after="0" w:line="215" w:lineRule="auto"/>
        <w:tabs>
          <w:tab w:leader="none" w:pos="102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LSA Extension</w:t>
      </w:r>
      <w:r>
        <w:rPr>
          <w:rFonts w:ascii="Times New Roman" w:cs="Times New Roman" w:eastAsia="Times New Roman" w:hAnsi="Times New Roman"/>
          <w:sz w:val="22"/>
          <w:szCs w:val="22"/>
          <w:color w:val="auto"/>
        </w:rPr>
        <w:t>. (i) The Term is extended until March 31, 2024, (ii) the monthly Administrative Fee for each of the Services under the LSA during the extension period from January 1, 2024 through March 31, 2024 (the “</w:t>
      </w:r>
      <w:r>
        <w:rPr>
          <w:rFonts w:ascii="Times New Roman" w:cs="Times New Roman" w:eastAsia="Times New Roman" w:hAnsi="Times New Roman"/>
          <w:sz w:val="22"/>
          <w:szCs w:val="22"/>
          <w:u w:val="single" w:color="auto"/>
          <w:color w:val="auto"/>
        </w:rPr>
        <w:t>Interim Extension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shall be equal to one and one quarter percent (1.25%) of New Revenue for such Service and (iii) each of the Factoring Fee and the Servicing Fee for each such Services during the Interim Extension Period shall be equal to one hundred twenty-five percent (125%) of the Factoring Fee or the Servicing Fee, respectively, for such Service during the term of the LSA prior to the Interim Extension Period.</w:t>
      </w:r>
    </w:p>
    <w:p>
      <w:pPr>
        <w:spacing w:after="0" w:line="179" w:lineRule="exact"/>
        <w:rPr>
          <w:rFonts w:ascii="Times New Roman" w:cs="Times New Roman" w:eastAsia="Times New Roman" w:hAnsi="Times New Roman"/>
          <w:sz w:val="22"/>
          <w:szCs w:val="22"/>
          <w:color w:val="auto"/>
        </w:rPr>
      </w:pPr>
    </w:p>
    <w:p>
      <w:pPr>
        <w:ind w:right="80" w:firstLine="656"/>
        <w:spacing w:after="0" w:line="236" w:lineRule="auto"/>
        <w:tabs>
          <w:tab w:leader="none" w:pos="102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Except as expressly set forth in this letter agreement, no amendment, alteration or modification of the LSA is otherwise made.</w:t>
      </w:r>
    </w:p>
    <w:p>
      <w:pPr>
        <w:spacing w:after="0" w:line="39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94" w:right="339" w:bottom="1440" w:gutter="0" w:footer="0" w:header="0"/>
        </w:sectPr>
      </w:pPr>
    </w:p>
    <w:bookmarkStart w:id="90" w:name="page91"/>
    <w:bookmarkEnd w:id="90"/>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each of the Parties has caused this letter agreement to be duly executed on its behalf by its officer thereunto duly authorized as of the day and year first above written.</w:t>
      </w:r>
    </w:p>
    <w:p>
      <w:pPr>
        <w:spacing w:after="0" w:line="14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b w:val="1"/>
          <w:bCs w:val="1"/>
          <w:color w:val="auto"/>
        </w:rPr>
        <w:t>BECTON, DICKINSON AND COMPANY</w:t>
      </w: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Christopher DelOrefice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-5715</wp:posOffset>
            </wp:positionV>
            <wp:extent cx="15919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1591945" cy="8890"/>
                    </a:xfrm>
                    <a:prstGeom prst="rect">
                      <a:avLst/>
                    </a:prstGeom>
                    <a:noFill/>
                  </pic:spPr>
                </pic:pic>
              </a:graphicData>
            </a:graphic>
          </wp:anchor>
        </w:drawing>
      </w:r>
    </w:p>
    <w:p>
      <w:pPr>
        <w:ind w:left="440"/>
        <w:spacing w:after="0" w:line="204" w:lineRule="auto"/>
        <w:rPr>
          <w:sz w:val="20"/>
          <w:szCs w:val="20"/>
          <w:color w:val="auto"/>
        </w:rPr>
      </w:pPr>
      <w:r>
        <w:rPr>
          <w:rFonts w:ascii="Times New Roman" w:cs="Times New Roman" w:eastAsia="Times New Roman" w:hAnsi="Times New Roman"/>
          <w:sz w:val="22"/>
          <w:szCs w:val="22"/>
          <w:color w:val="auto"/>
        </w:rPr>
        <w:t>Name: Christopher DelOrefice</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Title: EVP and Chief Financial Officer</w:t>
      </w: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EMBECTA CORP.</w:t>
            </w:r>
          </w:p>
        </w:tc>
        <w:tc>
          <w:tcPr>
            <w:tcW w:w="0" w:type="dxa"/>
            <w:vAlign w:val="bottom"/>
          </w:tcPr>
          <w:p>
            <w:pPr>
              <w:spacing w:after="0"/>
              <w:rPr>
                <w:sz w:val="1"/>
                <w:szCs w:val="1"/>
                <w:color w:val="auto"/>
              </w:rPr>
            </w:pPr>
          </w:p>
        </w:tc>
      </w:tr>
      <w:tr>
        <w:trPr>
          <w:trHeight w:val="596"/>
        </w:trPr>
        <w:tc>
          <w:tcPr>
            <w:tcW w:w="3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Jeff Mann</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40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21"/>
                <w:szCs w:val="21"/>
                <w:color w:val="auto"/>
                <w:w w:val="93"/>
              </w:rPr>
              <w:t>Name: Jeff Mann</w:t>
            </w:r>
          </w:p>
        </w:tc>
        <w:tc>
          <w:tcPr>
            <w:tcW w:w="1920" w:type="dxa"/>
            <w:vAlign w:val="bottom"/>
          </w:tcPr>
          <w:p>
            <w:pPr>
              <w:spacing w:after="0"/>
              <w:rPr>
                <w:sz w:val="15"/>
                <w:szCs w:val="15"/>
                <w:color w:val="auto"/>
              </w:rPr>
            </w:pPr>
          </w:p>
        </w:tc>
        <w:tc>
          <w:tcPr>
            <w:tcW w:w="3000" w:type="dxa"/>
            <w:vAlign w:val="bottom"/>
            <w:vMerge w:val="restart"/>
          </w:tcPr>
          <w:p>
            <w:pPr>
              <w:ind w:left="1000"/>
              <w:spacing w:after="0"/>
              <w:rPr>
                <w:sz w:val="20"/>
                <w:szCs w:val="20"/>
                <w:color w:val="auto"/>
              </w:rPr>
            </w:pPr>
            <w:r>
              <w:rPr>
                <w:rFonts w:ascii="Times New Roman" w:cs="Times New Roman" w:eastAsia="Times New Roman" w:hAnsi="Times New Roman"/>
                <w:sz w:val="22"/>
                <w:szCs w:val="22"/>
                <w:color w:val="auto"/>
                <w:w w:val="97"/>
              </w:rPr>
              <w:t>Business Development</w:t>
            </w:r>
          </w:p>
        </w:tc>
        <w:tc>
          <w:tcPr>
            <w:tcW w:w="0" w:type="dxa"/>
            <w:vAlign w:val="bottom"/>
          </w:tcPr>
          <w:p>
            <w:pPr>
              <w:spacing w:after="0"/>
              <w:rPr>
                <w:sz w:val="1"/>
                <w:szCs w:val="1"/>
                <w:color w:val="auto"/>
              </w:rPr>
            </w:pPr>
          </w:p>
        </w:tc>
      </w:tr>
      <w:tr>
        <w:trPr>
          <w:trHeight w:val="282"/>
        </w:trPr>
        <w:tc>
          <w:tcPr>
            <w:tcW w:w="36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w w:val="97"/>
              </w:rPr>
              <w:t>Title: SVP, General Counsel &amp; Head of</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990" w:right="339" w:bottom="1440" w:gutter="0" w:footer="0" w:header="0"/>
        </w:sectPr>
      </w:pPr>
    </w:p>
    <w:bookmarkStart w:id="91" w:name="page92"/>
    <w:bookmarkEnd w:id="91"/>
    <w:p>
      <w:pPr>
        <w:jc w:val="right"/>
        <w:spacing w:after="0"/>
        <w:rPr>
          <w:sz w:val="20"/>
          <w:szCs w:val="20"/>
          <w:color w:val="auto"/>
        </w:rPr>
      </w:pPr>
      <w:r>
        <w:rPr>
          <w:rFonts w:ascii="Calibri" w:cs="Calibri" w:eastAsia="Calibri" w:hAnsi="Calibri"/>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EMBECTA CORP.</w:t>
            </w:r>
          </w:p>
        </w:tc>
      </w:tr>
      <w:tr>
        <w:trPr>
          <w:trHeight w:val="365"/>
        </w:trPr>
        <w:tc>
          <w:tcPr>
            <w:tcW w:w="1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37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3020" w:type="dxa"/>
            <w:vAlign w:val="bottom"/>
          </w:tcPr>
          <w:p>
            <w:pPr>
              <w:spacing w:after="0"/>
              <w:rPr>
                <w:sz w:val="24"/>
                <w:szCs w:val="24"/>
                <w:color w:val="auto"/>
              </w:rPr>
            </w:pPr>
          </w:p>
        </w:tc>
      </w:tr>
      <w:tr>
        <w:trPr>
          <w:trHeight w:val="40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Becton Dickinson Penel Irish Branch</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Becton Dickinson Penel Limited</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Arabia Limited Co.</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Saudi Arabia</w:t>
            </w:r>
          </w:p>
        </w:tc>
      </w:tr>
      <w:tr>
        <w:trPr>
          <w:trHeight w:val="229"/>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Argentina S.R.L.</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Argentina</w:t>
            </w:r>
          </w:p>
        </w:tc>
      </w:tr>
      <w:tr>
        <w:trPr>
          <w:trHeight w:val="23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Australia Pty Ltd</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Australia (Victoria)</w:t>
            </w:r>
          </w:p>
        </w:tc>
      </w:tr>
      <w:tr>
        <w:trPr>
          <w:trHeight w:val="229"/>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Austria GmbH</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Austria</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Belgium BV</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Belgium</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Brasil Ltda.</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Canada Co.</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Chile SpA</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Chile</w:t>
            </w:r>
          </w:p>
        </w:tc>
      </w:tr>
      <w:tr>
        <w:trPr>
          <w:trHeight w:val="229"/>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Colombia S.A.S.</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Colombia</w:t>
            </w:r>
          </w:p>
        </w:tc>
      </w:tr>
      <w:tr>
        <w:trPr>
          <w:trHeight w:val="180"/>
        </w:trPr>
        <w:tc>
          <w:tcPr>
            <w:tcW w:w="17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embecta Croatia Ltd.</w:t>
            </w:r>
          </w:p>
        </w:tc>
        <w:tc>
          <w:tcPr>
            <w:tcW w:w="2740" w:type="dxa"/>
            <w:vAlign w:val="bottom"/>
          </w:tcPr>
          <w:p>
            <w:pPr>
              <w:spacing w:after="0"/>
              <w:rPr>
                <w:sz w:val="15"/>
                <w:szCs w:val="15"/>
                <w:color w:val="auto"/>
              </w:rPr>
            </w:pPr>
          </w:p>
        </w:tc>
        <w:tc>
          <w:tcPr>
            <w:tcW w:w="3020" w:type="dxa"/>
            <w:vAlign w:val="bottom"/>
          </w:tcPr>
          <w:p>
            <w:pPr>
              <w:ind w:left="1380"/>
              <w:spacing w:after="0" w:line="181" w:lineRule="exact"/>
              <w:rPr>
                <w:sz w:val="20"/>
                <w:szCs w:val="20"/>
                <w:color w:val="auto"/>
              </w:rPr>
            </w:pPr>
            <w:r>
              <w:rPr>
                <w:rFonts w:ascii="Times New Roman" w:cs="Times New Roman" w:eastAsia="Times New Roman" w:hAnsi="Times New Roman"/>
                <w:sz w:val="18"/>
                <w:szCs w:val="18"/>
                <w:color w:val="auto"/>
              </w:rPr>
              <w:t>Croatia</w:t>
            </w:r>
          </w:p>
        </w:tc>
      </w:tr>
      <w:tr>
        <w:trPr>
          <w:trHeight w:val="234"/>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(Croatian: embecta Hrvatska d.o.o.)</w:t>
            </w:r>
          </w:p>
        </w:tc>
        <w:tc>
          <w:tcPr>
            <w:tcW w:w="3020" w:type="dxa"/>
            <w:vAlign w:val="bottom"/>
          </w:tcPr>
          <w:p>
            <w:pPr>
              <w:spacing w:after="0"/>
              <w:rPr>
                <w:sz w:val="20"/>
                <w:szCs w:val="20"/>
                <w:color w:val="auto"/>
              </w:rPr>
            </w:pPr>
          </w:p>
        </w:tc>
      </w:tr>
      <w:tr>
        <w:trPr>
          <w:trHeight w:val="233"/>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embecta Denmark ApS</w:t>
            </w:r>
          </w:p>
        </w:tc>
        <w:tc>
          <w:tcPr>
            <w:tcW w:w="2740" w:type="dxa"/>
            <w:vAlign w:val="bottom"/>
          </w:tcPr>
          <w:p>
            <w:pPr>
              <w:spacing w:after="0"/>
              <w:rPr>
                <w:sz w:val="20"/>
                <w:szCs w:val="20"/>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Finland Oy</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Finland</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France</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France (Paris)</w:t>
            </w:r>
          </w:p>
        </w:tc>
      </w:tr>
      <w:tr>
        <w:trPr>
          <w:trHeight w:val="180"/>
        </w:trPr>
        <w:tc>
          <w:tcPr>
            <w:tcW w:w="17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embecta G.K.</w:t>
            </w:r>
          </w:p>
        </w:tc>
        <w:tc>
          <w:tcPr>
            <w:tcW w:w="2740" w:type="dxa"/>
            <w:vAlign w:val="bottom"/>
          </w:tcPr>
          <w:p>
            <w:pPr>
              <w:spacing w:after="0"/>
              <w:rPr>
                <w:sz w:val="15"/>
                <w:szCs w:val="15"/>
                <w:color w:val="auto"/>
              </w:rPr>
            </w:pPr>
          </w:p>
        </w:tc>
        <w:tc>
          <w:tcPr>
            <w:tcW w:w="3020" w:type="dxa"/>
            <w:vAlign w:val="bottom"/>
          </w:tcPr>
          <w:p>
            <w:pPr>
              <w:ind w:left="1380"/>
              <w:spacing w:after="0" w:line="181" w:lineRule="exact"/>
              <w:rPr>
                <w:sz w:val="20"/>
                <w:szCs w:val="20"/>
                <w:color w:val="auto"/>
              </w:rPr>
            </w:pPr>
            <w:r>
              <w:rPr>
                <w:rFonts w:ascii="Times New Roman" w:cs="Times New Roman" w:eastAsia="Times New Roman" w:hAnsi="Times New Roman"/>
                <w:sz w:val="18"/>
                <w:szCs w:val="18"/>
                <w:color w:val="auto"/>
              </w:rPr>
              <w:t>Japan (Tokyo)</w:t>
            </w:r>
          </w:p>
        </w:tc>
      </w:tr>
      <w:tr>
        <w:trPr>
          <w:trHeight w:val="234"/>
        </w:trPr>
        <w:tc>
          <w:tcPr>
            <w:tcW w:w="4500" w:type="dxa"/>
            <w:vAlign w:val="bottom"/>
            <w:gridSpan w:val="2"/>
          </w:tcPr>
          <w:p>
            <w:pPr>
              <w:ind w:left="80"/>
              <w:spacing w:after="0" w:line="219" w:lineRule="exact"/>
              <w:rPr>
                <w:sz w:val="20"/>
                <w:szCs w:val="20"/>
                <w:color w:val="auto"/>
              </w:rPr>
            </w:pPr>
            <w:r>
              <w:rPr>
                <w:rFonts w:ascii="Times New Roman" w:cs="Times New Roman" w:eastAsia="Times New Roman" w:hAnsi="Times New Roman"/>
                <w:sz w:val="18"/>
                <w:szCs w:val="18"/>
                <w:color w:val="auto"/>
              </w:rPr>
              <w:t xml:space="preserve">(Japanese: </w:t>
            </w:r>
            <w:r>
              <w:rPr>
                <w:rFonts w:ascii="SimSun" w:cs="SimSun" w:eastAsia="SimSun" w:hAnsi="SimSun"/>
                <w:sz w:val="18"/>
                <w:szCs w:val="18"/>
                <w:color w:val="auto"/>
              </w:rPr>
              <w:t>エムベクタ合同会社</w:t>
            </w:r>
            <w:r>
              <w:rPr>
                <w:rFonts w:ascii="Times New Roman" w:cs="Times New Roman" w:eastAsia="Times New Roman" w:hAnsi="Times New Roman"/>
                <w:sz w:val="18"/>
                <w:szCs w:val="18"/>
                <w:color w:val="auto"/>
              </w:rPr>
              <w:t>)</w:t>
            </w:r>
          </w:p>
        </w:tc>
        <w:tc>
          <w:tcPr>
            <w:tcW w:w="3020" w:type="dxa"/>
            <w:vAlign w:val="bottom"/>
          </w:tcPr>
          <w:p>
            <w:pPr>
              <w:spacing w:after="0"/>
              <w:rPr>
                <w:sz w:val="20"/>
                <w:szCs w:val="20"/>
                <w:color w:val="auto"/>
              </w:rPr>
            </w:pPr>
          </w:p>
        </w:tc>
      </w:tr>
      <w:tr>
        <w:trPr>
          <w:trHeight w:val="233"/>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GmbH</w:t>
            </w:r>
          </w:p>
        </w:tc>
        <w:tc>
          <w:tcPr>
            <w:tcW w:w="2740" w:type="dxa"/>
            <w:vAlign w:val="bottom"/>
          </w:tcPr>
          <w:p>
            <w:pPr>
              <w:spacing w:after="0"/>
              <w:rPr>
                <w:sz w:val="20"/>
                <w:szCs w:val="20"/>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Germany (Heidelberg)</w:t>
            </w:r>
          </w:p>
        </w:tc>
      </w:tr>
      <w:tr>
        <w:trPr>
          <w:trHeight w:val="229"/>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Hong Kong Limited</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India Private Limited</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International Holdings I LLC</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3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International Holdings II LLC</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USA (Delaware)</w:t>
            </w:r>
          </w:p>
        </w:tc>
      </w:tr>
      <w:tr>
        <w:trPr>
          <w:trHeight w:val="229"/>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Israel Ltd.</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Israel</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Italy S.r.l.</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Kenya LTD.</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Kenya</w:t>
            </w:r>
          </w:p>
        </w:tc>
      </w:tr>
      <w:tr>
        <w:trPr>
          <w:trHeight w:val="230"/>
        </w:trPr>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embecta Korea Ltd.</w:t>
            </w:r>
          </w:p>
        </w:tc>
        <w:tc>
          <w:tcPr>
            <w:tcW w:w="2740" w:type="dxa"/>
            <w:vAlign w:val="bottom"/>
          </w:tcPr>
          <w:p>
            <w:pPr>
              <w:spacing w:after="0"/>
              <w:rPr>
                <w:sz w:val="19"/>
                <w:szCs w:val="19"/>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Korea</w:t>
            </w:r>
          </w:p>
        </w:tc>
      </w:tr>
      <w:tr>
        <w:trPr>
          <w:trHeight w:val="229"/>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Luxembourg I S.à r.l.</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Luxembourg II S.à r.l.</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Malaysia Sdn. Bhd.</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Malaysia</w:t>
            </w:r>
          </w:p>
        </w:tc>
      </w:tr>
      <w:tr>
        <w:trPr>
          <w:trHeight w:val="180"/>
        </w:trPr>
        <w:tc>
          <w:tcPr>
            <w:tcW w:w="450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embecta Medical Devices (Shanghai) Co., Ltd.</w:t>
            </w:r>
          </w:p>
        </w:tc>
        <w:tc>
          <w:tcPr>
            <w:tcW w:w="3020" w:type="dxa"/>
            <w:vAlign w:val="bottom"/>
          </w:tcPr>
          <w:p>
            <w:pPr>
              <w:ind w:left="1380"/>
              <w:spacing w:after="0" w:line="181" w:lineRule="exact"/>
              <w:rPr>
                <w:sz w:val="20"/>
                <w:szCs w:val="20"/>
                <w:color w:val="auto"/>
              </w:rPr>
            </w:pPr>
            <w:r>
              <w:rPr>
                <w:rFonts w:ascii="Times New Roman" w:cs="Times New Roman" w:eastAsia="Times New Roman" w:hAnsi="Times New Roman"/>
                <w:sz w:val="18"/>
                <w:szCs w:val="18"/>
                <w:color w:val="auto"/>
              </w:rPr>
              <w:t>China (Shanghai)</w:t>
            </w:r>
          </w:p>
        </w:tc>
      </w:tr>
      <w:tr>
        <w:trPr>
          <w:trHeight w:val="234"/>
        </w:trPr>
        <w:tc>
          <w:tcPr>
            <w:tcW w:w="4500" w:type="dxa"/>
            <w:vAlign w:val="bottom"/>
            <w:gridSpan w:val="2"/>
          </w:tcPr>
          <w:p>
            <w:pPr>
              <w:ind w:left="80"/>
              <w:spacing w:after="0" w:line="219" w:lineRule="exact"/>
              <w:rPr>
                <w:sz w:val="20"/>
                <w:szCs w:val="20"/>
                <w:color w:val="auto"/>
              </w:rPr>
            </w:pPr>
            <w:r>
              <w:rPr>
                <w:rFonts w:ascii="Times New Roman" w:cs="Times New Roman" w:eastAsia="Times New Roman" w:hAnsi="Times New Roman"/>
                <w:sz w:val="18"/>
                <w:szCs w:val="18"/>
                <w:color w:val="auto"/>
              </w:rPr>
              <w:t xml:space="preserve">(Chinese: </w:t>
            </w:r>
            <w:r>
              <w:rPr>
                <w:rFonts w:ascii="SimSun" w:cs="SimSun" w:eastAsia="SimSun" w:hAnsi="SimSun"/>
                <w:sz w:val="18"/>
                <w:szCs w:val="18"/>
                <w:color w:val="auto"/>
              </w:rPr>
              <w:t>英佰达医疗器械（上海）有限公司</w:t>
            </w:r>
            <w:r>
              <w:rPr>
                <w:rFonts w:ascii="Times New Roman" w:cs="Times New Roman" w:eastAsia="Times New Roman" w:hAnsi="Times New Roman"/>
                <w:sz w:val="18"/>
                <w:szCs w:val="18"/>
                <w:color w:val="auto"/>
              </w:rPr>
              <w:t>)</w:t>
            </w:r>
          </w:p>
        </w:tc>
        <w:tc>
          <w:tcPr>
            <w:tcW w:w="3020" w:type="dxa"/>
            <w:vAlign w:val="bottom"/>
          </w:tcPr>
          <w:p>
            <w:pPr>
              <w:spacing w:after="0"/>
              <w:rPr>
                <w:sz w:val="20"/>
                <w:szCs w:val="20"/>
                <w:color w:val="auto"/>
              </w:rPr>
            </w:pPr>
          </w:p>
        </w:tc>
      </w:tr>
      <w:tr>
        <w:trPr>
          <w:trHeight w:val="184"/>
        </w:trPr>
        <w:tc>
          <w:tcPr>
            <w:tcW w:w="450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Embecta Medical Devices (Shanghai) Co., Ltd.</w:t>
            </w:r>
          </w:p>
        </w:tc>
        <w:tc>
          <w:tcPr>
            <w:tcW w:w="3020" w:type="dxa"/>
            <w:vAlign w:val="bottom"/>
          </w:tcPr>
          <w:p>
            <w:pPr>
              <w:ind w:left="1380"/>
              <w:spacing w:after="0" w:line="184" w:lineRule="exact"/>
              <w:rPr>
                <w:sz w:val="20"/>
                <w:szCs w:val="20"/>
                <w:color w:val="auto"/>
              </w:rPr>
            </w:pPr>
            <w:r>
              <w:rPr>
                <w:rFonts w:ascii="Times New Roman" w:cs="Times New Roman" w:eastAsia="Times New Roman" w:hAnsi="Times New Roman"/>
                <w:sz w:val="18"/>
                <w:szCs w:val="18"/>
                <w:color w:val="auto"/>
              </w:rPr>
              <w:t>China (Beijing)</w:t>
            </w:r>
          </w:p>
        </w:tc>
      </w:tr>
      <w:tr>
        <w:trPr>
          <w:trHeight w:val="184"/>
        </w:trPr>
        <w:tc>
          <w:tcPr>
            <w:tcW w:w="1760" w:type="dxa"/>
            <w:vAlign w:val="bottom"/>
          </w:tcPr>
          <w:p>
            <w:pPr>
              <w:ind w:left="80"/>
              <w:spacing w:after="0" w:line="183" w:lineRule="exact"/>
              <w:rPr>
                <w:sz w:val="20"/>
                <w:szCs w:val="20"/>
                <w:color w:val="auto"/>
              </w:rPr>
            </w:pPr>
            <w:r>
              <w:rPr>
                <w:rFonts w:ascii="Times New Roman" w:cs="Times New Roman" w:eastAsia="Times New Roman" w:hAnsi="Times New Roman"/>
                <w:sz w:val="18"/>
                <w:szCs w:val="18"/>
                <w:color w:val="auto"/>
              </w:rPr>
              <w:t>Beijing Branch</w:t>
            </w:r>
          </w:p>
        </w:tc>
        <w:tc>
          <w:tcPr>
            <w:tcW w:w="274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230"/>
        </w:trPr>
        <w:tc>
          <w:tcPr>
            <w:tcW w:w="4500" w:type="dxa"/>
            <w:vAlign w:val="bottom"/>
            <w:gridSpan w:val="2"/>
          </w:tcPr>
          <w:p>
            <w:pPr>
              <w:ind w:left="80"/>
              <w:spacing w:after="0" w:line="219" w:lineRule="exact"/>
              <w:rPr>
                <w:sz w:val="20"/>
                <w:szCs w:val="20"/>
                <w:color w:val="auto"/>
              </w:rPr>
            </w:pPr>
            <w:r>
              <w:rPr>
                <w:rFonts w:ascii="Times New Roman" w:cs="Times New Roman" w:eastAsia="Times New Roman" w:hAnsi="Times New Roman"/>
                <w:sz w:val="18"/>
                <w:szCs w:val="18"/>
                <w:color w:val="auto"/>
              </w:rPr>
              <w:t xml:space="preserve">(Chinese: </w:t>
            </w:r>
            <w:r>
              <w:rPr>
                <w:rFonts w:ascii="SimSun" w:cs="SimSun" w:eastAsia="SimSun" w:hAnsi="SimSun"/>
                <w:sz w:val="18"/>
                <w:szCs w:val="18"/>
                <w:color w:val="auto"/>
              </w:rPr>
              <w:t>英佰达医疗器械（上海）有限公司北京分公司</w:t>
            </w:r>
            <w:r>
              <w:rPr>
                <w:rFonts w:ascii="Arial" w:cs="Arial" w:eastAsia="Arial" w:hAnsi="Arial"/>
                <w:sz w:val="18"/>
                <w:szCs w:val="18"/>
                <w:color w:val="auto"/>
              </w:rPr>
              <w:t>)</w:t>
            </w:r>
          </w:p>
        </w:tc>
        <w:tc>
          <w:tcPr>
            <w:tcW w:w="3020" w:type="dxa"/>
            <w:vAlign w:val="bottom"/>
          </w:tcPr>
          <w:p>
            <w:pPr>
              <w:spacing w:after="0"/>
              <w:rPr>
                <w:sz w:val="20"/>
                <w:szCs w:val="20"/>
                <w:color w:val="auto"/>
              </w:rPr>
            </w:pPr>
          </w:p>
        </w:tc>
      </w:tr>
      <w:tr>
        <w:trPr>
          <w:trHeight w:val="180"/>
        </w:trPr>
        <w:tc>
          <w:tcPr>
            <w:tcW w:w="450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embecta Medical Devices (Shanghai) Co., Ltd.</w:t>
            </w:r>
          </w:p>
        </w:tc>
        <w:tc>
          <w:tcPr>
            <w:tcW w:w="3020" w:type="dxa"/>
            <w:vAlign w:val="bottom"/>
          </w:tcPr>
          <w:p>
            <w:pPr>
              <w:ind w:left="1380"/>
              <w:spacing w:after="0" w:line="181" w:lineRule="exact"/>
              <w:rPr>
                <w:sz w:val="20"/>
                <w:szCs w:val="20"/>
                <w:color w:val="auto"/>
              </w:rPr>
            </w:pPr>
            <w:r>
              <w:rPr>
                <w:rFonts w:ascii="Times New Roman" w:cs="Times New Roman" w:eastAsia="Times New Roman" w:hAnsi="Times New Roman"/>
                <w:sz w:val="18"/>
                <w:szCs w:val="18"/>
                <w:color w:val="auto"/>
              </w:rPr>
              <w:t>China (Pudong)</w:t>
            </w:r>
          </w:p>
        </w:tc>
      </w:tr>
      <w:tr>
        <w:trPr>
          <w:trHeight w:val="184"/>
        </w:trPr>
        <w:tc>
          <w:tcPr>
            <w:tcW w:w="17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Pudong Branch</w:t>
            </w:r>
          </w:p>
        </w:tc>
        <w:tc>
          <w:tcPr>
            <w:tcW w:w="274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29"/>
        </w:trPr>
        <w:tc>
          <w:tcPr>
            <w:tcW w:w="4500" w:type="dxa"/>
            <w:vAlign w:val="bottom"/>
            <w:gridSpan w:val="2"/>
          </w:tcPr>
          <w:p>
            <w:pPr>
              <w:ind w:left="80"/>
              <w:spacing w:after="0" w:line="219" w:lineRule="exact"/>
              <w:rPr>
                <w:sz w:val="20"/>
                <w:szCs w:val="20"/>
                <w:color w:val="auto"/>
              </w:rPr>
            </w:pPr>
            <w:r>
              <w:rPr>
                <w:rFonts w:ascii="Times New Roman" w:cs="Times New Roman" w:eastAsia="Times New Roman" w:hAnsi="Times New Roman"/>
                <w:sz w:val="18"/>
                <w:szCs w:val="18"/>
                <w:color w:val="auto"/>
              </w:rPr>
              <w:t xml:space="preserve">(Chinese: </w:t>
            </w:r>
            <w:r>
              <w:rPr>
                <w:rFonts w:ascii="SimSun" w:cs="SimSun" w:eastAsia="SimSun" w:hAnsi="SimSun"/>
                <w:sz w:val="18"/>
                <w:szCs w:val="18"/>
                <w:color w:val="auto"/>
              </w:rPr>
              <w:t>英佰达医疗器械（上海）有限公司浦东分公司</w:t>
            </w:r>
            <w:r>
              <w:rPr>
                <w:rFonts w:ascii="Times New Roman" w:cs="Times New Roman" w:eastAsia="Times New Roman" w:hAnsi="Times New Roman"/>
                <w:sz w:val="18"/>
                <w:szCs w:val="18"/>
                <w:color w:val="auto"/>
              </w:rPr>
              <w:t>)</w:t>
            </w:r>
          </w:p>
        </w:tc>
        <w:tc>
          <w:tcPr>
            <w:tcW w:w="3020" w:type="dxa"/>
            <w:vAlign w:val="bottom"/>
          </w:tcPr>
          <w:p>
            <w:pPr>
              <w:spacing w:after="0"/>
              <w:rPr>
                <w:sz w:val="19"/>
                <w:szCs w:val="19"/>
                <w:color w:val="auto"/>
              </w:rPr>
            </w:pPr>
          </w:p>
        </w:tc>
      </w:tr>
      <w:tr>
        <w:trPr>
          <w:trHeight w:val="234"/>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embecta Medical I LLC</w:t>
            </w: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USA (Delaware)</w:t>
            </w:r>
          </w:p>
        </w:tc>
      </w:tr>
    </w:tbl>
    <w:p>
      <w:pPr>
        <w:sectPr>
          <w:pgSz w:w="11900" w:h="16838" w:orient="portrait"/>
          <w:cols w:equalWidth="0" w:num="1">
            <w:col w:w="11240"/>
          </w:cols>
          <w:pgMar w:left="320" w:top="78" w:right="339" w:bottom="1440" w:gutter="0" w:footer="0" w:header="0"/>
        </w:sectPr>
      </w:pPr>
    </w:p>
    <w:bookmarkStart w:id="92" w:name="page93"/>
    <w:bookmarkEnd w:id="92"/>
    <w:p>
      <w:pPr>
        <w:jc w:val="right"/>
        <w:spacing w:after="0"/>
        <w:rPr>
          <w:sz w:val="20"/>
          <w:szCs w:val="20"/>
          <w:color w:val="auto"/>
        </w:rPr>
      </w:pPr>
      <w:r>
        <w:rPr>
          <w:rFonts w:ascii="Calibri" w:cs="Calibri" w:eastAsia="Calibri" w:hAnsi="Calibri"/>
          <w:sz w:val="20"/>
          <w:szCs w:val="20"/>
          <w:b w:val="1"/>
          <w:bCs w:val="1"/>
          <w:color w:val="auto"/>
        </w:rPr>
        <w:t>Exhibit 21.1</w:t>
      </w:r>
    </w:p>
    <w:p>
      <w:pPr>
        <w:sectPr>
          <w:pgSz w:w="11900" w:h="16838" w:orient="portrait"/>
          <w:cols w:equalWidth="0" w:num="1">
            <w:col w:w="11160"/>
          </w:cols>
          <w:pgMar w:left="40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Medical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Medical Spain, S.L.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Mexico, S. de R.L. de C.V.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Netherlands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Netherlands B.V. - Belgian Branch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embecta Netherlands B.V. – Representative Office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New Zealand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Norway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Nova Scotia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 (Amsterdam)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(Nova Scotia)</w:t>
      </w:r>
    </w:p>
    <w:p>
      <w:pPr>
        <w:spacing w:after="0" w:line="3" w:lineRule="exact"/>
        <w:rPr>
          <w:sz w:val="20"/>
          <w:szCs w:val="20"/>
          <w:color w:val="auto"/>
        </w:rPr>
      </w:pPr>
    </w:p>
    <w:p>
      <w:pPr>
        <w:sectPr>
          <w:pgSz w:w="11900" w:h="16838" w:orient="portrait"/>
          <w:cols w:equalWidth="0" w:num="2">
            <w:col w:w="5080" w:space="720"/>
            <w:col w:w="5360"/>
          </w:cols>
          <w:pgMar w:left="400" w:top="7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(French: Compagnie embecta de la Nouvelle-Écosse)</w:t>
      </w:r>
    </w:p>
    <w:p>
      <w:pPr>
        <w:sectPr>
          <w:pgSz w:w="11900" w:h="16838" w:orient="portrait"/>
          <w:cols w:equalWidth="0" w:num="1">
            <w:col w:w="11160"/>
          </w:cols>
          <w:pgMar w:left="400" w:top="78"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Peru S.R.L.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Philippines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Poland sp. z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Portugal, Unipessoal Lda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Rus Limited Liability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Singapore Pte.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embecta Singapore Pte. Ltd., Indonesia Rep Office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Singapore Pte. Ltd. Taiwan Branch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3" w:lineRule="exact"/>
        <w:rPr>
          <w:sz w:val="20"/>
          <w:szCs w:val="20"/>
          <w:color w:val="auto"/>
        </w:rPr>
      </w:pPr>
    </w:p>
    <w:p>
      <w:pPr>
        <w:sectPr>
          <w:pgSz w:w="11900" w:h="16838" w:orient="portrait"/>
          <w:cols w:equalWidth="0" w:num="2">
            <w:col w:w="5080" w:space="720"/>
            <w:col w:w="5360"/>
          </w:cols>
          <w:pgMar w:left="400" w:top="78"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(Taiwanese: </w:t>
      </w:r>
      <w:r>
        <w:rPr>
          <w:rFonts w:ascii="MS PGothic" w:cs="MS PGothic" w:eastAsia="MS PGothic" w:hAnsi="MS PGothic"/>
          <w:sz w:val="17"/>
          <w:szCs w:val="17"/>
          <w:color w:val="auto"/>
        </w:rPr>
        <w:t>新加坡商英佰達股份有限公司台灣分公司</w:t>
      </w:r>
      <w:r>
        <w:rPr>
          <w:rFonts w:ascii="Times New Roman" w:cs="Times New Roman" w:eastAsia="Times New Roman" w:hAnsi="Times New Roman"/>
          <w:sz w:val="17"/>
          <w:szCs w:val="17"/>
          <w:color w:val="auto"/>
        </w:rPr>
        <w:t>)</w:t>
      </w:r>
    </w:p>
    <w:p>
      <w:pPr>
        <w:sectPr>
          <w:pgSz w:w="11900" w:h="16838" w:orient="portrait"/>
          <w:cols w:equalWidth="0" w:num="1">
            <w:col w:w="11160"/>
          </w:cols>
          <w:pgMar w:left="400" w:top="78"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South Africa Proprietary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Sweden AB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Switzerland Holdings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Switzerland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embecta Turkey Medikal Ürün ve Cihazlar İthalat İhracat Satış Pazarlama 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Switzerland (Vaud)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Switzerland (Vaud)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3" w:lineRule="exact"/>
        <w:rPr>
          <w:sz w:val="20"/>
          <w:szCs w:val="20"/>
          <w:color w:val="auto"/>
        </w:rPr>
      </w:pPr>
    </w:p>
    <w:p>
      <w:pPr>
        <w:sectPr>
          <w:pgSz w:w="11900" w:h="16838" w:orient="portrait"/>
          <w:cols w:equalWidth="0" w:num="2">
            <w:col w:w="5540" w:space="260"/>
            <w:col w:w="5360"/>
          </w:cols>
          <w:pgMar w:left="400" w:top="7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Dağıtım Limited Şirketi</w:t>
      </w:r>
    </w:p>
    <w:p>
      <w:pPr>
        <w:sectPr>
          <w:pgSz w:w="11900" w:h="16838" w:orient="portrait"/>
          <w:cols w:equalWidth="0" w:num="1">
            <w:col w:w="11160"/>
          </w:cols>
          <w:pgMar w:left="400" w:top="78"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U.K. Irish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Uruguay SRL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US Holdings I LLC</w:t>
      </w:r>
    </w:p>
    <w:p>
      <w:pPr>
        <w:spacing w:after="0" w:line="211" w:lineRule="auto"/>
        <w:rPr>
          <w:sz w:val="20"/>
          <w:szCs w:val="20"/>
          <w:color w:val="auto"/>
        </w:rPr>
      </w:pPr>
      <w:r>
        <w:rPr>
          <w:rFonts w:ascii="Times New Roman" w:cs="Times New Roman" w:eastAsia="Times New Roman" w:hAnsi="Times New Roman"/>
          <w:sz w:val="18"/>
          <w:szCs w:val="18"/>
          <w:color w:val="auto"/>
        </w:rPr>
        <w:t>embecta (Thailand) Ltd.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(Thai: </w:t>
      </w:r>
      <w:r>
        <w:rPr>
          <w:rFonts w:ascii="Angsana New" w:cs="Angsana New" w:eastAsia="Angsana New" w:hAnsi="Angsana New"/>
          <w:sz w:val="18"/>
          <w:szCs w:val="18"/>
          <w:b w:val="1"/>
          <w:bCs w:val="1"/>
          <w:color w:val="auto"/>
        </w:rPr>
        <w:t>เอ็มเบ็คต้า</w:t>
      </w:r>
      <w:r>
        <w:rPr>
          <w:rFonts w:ascii="Times New Roman" w:cs="Times New Roman" w:eastAsia="Times New Roman" w:hAnsi="Times New Roman"/>
          <w:sz w:val="18"/>
          <w:szCs w:val="18"/>
          <w:color w:val="auto"/>
        </w:rPr>
        <w:t>(</w:t>
      </w:r>
      <w:r>
        <w:rPr>
          <w:rFonts w:ascii="Angsana New" w:cs="Angsana New" w:eastAsia="Angsana New" w:hAnsi="Angsana New"/>
          <w:sz w:val="18"/>
          <w:szCs w:val="18"/>
          <w:b w:val="1"/>
          <w:bCs w:val="1"/>
          <w:color w:val="auto"/>
        </w:rPr>
        <w:t>ประเทศไทย</w:t>
      </w:r>
      <w:r>
        <w:rPr>
          <w:rFonts w:ascii="Times New Roman" w:cs="Times New Roman" w:eastAsia="Times New Roman" w:hAnsi="Times New Roman"/>
          <w:sz w:val="18"/>
          <w:szCs w:val="18"/>
          <w:color w:val="auto"/>
        </w:rPr>
        <w:t xml:space="preserve">) </w:t>
      </w:r>
      <w:r>
        <w:rPr>
          <w:rFonts w:ascii="Angsana New" w:cs="Angsana New" w:eastAsia="Angsana New" w:hAnsi="Angsana New"/>
          <w:sz w:val="18"/>
          <w:szCs w:val="18"/>
          <w:b w:val="1"/>
          <w:bCs w:val="1"/>
          <w:color w:val="auto"/>
        </w:rPr>
        <w:t>จํากัด</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224" w:lineRule="exact"/>
        <w:rPr>
          <w:sz w:val="20"/>
          <w:szCs w:val="20"/>
          <w:color w:val="auto"/>
        </w:rPr>
      </w:pPr>
    </w:p>
    <w:p>
      <w:pPr>
        <w:sectPr>
          <w:pgSz w:w="11900" w:h="16838" w:orient="portrait"/>
          <w:cols w:equalWidth="0" w:num="2">
            <w:col w:w="5080" w:space="720"/>
            <w:col w:w="5360"/>
          </w:cols>
          <w:pgMar w:left="400" w:top="7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embecta Vietnam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Vietnam</w:t>
      </w:r>
    </w:p>
    <w:p>
      <w:pPr>
        <w:spacing w:after="0" w:line="1" w:lineRule="exact"/>
        <w:rPr>
          <w:sz w:val="20"/>
          <w:szCs w:val="20"/>
          <w:color w:val="auto"/>
        </w:rPr>
      </w:pPr>
    </w:p>
    <w:p>
      <w:pPr>
        <w:sectPr>
          <w:pgSz w:w="11900" w:h="16838" w:orient="portrait"/>
          <w:cols w:equalWidth="0" w:num="2">
            <w:col w:w="5080" w:space="720"/>
            <w:col w:w="5360"/>
          </w:cols>
          <w:pgMar w:left="400" w:top="78" w:right="339" w:bottom="1440" w:gutter="0" w:footer="0" w:header="0"/>
          <w:type w:val="continuous"/>
        </w:sectPr>
      </w:pPr>
    </w:p>
    <w:p>
      <w:pPr>
        <w:spacing w:after="0" w:line="210" w:lineRule="auto"/>
        <w:rPr>
          <w:sz w:val="20"/>
          <w:szCs w:val="20"/>
          <w:color w:val="auto"/>
        </w:rPr>
      </w:pPr>
      <w:r>
        <w:rPr>
          <w:rFonts w:ascii="Times New Roman" w:cs="Times New Roman" w:eastAsia="Times New Roman" w:hAnsi="Times New Roman"/>
          <w:sz w:val="17"/>
          <w:szCs w:val="17"/>
          <w:color w:val="auto"/>
        </w:rPr>
        <w:t>(Vietnamese: Công ty TNHH embecta Vietnam or Công ty TNHH embecta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Việt Nam)</w:t>
      </w:r>
    </w:p>
    <w:p>
      <w:pPr>
        <w:sectPr>
          <w:pgSz w:w="11900" w:h="16838" w:orient="portrait"/>
          <w:cols w:equalWidth="0" w:num="1">
            <w:col w:w="11160"/>
          </w:cols>
          <w:pgMar w:left="400" w:top="78" w:right="339" w:bottom="1440" w:gutter="0" w:footer="0" w:header="0"/>
          <w:type w:val="continuous"/>
        </w:sectPr>
      </w:pPr>
    </w:p>
    <w:bookmarkStart w:id="93" w:name="page94"/>
    <w:bookmarkEnd w:id="93"/>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95"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No. 333-264164) pertaining to the 2022 Employee and Director Equity-Based Compensation Plan of Embecta Corp. of our reports dated November 29, 2023, with respect to the consolidated</w:t>
      </w:r>
    </w:p>
    <w:p>
      <w:pPr>
        <w:spacing w:after="0" w:line="2"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0"/>
          <w:szCs w:val="20"/>
          <w:color w:val="auto"/>
        </w:rPr>
        <w:t>financial statements of Embecta Corp., and the effectiveness of internal control over financial reporting of Embecta Corp., included in this Annual Report (Form 10-K) for the year ended September 30, 2023.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rPr>
          <w:sz w:val="20"/>
          <w:szCs w:val="20"/>
          <w:color w:val="auto"/>
        </w:rPr>
      </w:pPr>
      <w:r>
        <w:rPr>
          <w:rFonts w:ascii="Times New Roman" w:cs="Times New Roman" w:eastAsia="Times New Roman" w:hAnsi="Times New Roman"/>
          <w:sz w:val="20"/>
          <w:szCs w:val="20"/>
          <w:color w:val="auto"/>
        </w:rPr>
        <w:t>November 29, 2023</w:t>
      </w:r>
    </w:p>
    <w:p>
      <w:pPr>
        <w:sectPr>
          <w:pgSz w:w="11900" w:h="16838" w:orient="portrait"/>
          <w:cols w:equalWidth="0" w:num="1">
            <w:col w:w="11240"/>
          </w:cols>
          <w:pgMar w:left="320" w:top="144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440" w:hanging="332"/>
        <w:spacing w:after="0" w:line="296" w:lineRule="auto"/>
        <w:tabs>
          <w:tab w:leader="none" w:pos="3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71" w:lineRule="exact"/>
        <w:rPr>
          <w:rFonts w:ascii="Times New Roman" w:cs="Times New Roman" w:eastAsia="Times New Roman" w:hAnsi="Times New Roman"/>
          <w:sz w:val="17"/>
          <w:szCs w:val="17"/>
          <w:color w:val="auto"/>
        </w:rPr>
      </w:pPr>
    </w:p>
    <w:p>
      <w:pPr>
        <w:ind w:left="660" w:right="380" w:hanging="328"/>
        <w:spacing w:after="0" w:line="258" w:lineRule="auto"/>
        <w:tabs>
          <w:tab w:leader="none" w:pos="6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4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95" w:name="page96"/>
    <w:bookmarkEnd w:id="95"/>
    <w:p>
      <w:pPr>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1147" w:right="47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440" w:hanging="332"/>
        <w:spacing w:after="0" w:line="296" w:lineRule="auto"/>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71" w:lineRule="exact"/>
        <w:rPr>
          <w:rFonts w:ascii="Times New Roman" w:cs="Times New Roman" w:eastAsia="Times New Roman" w:hAnsi="Times New Roman"/>
          <w:sz w:val="17"/>
          <w:szCs w:val="17"/>
          <w:color w:val="auto"/>
        </w:rPr>
      </w:pPr>
    </w:p>
    <w:p>
      <w:pPr>
        <w:ind w:left="660" w:right="380" w:hanging="328"/>
        <w:spacing w:after="0" w:line="258" w:lineRule="auto"/>
        <w:tabs>
          <w:tab w:leader="none" w:pos="65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44"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97" w:name="page98"/>
    <w:bookmarkEnd w:id="97"/>
    <w:p>
      <w:pPr>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1147" w:right="47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Annual Report on Form 10-K of Embecta Corp. for the fiscal year ended September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Annual Report on Form 10-K of Embecta Corp. for the fiscal year ended September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EMBECTA CORP.</w:t>
      </w:r>
    </w:p>
    <w:p>
      <w:pPr>
        <w:jc w:val="center"/>
        <w:spacing w:after="0"/>
        <w:rPr>
          <w:sz w:val="20"/>
          <w:szCs w:val="20"/>
          <w:color w:val="auto"/>
        </w:rPr>
      </w:pPr>
      <w:r>
        <w:rPr>
          <w:rFonts w:ascii="Arial" w:cs="Arial" w:eastAsia="Arial" w:hAnsi="Arial"/>
          <w:sz w:val="20"/>
          <w:szCs w:val="20"/>
          <w:b w:val="1"/>
          <w:bCs w:val="1"/>
          <w:color w:val="auto"/>
        </w:rPr>
        <w:t>DODD-FRANK CLAWBACK POLICY</w:t>
      </w:r>
    </w:p>
    <w:p>
      <w:pPr>
        <w:spacing w:after="0" w:line="157"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of Embecta Corp. (the “</w:t>
      </w:r>
      <w:r>
        <w:rPr>
          <w:rFonts w:ascii="Arial" w:cs="Arial" w:eastAsia="Arial" w:hAnsi="Arial"/>
          <w:sz w:val="20"/>
          <w:szCs w:val="20"/>
          <w:u w:val="single" w:color="auto"/>
          <w:color w:val="auto"/>
        </w:rPr>
        <w:t>Company</w:t>
      </w:r>
      <w:r>
        <w:rPr>
          <w:rFonts w:ascii="Arial" w:cs="Arial" w:eastAsia="Arial" w:hAnsi="Arial"/>
          <w:sz w:val="20"/>
          <w:szCs w:val="20"/>
          <w:color w:val="auto"/>
        </w:rPr>
        <w:t>”) has adopted this Dodd-Frank Clawback Policy (this “</w:t>
      </w:r>
      <w:r>
        <w:rPr>
          <w:rFonts w:ascii="Arial" w:cs="Arial" w:eastAsia="Arial" w:hAnsi="Arial"/>
          <w:sz w:val="20"/>
          <w:szCs w:val="20"/>
          <w:u w:val="single" w:color="auto"/>
          <w:color w:val="auto"/>
        </w:rPr>
        <w:t>Policy</w:t>
      </w:r>
      <w:r>
        <w:rPr>
          <w:rFonts w:ascii="Arial" w:cs="Arial" w:eastAsia="Arial" w:hAnsi="Arial"/>
          <w:sz w:val="20"/>
          <w:szCs w:val="20"/>
          <w:color w:val="auto"/>
        </w:rPr>
        <w:t>”) in accordance with the applicable provisions of the Nasdaq Stock Market LLC Listing Rules (the “</w:t>
      </w:r>
      <w:r>
        <w:rPr>
          <w:rFonts w:ascii="Arial" w:cs="Arial" w:eastAsia="Arial" w:hAnsi="Arial"/>
          <w:sz w:val="20"/>
          <w:szCs w:val="20"/>
          <w:u w:val="single" w:color="auto"/>
          <w:color w:val="auto"/>
        </w:rPr>
        <w:t>Clawback Rules</w:t>
      </w:r>
      <w:r>
        <w:rPr>
          <w:rFonts w:ascii="Arial" w:cs="Arial" w:eastAsia="Arial" w:hAnsi="Arial"/>
          <w:sz w:val="20"/>
          <w:szCs w:val="20"/>
          <w:color w:val="auto"/>
        </w:rPr>
        <w: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promulgated pursuant to the final rules adopted by the Securities and Exchange Commission enacting the clawback standards under Section 954 of the Dodd-Frank Wall Street Reform and Consumer Protection Act. The Compensation and Management</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Development Committee (the “</w:t>
      </w:r>
      <w:r>
        <w:rPr>
          <w:rFonts w:ascii="Arial" w:cs="Arial" w:eastAsia="Arial" w:hAnsi="Arial"/>
          <w:sz w:val="20"/>
          <w:szCs w:val="20"/>
          <w:u w:val="single" w:color="auto"/>
          <w:color w:val="auto"/>
        </w:rPr>
        <w:t>Committee</w:t>
      </w:r>
      <w:r>
        <w:rPr>
          <w:rFonts w:ascii="Arial" w:cs="Arial" w:eastAsia="Arial" w:hAnsi="Arial"/>
          <w:sz w:val="20"/>
          <w:szCs w:val="20"/>
          <w:color w:val="auto"/>
          <w:highlight w:val="white"/>
        </w:rPr>
        <w:t>”) is designated to administer this Policy. Capitalized terms not otherwise defined in</w:t>
      </w:r>
      <w:r>
        <w:rPr>
          <w:rFonts w:ascii="Arial" w:cs="Arial" w:eastAsia="Arial" w:hAnsi="Arial"/>
          <w:sz w:val="20"/>
          <w:szCs w:val="20"/>
          <w:color w:val="auto"/>
        </w:rPr>
        <w:t xml:space="preserve"> </w:t>
      </w:r>
      <w:r>
        <w:rPr>
          <w:rFonts w:ascii="Arial" w:cs="Arial" w:eastAsia="Arial" w:hAnsi="Arial"/>
          <w:sz w:val="20"/>
          <w:szCs w:val="20"/>
          <w:color w:val="auto"/>
          <w:highlight w:val="white"/>
        </w:rPr>
        <w:t>this Policy have the meanings given to them under the Clawback Rules.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Recovery of Erroneously Awarded Incentive Compensation</w:t>
      </w:r>
      <w:r>
        <w:rPr>
          <w:rFonts w:ascii="Arial" w:cs="Arial" w:eastAsia="Arial" w:hAnsi="Arial"/>
          <w:sz w:val="20"/>
          <w:szCs w:val="20"/>
          <w:color w:val="auto"/>
        </w:rPr>
        <w:t>. The Company shall comply with the Clawback Rules and</w:t>
      </w:r>
    </w:p>
    <w:p>
      <w:pPr>
        <w:spacing w:after="0" w:line="211" w:lineRule="auto"/>
        <w:rPr>
          <w:sz w:val="20"/>
          <w:szCs w:val="20"/>
          <w:color w:val="auto"/>
        </w:rPr>
      </w:pPr>
      <w:r>
        <w:rPr>
          <w:rFonts w:ascii="Arial" w:cs="Arial" w:eastAsia="Arial" w:hAnsi="Arial"/>
          <w:sz w:val="20"/>
          <w:szCs w:val="20"/>
          <w:color w:val="auto"/>
        </w:rPr>
        <w:t>reasonably promptly recover Erroneously Awarded Compensation Received by current or former Executive Officers of the</w:t>
      </w:r>
    </w:p>
    <w:p>
      <w:pPr>
        <w:spacing w:after="0" w:line="204" w:lineRule="auto"/>
        <w:rPr>
          <w:sz w:val="20"/>
          <w:szCs w:val="20"/>
          <w:color w:val="auto"/>
        </w:rPr>
      </w:pPr>
      <w:r>
        <w:rPr>
          <w:rFonts w:ascii="Arial" w:cs="Arial" w:eastAsia="Arial" w:hAnsi="Arial"/>
          <w:sz w:val="20"/>
          <w:szCs w:val="20"/>
          <w:color w:val="auto"/>
        </w:rPr>
        <w:t xml:space="preserve">Company (“Covered Individuals”) </w:t>
      </w:r>
      <w:r>
        <w:rPr>
          <w:rFonts w:ascii="Arial" w:cs="Arial" w:eastAsia="Arial" w:hAnsi="Arial"/>
          <w:sz w:val="20"/>
          <w:szCs w:val="20"/>
          <w:color w:val="auto"/>
          <w:highlight w:val="white"/>
        </w:rPr>
        <w:t>as required by the Clawback Rules in the event the Company is required to prepare an</w:t>
      </w:r>
      <w:r>
        <w:rPr>
          <w:rFonts w:ascii="Arial" w:cs="Arial" w:eastAsia="Arial" w:hAnsi="Arial"/>
          <w:sz w:val="20"/>
          <w:szCs w:val="20"/>
          <w:color w:val="auto"/>
        </w:rPr>
        <w:t xml:space="preserve"> </w:t>
      </w:r>
      <w:r>
        <w:rPr>
          <w:rFonts w:ascii="Arial" w:cs="Arial" w:eastAsia="Arial" w:hAnsi="Arial"/>
          <w:sz w:val="20"/>
          <w:szCs w:val="20"/>
          <w:color w:val="auto"/>
          <w:highlight w:val="white"/>
        </w:rPr>
        <w:t>accounting restatement due to the Company’s material noncompliance with any financial reporting requirement under the</w:t>
      </w:r>
    </w:p>
    <w:p>
      <w:pPr>
        <w:spacing w:after="0" w:line="211" w:lineRule="auto"/>
        <w:rPr>
          <w:sz w:val="20"/>
          <w:szCs w:val="20"/>
          <w:color w:val="auto"/>
        </w:rPr>
      </w:pPr>
      <w:r>
        <w:rPr>
          <w:rFonts w:ascii="Arial" w:cs="Arial" w:eastAsia="Arial" w:hAnsi="Arial"/>
          <w:sz w:val="20"/>
          <w:szCs w:val="20"/>
          <w:color w:val="auto"/>
          <w:highlight w:val="white"/>
        </w:rPr>
        <w:t>securities laws, including any required accounting restatement to correct an error in previously issued financial statements that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is material to the previously issued financial statements, or that would result in a material misstatement if the error were corrected in the current period or left uncorrected in the current period. The Committee may determine to not recover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23430" cy="3860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23430" cy="38608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20"/>
          <w:szCs w:val="20"/>
          <w:color w:val="auto"/>
        </w:rPr>
        <w:t xml:space="preserve">Erroneously Awarded Compensation pursuant to this Policy in circumstances where non-enforcement is expressly permitted by </w:t>
      </w:r>
      <w:r>
        <w:rPr>
          <w:rFonts w:ascii="Arial" w:cs="Arial" w:eastAsia="Arial" w:hAnsi="Arial"/>
          <w:sz w:val="20"/>
          <w:szCs w:val="20"/>
          <w:color w:val="auto"/>
          <w:highlight w:val="white"/>
        </w:rPr>
        <w:t>the Clawback Rules, including where recovery would violate applicable home country laws in effect before November 28, 2022.</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Covered Individuals</w:t>
      </w:r>
      <w:r>
        <w:rPr>
          <w:rFonts w:ascii="Arial" w:cs="Arial" w:eastAsia="Arial" w:hAnsi="Arial"/>
          <w:sz w:val="20"/>
          <w:szCs w:val="20"/>
          <w:color w:val="auto"/>
        </w:rPr>
        <w:t>. The Committee shall determine the Company’s Covered Individuals.</w:t>
      </w:r>
    </w:p>
    <w:p>
      <w:pPr>
        <w:spacing w:after="0" w:line="189"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color w:val="auto"/>
        </w:rPr>
        <w:t>Covered Compensation</w:t>
      </w:r>
      <w:r>
        <w:rPr>
          <w:rFonts w:ascii="Arial" w:cs="Arial" w:eastAsia="Arial" w:hAnsi="Arial"/>
          <w:sz w:val="19"/>
          <w:szCs w:val="19"/>
          <w:color w:val="auto"/>
        </w:rPr>
        <w:t>. This Policy applies to the Incentive-Based Compensation Received by a Covered Individual: (1) after</w:t>
      </w:r>
      <w:r>
        <w:rPr>
          <w:rFonts w:ascii="Arial" w:cs="Arial" w:eastAsia="Arial" w:hAnsi="Arial"/>
          <w:sz w:val="19"/>
          <w:szCs w:val="19"/>
          <w:b w:val="1"/>
          <w:bCs w:val="1"/>
          <w:color w:val="auto"/>
        </w:rPr>
        <w:t xml:space="preserve"> </w:t>
      </w:r>
      <w:r>
        <w:rPr>
          <w:rFonts w:ascii="Arial" w:cs="Arial" w:eastAsia="Arial" w:hAnsi="Arial"/>
          <w:sz w:val="19"/>
          <w:szCs w:val="19"/>
          <w:color w:val="auto"/>
        </w:rPr>
        <w:t>such Covered Individual began service as an Executive Officer; (2) who served as an Executive Officer at any time during the</w:t>
      </w:r>
    </w:p>
    <w:p>
      <w:pPr>
        <w:spacing w:after="0" w:line="222" w:lineRule="auto"/>
        <w:rPr>
          <w:sz w:val="20"/>
          <w:szCs w:val="20"/>
          <w:color w:val="auto"/>
        </w:rPr>
      </w:pPr>
      <w:r>
        <w:rPr>
          <w:rFonts w:ascii="Arial" w:cs="Arial" w:eastAsia="Arial" w:hAnsi="Arial"/>
          <w:sz w:val="19"/>
          <w:szCs w:val="19"/>
          <w:color w:val="auto"/>
        </w:rPr>
        <w:t>performance period for that Incentive-Based Compensation; (3) while the Company has a class of securities listed on a national</w:t>
      </w:r>
    </w:p>
    <w:p>
      <w:pPr>
        <w:spacing w:after="0" w:line="204" w:lineRule="auto"/>
        <w:rPr>
          <w:sz w:val="20"/>
          <w:szCs w:val="20"/>
          <w:color w:val="auto"/>
        </w:rPr>
      </w:pPr>
      <w:r>
        <w:rPr>
          <w:rFonts w:ascii="Arial" w:cs="Arial" w:eastAsia="Arial" w:hAnsi="Arial"/>
          <w:sz w:val="20"/>
          <w:szCs w:val="20"/>
          <w:color w:val="auto"/>
        </w:rPr>
        <w:t>securities exchange or a national securities association; and (4) during the three completed fiscal years immediately preceding the date that the Company is required pursuant to the Clawback Rules to prepare an accounting restatement as described</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above (or during any transition period, that results from a change in the Company’s fiscal year, within or immediately following those three completed fiscal years, as determined in accordance with the Clawback Rules).</w:t>
      </w:r>
    </w:p>
    <w:p>
      <w:pPr>
        <w:spacing w:after="0" w:line="14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amount of Incentive-Based Compensation subject to this Policy is the Erroneously Awarded Compensation, which is the amount of Incentive-Based Compensation Received by a Covered Individual that exceeds the amount of Incentive-Based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Compensation that otherwise would have been Received by the Covered Individual had it been determined based on the restated amount (or otherwise determined in accordance with the Clawback Rules), and will be computed without regard to any</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taxes paid by the Covered Individual (or withheld from the Incentive-Based Compensation). The Committee shall make all determinations regarding the amount of Erroneously Awarded Compensation.</w:t>
      </w:r>
    </w:p>
    <w:p>
      <w:pPr>
        <w:spacing w:after="0" w:line="143"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auto"/>
        </w:rPr>
        <w:t>Method of Recovery</w:t>
      </w:r>
      <w:r>
        <w:rPr>
          <w:rFonts w:ascii="Arial" w:cs="Arial" w:eastAsia="Arial" w:hAnsi="Arial"/>
          <w:sz w:val="20"/>
          <w:szCs w:val="20"/>
          <w:color w:val="auto"/>
        </w:rPr>
        <w:t>. The Committee shall determine, in its sole discretion, the manner in which any Erroneously Awarded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shall be recovered. Methods of recovery may include, but are not limited to: (1) seeking direct repayment from</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Covered Individual; (2) reducing (subject to applicable law and the terms and conditions of the applicable plan, program or arrangement pursuant to which the Incentive-Based Compensation was paid) the amount that would otherwise be payable to</w:t>
      </w:r>
    </w:p>
    <w:p>
      <w:pPr>
        <w:spacing w:after="0" w:line="211" w:lineRule="auto"/>
        <w:rPr>
          <w:sz w:val="20"/>
          <w:szCs w:val="20"/>
          <w:color w:val="auto"/>
        </w:rPr>
      </w:pPr>
      <w:r>
        <w:rPr>
          <w:rFonts w:ascii="Arial" w:cs="Arial" w:eastAsia="Arial" w:hAnsi="Arial"/>
          <w:sz w:val="20"/>
          <w:szCs w:val="20"/>
          <w:color w:val="auto"/>
        </w:rPr>
        <w:t>the Covered Individual under any compensation, bonus, incentive, equity and other benefit plan, agreement, policy or</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arrangement maintained by the Company or any of its affiliates; (3) cancelling any award (whether cash- or equity-based) or portion thereof previously granted to the Covered Individual; or (4) any combination of the foregoing.</w:t>
      </w:r>
    </w:p>
    <w:p>
      <w:pPr>
        <w:sectPr>
          <w:pgSz w:w="11900" w:h="16838" w:orient="portrait"/>
          <w:cols w:equalWidth="0" w:num="1">
            <w:col w:w="11240"/>
          </w:cols>
          <w:pgMar w:left="320" w:top="138" w:right="339" w:bottom="1440" w:gutter="0" w:footer="0" w:header="0"/>
        </w:sectPr>
      </w:pPr>
    </w:p>
    <w:bookmarkStart w:id="101" w:name="page102"/>
    <w:bookmarkEnd w:id="101"/>
    <w:p>
      <w:pPr>
        <w:spacing w:after="0" w:line="245" w:lineRule="auto"/>
        <w:rPr>
          <w:sz w:val="20"/>
          <w:szCs w:val="20"/>
          <w:color w:val="auto"/>
        </w:rPr>
      </w:pPr>
      <w:r>
        <w:rPr>
          <w:rFonts w:ascii="Arial" w:cs="Arial" w:eastAsia="Arial" w:hAnsi="Arial"/>
          <w:sz w:val="20"/>
          <w:szCs w:val="20"/>
          <w:b w:val="1"/>
          <w:bCs w:val="1"/>
          <w:color w:val="auto"/>
        </w:rPr>
        <w:t>No-Fault Basis</w:t>
      </w:r>
      <w:r>
        <w:rPr>
          <w:rFonts w:ascii="Arial" w:cs="Arial" w:eastAsia="Arial" w:hAnsi="Arial"/>
          <w:sz w:val="20"/>
          <w:szCs w:val="20"/>
          <w:color w:val="auto"/>
        </w:rPr>
        <w:t>. This Policy applies on a no-fault basis, and Covered Individuals will be subject to recovery under this Policy</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regard to their personal culpability.</w:t>
      </w:r>
    </w:p>
    <w:p>
      <w:pPr>
        <w:spacing w:after="0" w:line="138" w:lineRule="exact"/>
        <w:rPr>
          <w:sz w:val="20"/>
          <w:szCs w:val="20"/>
          <w:color w:val="auto"/>
        </w:rPr>
      </w:pPr>
    </w:p>
    <w:p>
      <w:pPr>
        <w:spacing w:after="0" w:line="233" w:lineRule="auto"/>
        <w:rPr>
          <w:sz w:val="20"/>
          <w:szCs w:val="20"/>
          <w:color w:val="auto"/>
        </w:rPr>
      </w:pPr>
      <w:r>
        <w:rPr>
          <w:rFonts w:ascii="Arial" w:cs="Arial" w:eastAsia="Arial" w:hAnsi="Arial"/>
          <w:sz w:val="19"/>
          <w:szCs w:val="19"/>
          <w:b w:val="1"/>
          <w:bCs w:val="1"/>
          <w:color w:val="auto"/>
        </w:rPr>
        <w:t>Other Company Arrangements</w:t>
      </w:r>
      <w:r>
        <w:rPr>
          <w:rFonts w:ascii="Arial" w:cs="Arial" w:eastAsia="Arial" w:hAnsi="Arial"/>
          <w:sz w:val="19"/>
          <w:szCs w:val="19"/>
          <w:color w:val="auto"/>
        </w:rPr>
        <w:t>. This Policy shall be in addition to, and not in lieu of, any other clawback, recovery or</w:t>
      </w:r>
      <w:r>
        <w:rPr>
          <w:rFonts w:ascii="Arial" w:cs="Arial" w:eastAsia="Arial" w:hAnsi="Arial"/>
          <w:sz w:val="19"/>
          <w:szCs w:val="19"/>
          <w:b w:val="1"/>
          <w:bCs w:val="1"/>
          <w:color w:val="auto"/>
        </w:rPr>
        <w:t xml:space="preserve"> </w:t>
      </w:r>
      <w:r>
        <w:rPr>
          <w:rFonts w:ascii="Arial" w:cs="Arial" w:eastAsia="Arial" w:hAnsi="Arial"/>
          <w:sz w:val="19"/>
          <w:szCs w:val="19"/>
          <w:color w:val="auto"/>
        </w:rPr>
        <w:t>recoupment policy maintained by the Company from time to time, as well as any clawback, recovery or recoupment provision in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any of the Company’s plans, awards or individual agreements (including the clawback, recovery and recoupment provisions in the Company’s equity award agreements) (collectively, “</w:t>
      </w:r>
      <w:r>
        <w:rPr>
          <w:rFonts w:ascii="Arial" w:cs="Arial" w:eastAsia="Arial" w:hAnsi="Arial"/>
          <w:sz w:val="20"/>
          <w:szCs w:val="20"/>
          <w:u w:val="single" w:color="auto"/>
          <w:color w:val="auto"/>
        </w:rPr>
        <w:t>Other Company Arrangement</w:t>
      </w:r>
      <w:r>
        <w:rPr>
          <w:rFonts w:ascii="Arial" w:cs="Arial" w:eastAsia="Arial" w:hAnsi="Arial"/>
          <w:sz w:val="20"/>
          <w:szCs w:val="20"/>
          <w:color w:val="auto"/>
        </w:rPr>
        <w:t>”) and any other rights or remedies</w:t>
      </w:r>
    </w:p>
    <w:p>
      <w:pPr>
        <w:spacing w:after="0" w:line="211" w:lineRule="auto"/>
        <w:rPr>
          <w:sz w:val="20"/>
          <w:szCs w:val="20"/>
          <w:color w:val="auto"/>
        </w:rPr>
      </w:pPr>
      <w:r>
        <w:rPr>
          <w:rFonts w:ascii="Arial" w:cs="Arial" w:eastAsia="Arial" w:hAnsi="Arial"/>
          <w:sz w:val="20"/>
          <w:szCs w:val="20"/>
          <w:color w:val="auto"/>
        </w:rPr>
        <w:t>available to the Company, including termination of employment; provided, however, that there is no intention to, nor shall there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be, any duplicative recoupment of the same compensation under more than one policy, plan, award or agreement. In addition, no Other Company Arrangement shall serve to restrict the scope or the recoverability of Erroneously Awarded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under this Policy or in any way limit recovery in compliance with the Clawback Rules.</w:t>
      </w:r>
    </w:p>
    <w:p>
      <w:pPr>
        <w:spacing w:after="0" w:line="169"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color w:val="auto"/>
        </w:rPr>
        <w:t>No Indemnification</w:t>
      </w:r>
      <w:r>
        <w:rPr>
          <w:rFonts w:ascii="Arial" w:cs="Arial" w:eastAsia="Arial" w:hAnsi="Arial"/>
          <w:sz w:val="19"/>
          <w:szCs w:val="19"/>
          <w:color w:val="auto"/>
        </w:rPr>
        <w:t>. Notwithstanding anything to the contrary set forth in any policy, arrangement, bylaws, charter,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or plan of the Company or any individual agreement between a Covered Individual and the Company or any of its</w:t>
      </w:r>
    </w:p>
    <w:p>
      <w:pPr>
        <w:spacing w:after="0" w:line="222" w:lineRule="auto"/>
        <w:rPr>
          <w:sz w:val="20"/>
          <w:szCs w:val="20"/>
          <w:color w:val="auto"/>
        </w:rPr>
      </w:pPr>
      <w:r>
        <w:rPr>
          <w:rFonts w:ascii="Arial" w:cs="Arial" w:eastAsia="Arial" w:hAnsi="Arial"/>
          <w:sz w:val="19"/>
          <w:szCs w:val="19"/>
          <w:color w:val="auto"/>
        </w:rPr>
        <w:t>affiliates, no Covered Individual shall be entitled to indemnification from the Company or any of its affiliates for the amount that is</w:t>
      </w:r>
    </w:p>
    <w:p>
      <w:pPr>
        <w:spacing w:after="0" w:line="225" w:lineRule="auto"/>
        <w:rPr>
          <w:sz w:val="20"/>
          <w:szCs w:val="20"/>
          <w:color w:val="auto"/>
        </w:rPr>
      </w:pPr>
      <w:r>
        <w:rPr>
          <w:rFonts w:ascii="Arial" w:cs="Arial" w:eastAsia="Arial" w:hAnsi="Arial"/>
          <w:sz w:val="20"/>
          <w:szCs w:val="20"/>
          <w:color w:val="auto"/>
        </w:rPr>
        <w:t>or may be recovered by the Company pursuant to this Policy; provided, however, that to the extent expense advancement or reimbursement is available to a Covered Individual, this Policy shall not serve to prohibit such advancement or reimbursement.</w:t>
      </w:r>
    </w:p>
    <w:p>
      <w:pPr>
        <w:spacing w:after="0" w:line="170" w:lineRule="exact"/>
        <w:rPr>
          <w:sz w:val="20"/>
          <w:szCs w:val="20"/>
          <w:color w:val="auto"/>
        </w:rPr>
      </w:pPr>
    </w:p>
    <w:p>
      <w:pPr>
        <w:spacing w:after="0" w:line="233" w:lineRule="auto"/>
        <w:rPr>
          <w:sz w:val="20"/>
          <w:szCs w:val="20"/>
          <w:color w:val="auto"/>
        </w:rPr>
      </w:pPr>
      <w:r>
        <w:rPr>
          <w:rFonts w:ascii="Arial" w:cs="Arial" w:eastAsia="Arial" w:hAnsi="Arial"/>
          <w:sz w:val="19"/>
          <w:szCs w:val="19"/>
          <w:b w:val="1"/>
          <w:bCs w:val="1"/>
          <w:color w:val="auto"/>
        </w:rPr>
        <w:t>Administration; Interpretation</w:t>
      </w:r>
      <w:r>
        <w:rPr>
          <w:rFonts w:ascii="Arial" w:cs="Arial" w:eastAsia="Arial" w:hAnsi="Arial"/>
          <w:sz w:val="19"/>
          <w:szCs w:val="19"/>
          <w:color w:val="auto"/>
        </w:rPr>
        <w:t>. The Committee shall interpret and construe this Policy consistent with the Clawback Rules and</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laws and regulations and shall make all determinations necessary, appropriate or advisable for the administration of</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this Policy. Any determinations made by the Committee shall be final, binding and conclusive on all Covered Individuals. As required by the Clawback Rules, the Company shall provide public disclosures related to this Policy and any applicable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recoveries of Erroneously Awarded Compensation. To the extent this Policy conflicts or is inconsistent with the Clawback Rules, the Clawback Rules shall govern. In no event is this Policy intended to be broader than, or require recoupment in addition to,</w:t>
      </w:r>
    </w:p>
    <w:p>
      <w:pPr>
        <w:spacing w:after="0"/>
        <w:rPr>
          <w:sz w:val="20"/>
          <w:szCs w:val="20"/>
          <w:color w:val="auto"/>
        </w:rPr>
      </w:pPr>
      <w:r>
        <w:rPr>
          <w:rFonts w:ascii="Arial" w:cs="Arial" w:eastAsia="Arial" w:hAnsi="Arial"/>
          <w:sz w:val="20"/>
          <w:szCs w:val="20"/>
          <w:color w:val="auto"/>
        </w:rPr>
        <w:t>that required pursuant to the Clawback Rules.</w:t>
      </w:r>
    </w:p>
    <w:p>
      <w:pPr>
        <w:spacing w:after="0" w:line="169"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color w:val="auto"/>
        </w:rPr>
        <w:t>Amendment or Termination of this Policy</w:t>
      </w:r>
      <w:r>
        <w:rPr>
          <w:rFonts w:ascii="Arial" w:cs="Arial" w:eastAsia="Arial" w:hAnsi="Arial"/>
          <w:sz w:val="19"/>
          <w:szCs w:val="19"/>
          <w:color w:val="auto"/>
        </w:rPr>
        <w:t>. The Board reserves the right to amend this Policy at any time and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applicable law and the Clawback Rules. To the extent that the Clawback Rules cease to be in force or cease to apply</w:t>
      </w:r>
    </w:p>
    <w:p>
      <w:pPr>
        <w:spacing w:after="0"/>
        <w:rPr>
          <w:sz w:val="20"/>
          <w:szCs w:val="20"/>
          <w:color w:val="auto"/>
        </w:rPr>
      </w:pPr>
      <w:r>
        <w:rPr>
          <w:rFonts w:ascii="Arial" w:cs="Arial" w:eastAsia="Arial" w:hAnsi="Arial"/>
          <w:sz w:val="20"/>
          <w:szCs w:val="20"/>
          <w:color w:val="auto"/>
        </w:rPr>
        <w:t>to the Company, this Policy shall also cease to be in force.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December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u w:val="single" w:color="auto"/>
          <w:color w:val="auto"/>
        </w:rPr>
        <w:t>COVERED INDIVIDUAL ACKNOWLEDGMENT</w:t>
      </w:r>
    </w:p>
    <w:p>
      <w:pPr>
        <w:spacing w:after="0" w:line="18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auto"/>
        </w:rPr>
        <w:t>I, [INSERT NAME], acknowledge that I have received a copy of the Policy and the Clawback Rules, and that I have read and understood the Policy and the Clawback Rules. I further understand that the Policy applies to my Incentive-Based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Compensation, as defined in the Clawback Rules, and that I agree to take all actions necessary to assist the Company in complying with the Policy and the Clawback Rules.</w:t>
      </w: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COVERED INDIVIDUAL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_____________________</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Name:</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Date:</w:t>
      </w:r>
    </w:p>
    <w:p>
      <w:pPr>
        <w:sectPr>
          <w:pgSz w:w="11900" w:h="16838" w:orient="portrait"/>
          <w:cols w:equalWidth="0" w:num="1">
            <w:col w:w="11240"/>
          </w:cols>
          <w:pgMar w:left="320" w:top="139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97.1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Embecta Corp.</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Supplemental Policy Regarding the Recovery of Compensation (“Policy”)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December 1, 2023</w:t>
      </w:r>
    </w:p>
    <w:p>
      <w:pPr>
        <w:spacing w:after="0" w:line="15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In the event that any Incentive Compensation payout is made to a member of Embecta Corp. (“Embecta” or the “Company”) who is an executive officer or other direct report to the Chief Executive Officer (“Leadership Team”) based, in whole or in part, on Embecta’s financial results for any time period, and Embecta’s financial statements covering all or part of such period are subsequently restated as a result of such member’s misconduct, including but not limited to fraud or knowing illegal conduct, then the Compensation and Management Development Committee (the “Committee”) of the Board of Directors of Embecta (the “Board”) may, in its discretion, require the Leadership Team member to reimburse such compensation to Embecta to the extent permitted by applicable law. In addition, in such instance, the Committee shall have the discretion to (i) cause Embecta to cancel any outstanding Incentive Compensation awards (or recover any payments under such awards) that were granted to such Leadership Team member with respect to the period or periods so restated, and (ii) require the Leadership Team member to reimburse Embecta for any profits realized on any sale of stock occurring after the public issuance of the financial statements that are subsequently restated. Such actions shall be in addition to any other remedies available to Embecta under applicable law. The Committee shall have sole discretion to determine whether a Leadership Team member’s conduct constitutes fraud or knowing illegal conduct for purposes of this Policy. For purposes of this Policy, “Incentive Compensation” means an award based wholly or in part upon the attainment of a financial reporting measure, including but not limited to any award granted under the Form of Embecta Corp. 2022 Employee and Director Equity-Based Compensation Plan (the “Plan”).</w:t>
      </w:r>
    </w:p>
    <w:p>
      <w:pPr>
        <w:spacing w:after="0" w:line="15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To the extent permitted by applicable law, the Committee shall also have the authority to require reimbursement from members of the Leadership Team who were not involved in such misconduct in the amount by which any Incentive Compensation payout exceeded the amount that would have been awarded or paid based on the restated results, as determined by the Committee at its sole discretion. The Committee shall determine, at its sole discretion, the method for recouping Incentive Compensation in such instance, which may include (i) requiring reimbursement of Incentive Compensation previously paid; (ii) seeking recovery of any gain realized on the vesting, exercise, settlement, sale, transfer, or other disposition of any equity-based awards; (iii) deducting the amount to be recouped from any compensation otherwise owed by the Company to the Leadership Team member; and/or (iv) taking any other remedial and recovery action permitted by law, as determined by the Committee.</w:t>
      </w:r>
    </w:p>
    <w:p>
      <w:pPr>
        <w:spacing w:after="0" w:line="15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In addition, in the event that a member of the Leadership Team who holds an equity-based compensation award under the Plan, or any successor to such plan, that contains restrictive covenants in the applicable award agreement breaches such restrictive covenants, the Committee shall have the discretion to (i) cause Embecta to cancel such equity-based compensation awards to the extent then outstanding, and (ii) recover of any shares received upon the exercise or vesting of such awards (the “Distributed Shares”) or any gain realized on the sale, transfer, or other disposition of any Distributed Shares. Such actions shall be in addition to any other remedies available to Embecta under applicable law. The Committee shall have sole discretion to determine whether an individual has breached the applicable restrictive covenants for purposes of this Policy.</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Policy shall only apply to Incentive Compensation and other equity-based compensation awards granted after the date of this Policy.</w:t>
      </w:r>
    </w:p>
    <w:p>
      <w:pPr>
        <w:spacing w:after="0" w:line="1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There is no intention to, nor shall there be, any duplicative recoupment of the same compensation under more than one policy, plan, award or agreement, including this Policy and the Company’s Dodd-Frank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611" w:right="339" w:bottom="1440" w:gutter="0" w:footer="0" w:header="0"/>
        </w:sectPr>
      </w:pPr>
    </w:p>
    <w:bookmarkStart w:id="104" w:name="page105"/>
    <w:bookmarkEnd w:id="104"/>
    <w:p>
      <w:pPr>
        <w:jc w:val="both"/>
        <w:spacing w:after="0" w:line="217" w:lineRule="auto"/>
        <w:rPr>
          <w:sz w:val="20"/>
          <w:szCs w:val="20"/>
          <w:color w:val="auto"/>
        </w:rPr>
      </w:pPr>
      <w:r>
        <w:rPr>
          <w:rFonts w:ascii="Times New Roman" w:cs="Times New Roman" w:eastAsia="Times New Roman" w:hAnsi="Times New Roman"/>
          <w:sz w:val="22"/>
          <w:szCs w:val="22"/>
          <w:color w:val="auto"/>
        </w:rPr>
        <w:t>The Plan shall be amended to implement the terms of this Policy. The terms of this Policy shall also be incorporated into the terms and conditions of any equity-based compensation award granted after the date hereof. The Committee may require that any employment agreement, equity award agreement, or similar agreement entered into on or after the date hereof shall, as a condition to the grant of any benefit thereunder, require a Leadership Team member or other individual to agree to abide by the terms of this Policy.</w:t>
      </w:r>
    </w:p>
    <w:p>
      <w:pPr>
        <w:spacing w:after="0" w:line="15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 Company shall not indemnify any Leadership Team member or other individual against the loss of any incorrectly awarded or otherwise recouped Incentive Compensation.</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Committee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Committee may terminate this Policy at any time.</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Policy shall be binding and enforceable against all Leadership Team members, and their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lowerRoman"/>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lowerRoman"/>
      <w:start w:val="1"/>
    </w:lvl>
  </w:abstractNum>
  <w:abstractNum w:abstractNumId="23">
    <w:nsid w:val="5072367"/>
    <w:multiLevelType w:val="hybridMultilevel"/>
    <w:lvl w:ilvl="0">
      <w:lvlJc w:val="left"/>
      <w:lvlText w:val="(%1)"/>
      <w:numFmt w:val="lowerRoman"/>
      <w:start w:val="3"/>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lowerRoman"/>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lvl w:ilvl="1">
      <w:lvlJc w:val="left"/>
      <w:lvlText w:val="•"/>
      <w:numFmt w:val="bullet"/>
      <w:start w:val="1"/>
    </w:lvl>
    <w:lvl w:ilvl="2">
      <w:lvlJc w:val="left"/>
      <w:lvlText w:val="(%3)"/>
      <w:numFmt w:val="decimal"/>
      <w:start w:val="2"/>
    </w:lvl>
  </w:abstractNum>
  <w:abstractNum w:abstractNumId="33">
    <w:nsid w:val="153EA438"/>
    <w:multiLevelType w:val="hybridMultilevel"/>
    <w:lvl w:ilvl="0">
      <w:lvlJc w:val="left"/>
      <w:lvlText w:val="%1"/>
      <w:numFmt w:val="decimal"/>
      <w:start w:val="101"/>
    </w:lvl>
  </w:abstractNum>
  <w:abstractNum w:abstractNumId="34">
    <w:nsid w:val="3855585C"/>
    <w:multiLevelType w:val="hybridMultilevel"/>
    <w:lvl w:ilvl="0">
      <w:lvlJc w:val="left"/>
      <w:lvlText w:val="(+)"/>
      <w:numFmt w:val="bullet"/>
      <w:start w:val="1"/>
    </w:lvl>
    <w:lvl w:ilvl="1">
      <w:lvlJc w:val="left"/>
      <w:lvlText w:val="%2"/>
      <w:numFmt w:val="decimal"/>
      <w:start w:val="104"/>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decimal"/>
      <w:start w:val="5"/>
    </w:lvl>
    <w:lvl w:ilvl="1">
      <w:lvlJc w:val="left"/>
      <w:lvlText w:val="(%2)"/>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5"/>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34" Type="http://schemas.openxmlformats.org/officeDocument/2006/relationships/hyperlink" Target="http://www.sec.gov/Archives/edgar/data/1872789/000119312522097622/d297684dex21.htm" TargetMode="External"/><Relationship Id="rId135" Type="http://schemas.openxmlformats.org/officeDocument/2006/relationships/hyperlink" Target="http://www.sec.gov/Archives/edgar/data/1872789/000094787123000814/ss2350753_0301.htm" TargetMode="External"/><Relationship Id="rId136" Type="http://schemas.openxmlformats.org/officeDocument/2006/relationships/hyperlink" Target="http://www.sec.gov/Archives/edgar/data/1872789/000119312522097622/d297684dex32.htm" TargetMode="External"/><Relationship Id="rId137" Type="http://schemas.openxmlformats.org/officeDocument/2006/relationships/hyperlink" Target="http://www.sec.gov/Archives/edgar/data/1872789/000119312522035814/d669833dex41.htm" TargetMode="External"/><Relationship Id="rId138" Type="http://schemas.openxmlformats.org/officeDocument/2006/relationships/hyperlink" Target="http://www.sec.gov/Archives/edgar/data/1872789/000119312522097622/d297684dex42.htm" TargetMode="External"/><Relationship Id="rId139" Type="http://schemas.openxmlformats.org/officeDocument/2006/relationships/hyperlink" Target="http://www.sec.gov/Archives/edgar/data/1872789/000119312522097622/d297684dex41.htm" TargetMode="External"/><Relationship Id="rId140" Type="http://schemas.openxmlformats.org/officeDocument/2006/relationships/hyperlink" Target="http://www.sec.gov/Archives/edgar/data/1872789/000119312522097622/d297684dex44.htm" TargetMode="External"/><Relationship Id="rId141" Type="http://schemas.openxmlformats.org/officeDocument/2006/relationships/hyperlink" Target="http://www.sec.gov/Archives/edgar/data/1872789/000119312522097622/d297684dex101.htm" TargetMode="External"/><Relationship Id="rId142" Type="http://schemas.openxmlformats.org/officeDocument/2006/relationships/hyperlink" Target="http://www.sec.gov/Archives/edgar/data/1872789/000187278922000024/embc-9302022x10kexhibit102.htm" TargetMode="External"/><Relationship Id="rId143" Type="http://schemas.openxmlformats.org/officeDocument/2006/relationships/hyperlink" Target="http://www.sec.gov/Archives/edgar/data/1872789/000119312522097622/d297684dex102.htm" TargetMode="External"/><Relationship Id="rId144" Type="http://schemas.openxmlformats.org/officeDocument/2006/relationships/hyperlink" Target="http://www.sec.gov/Archives/edgar/data/1872789/000119312522097622/d297684dex103.htm" TargetMode="External"/><Relationship Id="rId145" Type="http://schemas.openxmlformats.org/officeDocument/2006/relationships/hyperlink" Target="http://www.sec.gov/Archives/edgar/data/1872789/000119312522097622/d297684dex1015.htm" TargetMode="External"/><Relationship Id="rId148" Type="http://schemas.openxmlformats.org/officeDocument/2006/relationships/hyperlink" Target="http://www.sec.gov/Archives/edgar/data/1872789/000119312522097622/d297684dex1016.htm" TargetMode="External"/><Relationship Id="rId149" Type="http://schemas.openxmlformats.org/officeDocument/2006/relationships/hyperlink" Target="http://www.sec.gov/Archives/edgar/data/1872789/000119312522097622/d297684dex1017.htm" TargetMode="External"/><Relationship Id="rId150" Type="http://schemas.openxmlformats.org/officeDocument/2006/relationships/hyperlink" Target="http://www.sec.gov/Archives/edgar/data/1872789/000187278922000024/embc-9302022x10kexhibit108.htm" TargetMode="External"/><Relationship Id="rId151" Type="http://schemas.openxmlformats.org/officeDocument/2006/relationships/hyperlink" Target="http://www.sec.gov/Archives/edgar/data/1872789/000187278922000024/embc-9302022x10kexhibit109.htm" TargetMode="External"/><Relationship Id="rId152" Type="http://schemas.openxmlformats.org/officeDocument/2006/relationships/hyperlink" Target="http://www.sec.gov/Archives/edgar/data/1872789/000187278922000024/embc-9302022x10kexhibit1010.htm" TargetMode="External"/><Relationship Id="rId153" Type="http://schemas.openxmlformats.org/officeDocument/2006/relationships/hyperlink" Target="https://www.sec.gov/Archives/edgar/data/1872789/000187278923000013/embc-03312023x10qexhibit101.htm" TargetMode="External"/><Relationship Id="rId154" Type="http://schemas.openxmlformats.org/officeDocument/2006/relationships/hyperlink" Target="http://www.sec.gov/Archives/edgar/data/1872789/000119312521363615/d192319dex108.htm" TargetMode="External"/><Relationship Id="rId155" Type="http://schemas.openxmlformats.org/officeDocument/2006/relationships/hyperlink" Target="http://www.sec.gov/Archives/edgar/data/1872789/000119312521363615/d192319dex109.htm" TargetMode="External"/><Relationship Id="rId156" Type="http://schemas.openxmlformats.org/officeDocument/2006/relationships/hyperlink" Target="http://www.sec.gov/Archives/edgar/data/1872789/000119312521363615/d192319dex1010.htm" TargetMode="External"/><Relationship Id="rId157" Type="http://schemas.openxmlformats.org/officeDocument/2006/relationships/hyperlink" Target="http://www.sec.gov/Archives/edgar/data/1872789/000119312521363615/d192319dex1011.htm" TargetMode="External"/><Relationship Id="rId158" Type="http://schemas.openxmlformats.org/officeDocument/2006/relationships/hyperlink" Target="http://www.sec.gov/Archives/edgar/data/1872789/000119312521363615/d192319dex1012.htm" TargetMode="External"/><Relationship Id="rId159" Type="http://schemas.openxmlformats.org/officeDocument/2006/relationships/hyperlink" Target="http://www.sec.gov/Archives/edgar/data/1872789/000119312521363615/d192319dex1013.htm" TargetMode="External"/><Relationship Id="rId160" Type="http://schemas.openxmlformats.org/officeDocument/2006/relationships/hyperlink" Target="http://www.sec.gov/Archives/edgar/data/1872789/000119312522097622/d297684dex106.htm" TargetMode="External"/><Relationship Id="rId161" Type="http://schemas.openxmlformats.org/officeDocument/2006/relationships/hyperlink" Target="http://www.sec.gov/Archives/edgar/data/1872789/000119312522097622/d297684dex105.htm" TargetMode="External"/><Relationship Id="rId162" Type="http://schemas.openxmlformats.org/officeDocument/2006/relationships/hyperlink" Target="http://www.sec.gov/Archives/edgar/data/1872789/000119312522097622/d297684dex107.htm" TargetMode="External"/><Relationship Id="rId163" Type="http://schemas.openxmlformats.org/officeDocument/2006/relationships/hyperlink" Target="http://www.sec.gov/Archives/edgar/data/1872789/000119312522097622/d297684dex104.htm" TargetMode="External"/><Relationship Id="rId164" Type="http://schemas.openxmlformats.org/officeDocument/2006/relationships/hyperlink" Target="http://www.sec.gov/Archives/edgar/data/1872789/000119312522097622/d297684dex108.htm" TargetMode="External"/><Relationship Id="rId165" Type="http://schemas.openxmlformats.org/officeDocument/2006/relationships/hyperlink" Target="http://www.sec.gov/Archives/edgar/data/1872789/000119312522097622/d297684dex109.htm" TargetMode="External"/><Relationship Id="rId166" Type="http://schemas.openxmlformats.org/officeDocument/2006/relationships/hyperlink" Target="http://www.sec.gov/Archives/edgar/data/1872789/000119312522097622/d297684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2023-11-29T16:07:01Z</dcterms:created>
  <dcterms:modified xsi:type="dcterms:W3CDTF">2023-11-29T16:07:01Z</dcterms:modified>
</cp:coreProperties>
</file>