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210185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238125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225425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EMBECTA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210185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(State or Other Jurisdiction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Incorporation)</w:t>
      </w:r>
    </w:p>
    <w:p>
      <w:pPr>
        <w:spacing w:after="0" w:line="292"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660" w:type="dxa"/>
            <w:vAlign w:val="bottom"/>
          </w:tcPr>
          <w:p>
            <w:pPr>
              <w:jc w:val="center"/>
              <w:ind w:right="1441"/>
              <w:spacing w:after="0"/>
              <w:rPr>
                <w:sz w:val="20"/>
                <w:szCs w:val="20"/>
                <w:color w:val="auto"/>
              </w:rPr>
            </w:pPr>
            <w:r>
              <w:rPr>
                <w:rFonts w:ascii="Arial" w:cs="Arial" w:eastAsia="Arial" w:hAnsi="Arial"/>
                <w:sz w:val="18"/>
                <w:szCs w:val="18"/>
                <w:b w:val="1"/>
                <w:bCs w:val="1"/>
                <w:color w:val="auto"/>
                <w:w w:val="90"/>
              </w:rPr>
              <w:t>001-41186</w:t>
            </w:r>
          </w:p>
        </w:tc>
        <w:tc>
          <w:tcPr>
            <w:tcW w:w="2640" w:type="dxa"/>
            <w:vAlign w:val="bottom"/>
          </w:tcPr>
          <w:p>
            <w:pPr>
              <w:jc w:val="right"/>
              <w:ind w:right="41"/>
              <w:spacing w:after="0"/>
              <w:rPr>
                <w:sz w:val="20"/>
                <w:szCs w:val="20"/>
                <w:color w:val="auto"/>
              </w:rPr>
            </w:pPr>
            <w:r>
              <w:rPr>
                <w:rFonts w:ascii="Arial" w:cs="Arial" w:eastAsia="Arial" w:hAnsi="Arial"/>
                <w:sz w:val="18"/>
                <w:szCs w:val="18"/>
                <w:b w:val="1"/>
                <w:bCs w:val="1"/>
                <w:color w:val="auto"/>
              </w:rPr>
              <w:t>87-1583942</w:t>
            </w:r>
          </w:p>
        </w:tc>
      </w:tr>
      <w:tr>
        <w:trPr>
          <w:trHeight w:val="180"/>
        </w:trPr>
        <w:tc>
          <w:tcPr>
            <w:tcW w:w="5660" w:type="dxa"/>
            <w:vAlign w:val="bottom"/>
          </w:tcPr>
          <w:p>
            <w:pPr>
              <w:jc w:val="center"/>
              <w:ind w:right="1441"/>
              <w:spacing w:after="0"/>
              <w:rPr>
                <w:sz w:val="20"/>
                <w:szCs w:val="20"/>
                <w:color w:val="auto"/>
              </w:rPr>
            </w:pPr>
            <w:r>
              <w:rPr>
                <w:rFonts w:ascii="Arial" w:cs="Arial" w:eastAsia="Arial" w:hAnsi="Arial"/>
                <w:sz w:val="14"/>
                <w:szCs w:val="14"/>
                <w:b w:val="1"/>
                <w:bCs w:val="1"/>
                <w:color w:val="auto"/>
                <w:w w:val="92"/>
              </w:rPr>
              <w:t>(Commission</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660" w:type="dxa"/>
            <w:vAlign w:val="bottom"/>
          </w:tcPr>
          <w:p>
            <w:pPr>
              <w:jc w:val="center"/>
              <w:ind w:right="1441"/>
              <w:spacing w:after="0"/>
              <w:rPr>
                <w:sz w:val="20"/>
                <w:szCs w:val="20"/>
                <w:color w:val="auto"/>
              </w:rPr>
            </w:pPr>
            <w:r>
              <w:rPr>
                <w:rFonts w:ascii="Arial" w:cs="Arial" w:eastAsia="Arial" w:hAnsi="Arial"/>
                <w:sz w:val="14"/>
                <w:szCs w:val="14"/>
                <w:b w:val="1"/>
                <w:bCs w:val="1"/>
                <w:color w:val="auto"/>
                <w:w w:val="95"/>
              </w:rPr>
              <w:t>File Number)</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4"/>
              </w:rPr>
              <w:t>Identification No.)</w:t>
            </w:r>
          </w:p>
        </w:tc>
      </w:tr>
      <w:tr>
        <w:trPr>
          <w:trHeight w:val="633"/>
        </w:trPr>
        <w:tc>
          <w:tcPr>
            <w:tcW w:w="5660" w:type="dxa"/>
            <w:vAlign w:val="bottom"/>
          </w:tcPr>
          <w:p>
            <w:pPr>
              <w:jc w:val="center"/>
              <w:ind w:right="1441"/>
              <w:spacing w:after="0"/>
              <w:rPr>
                <w:sz w:val="20"/>
                <w:szCs w:val="20"/>
                <w:color w:val="auto"/>
              </w:rPr>
            </w:pPr>
            <w:r>
              <w:rPr>
                <w:rFonts w:ascii="Arial" w:cs="Arial" w:eastAsia="Arial" w:hAnsi="Arial"/>
                <w:sz w:val="18"/>
                <w:szCs w:val="18"/>
                <w:b w:val="1"/>
                <w:bCs w:val="1"/>
                <w:color w:val="auto"/>
                <w:w w:val="90"/>
              </w:rPr>
              <w:t>300 Kimball Drive, Suite 300, Parsippany, New Jersey</w:t>
            </w:r>
          </w:p>
        </w:tc>
        <w:tc>
          <w:tcPr>
            <w:tcW w:w="2640" w:type="dxa"/>
            <w:vAlign w:val="bottom"/>
          </w:tcPr>
          <w:p>
            <w:pPr>
              <w:jc w:val="right"/>
              <w:ind w:right="261"/>
              <w:spacing w:after="0"/>
              <w:rPr>
                <w:sz w:val="20"/>
                <w:szCs w:val="20"/>
                <w:color w:val="auto"/>
              </w:rPr>
            </w:pPr>
            <w:r>
              <w:rPr>
                <w:rFonts w:ascii="Arial" w:cs="Arial" w:eastAsia="Arial" w:hAnsi="Arial"/>
                <w:sz w:val="18"/>
                <w:szCs w:val="18"/>
                <w:b w:val="1"/>
                <w:bCs w:val="1"/>
                <w:color w:val="auto"/>
              </w:rPr>
              <w:t>07054</w:t>
            </w:r>
          </w:p>
        </w:tc>
      </w:tr>
      <w:tr>
        <w:trPr>
          <w:trHeight w:val="204"/>
        </w:trPr>
        <w:tc>
          <w:tcPr>
            <w:tcW w:w="5660" w:type="dxa"/>
            <w:vAlign w:val="bottom"/>
          </w:tcPr>
          <w:p>
            <w:pPr>
              <w:jc w:val="center"/>
              <w:ind w:right="14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640" w:type="dxa"/>
            <w:vAlign w:val="bottom"/>
          </w:tcPr>
          <w:p>
            <w:pPr>
              <w:jc w:val="center"/>
              <w:ind w:left="1441"/>
              <w:spacing w:after="0"/>
              <w:rPr>
                <w:sz w:val="20"/>
                <w:szCs w:val="20"/>
                <w:color w:val="auto"/>
              </w:rPr>
            </w:pPr>
            <w:r>
              <w:rPr>
                <w:rFonts w:ascii="Arial" w:cs="Arial" w:eastAsia="Arial" w:hAnsi="Arial"/>
                <w:sz w:val="14"/>
                <w:szCs w:val="14"/>
                <w:b w:val="1"/>
                <w:bCs w:val="1"/>
                <w:color w:val="auto"/>
                <w:w w:val="98"/>
              </w:rPr>
              <w:t>(Zip Code)</w:t>
            </w:r>
          </w:p>
        </w:tc>
      </w:tr>
    </w:tbl>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(862) 401-0000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159385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3"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6"/>
                <w:szCs w:val="16"/>
                <w:color w:val="auto"/>
              </w:rPr>
            </w:pP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203"/>
        </w:trPr>
        <w:tc>
          <w:tcPr>
            <w:tcW w:w="464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7"/>
              </w:rPr>
              <w:t>symbol(s)</w:t>
            </w:r>
          </w:p>
        </w:tc>
        <w:tc>
          <w:tcPr>
            <w:tcW w:w="120" w:type="dxa"/>
            <w:vAlign w:val="bottom"/>
          </w:tcPr>
          <w:p>
            <w:pPr>
              <w:spacing w:after="0"/>
              <w:rPr>
                <w:sz w:val="17"/>
                <w:szCs w:val="17"/>
                <w:color w:val="auto"/>
              </w:rPr>
            </w:pP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39"/>
        </w:trPr>
        <w:tc>
          <w:tcPr>
            <w:tcW w:w="4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205"/>
        </w:trPr>
        <w:tc>
          <w:tcPr>
            <w:tcW w:w="46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7"/>
                <w:szCs w:val="17"/>
                <w:color w:val="auto"/>
              </w:rPr>
            </w:pPr>
          </w:p>
        </w:tc>
        <w:tc>
          <w:tcPr>
            <w:tcW w:w="19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rPr>
              <w:t>EMBC</w:t>
            </w:r>
          </w:p>
        </w:tc>
        <w:tc>
          <w:tcPr>
            <w:tcW w:w="120" w:type="dxa"/>
            <w:vAlign w:val="bottom"/>
          </w:tcPr>
          <w:p>
            <w:pPr>
              <w:spacing w:after="0"/>
              <w:rPr>
                <w:sz w:val="17"/>
                <w:szCs w:val="17"/>
                <w:color w:val="auto"/>
              </w:rPr>
            </w:pPr>
          </w:p>
        </w:tc>
        <w:tc>
          <w:tcPr>
            <w:tcW w:w="43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2"/>
              </w:rPr>
              <w:t>The Nasdaq Stock Market LLC (Nasdaq Global Select</w:t>
            </w:r>
          </w:p>
        </w:tc>
      </w:tr>
      <w:tr>
        <w:trPr>
          <w:trHeight w:val="234"/>
        </w:trPr>
        <w:tc>
          <w:tcPr>
            <w:tcW w:w="4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9"/>
              </w:rPr>
              <w:t>Market)</w:t>
            </w:r>
          </w:p>
        </w:tc>
      </w:tr>
    </w:tbl>
    <w:p>
      <w:pPr>
        <w:spacing w:after="0" w:line="22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2" w:lineRule="exact"/>
        <w:rPr>
          <w:sz w:val="24"/>
          <w:szCs w:val="24"/>
          <w:color w:val="auto"/>
        </w:rPr>
      </w:pPr>
    </w:p>
    <w:p>
      <w:pPr>
        <w:ind w:right="16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left="960" w:hanging="1295"/>
        <w:spacing w:after="0" w:line="237" w:lineRule="auto"/>
        <w:tabs>
          <w:tab w:leader="none" w:pos="94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ectPr>
          <w:pgSz w:w="11900" w:h="16838" w:orient="portrait"/>
          <w:cols w:equalWidth="0" w:num="1">
            <w:col w:w="11240"/>
          </w:cols>
          <w:pgMar w:left="320" w:top="1440" w:right="339" w:bottom="0" w:gutter="0" w:footer="0" w:header="0"/>
        </w:sectPr>
      </w:pPr>
    </w:p>
    <w:bookmarkStart w:id="1" w:name="page2"/>
    <w:bookmarkEnd w:id="1"/>
    <w:p>
      <w:pPr>
        <w:jc w:val="both"/>
        <w:spacing w:after="0" w:line="235" w:lineRule="auto"/>
        <w:rPr>
          <w:sz w:val="20"/>
          <w:szCs w:val="20"/>
          <w:color w:val="auto"/>
        </w:rPr>
      </w:pPr>
      <w:r>
        <w:rPr>
          <w:rFonts w:ascii="Arial" w:cs="Arial" w:eastAsia="Arial" w:hAnsi="Arial"/>
          <w:sz w:val="18"/>
          <w:szCs w:val="18"/>
          <w:color w:val="auto"/>
        </w:rPr>
        <w:t>On June 29, 2023, Ajay Kumar, the Chief Human Resources Officer (“CHRO”) of Embecta Corp. (the “Company”), and the Company mutually agreed to Mr. Kumar’s resignation from his role as CHRO, effective July 16, 2023.</w:t>
      </w:r>
    </w:p>
    <w:p>
      <w:pPr>
        <w:spacing w:after="0" w:line="6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In connection with his separation, the Compensation and Management Development Committee of the Board of Directors of the Company approved the entry into a Separation Agreement between Mr. Kumar and the Company (the “Separation Agreement”). Pursuant to the Separation Agreement, dated June 30, 2023, Mr. Kumar will remain employed in his role as CHRO until July 16, 2023, after which his employment with the Company will terminate. Subject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to the execution and non-revocation of a release of claims in favor of the Company following July 16, 2023, he will be entitled to receive: (i) cash severance payments in the amount of $720,000, representing 12 months of base salary and target short-term incentive, which will be supplemented with his prorated target bonus for 2023 and 12 months of COBRA premiums; (ii) continued vesting of all outstanding and unvested equity awards held by Mr.</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Kumar as of immediately prior to his last day of employment that would have vested on or before November 30, 2023 had he been employed on such date; and (iii) outplacement services for a period of 12 months. The foregoing description of the Separation Agreement is qualified in its entirety by reference to the Separation Agreement, which will be filed as an exhibit to the Company’s Annual Report on Form 10-K for the fiscal year ending September 30, 2023.</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furnished as an exhibit to this report:</w:t>
      </w:r>
    </w:p>
    <w:p>
      <w:pPr>
        <w:spacing w:after="0" w:line="50" w:lineRule="exact"/>
        <w:rPr>
          <w:sz w:val="20"/>
          <w:szCs w:val="20"/>
          <w:color w:val="auto"/>
        </w:rPr>
      </w:pPr>
    </w:p>
    <w:p>
      <w:pPr>
        <w:ind w:left="20"/>
        <w:spacing w:after="0"/>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EMBECTA CORP.</w:t>
      </w:r>
    </w:p>
    <w:p>
      <w:pPr>
        <w:spacing w:after="0" w:line="320"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23495</wp:posOffset>
            </wp:positionV>
            <wp:extent cx="33775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4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Jeff Mann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Senior Vice President, General Counsel, Head of Business Development</w:t>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and Corporate Secretary</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July 5, 2023</w:t>
      </w:r>
    </w:p>
    <w:sectPr>
      <w:pgSz w:w="11900" w:h="16838" w:orient="portrait"/>
      <w:cols w:equalWidth="0" w:num="1">
        <w:col w:w="11140"/>
      </w:cols>
      <w:pgMar w:left="320" w:top="93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2023-07-05T16:14:35Z</dcterms:created>
  <dcterms:modified xsi:type="dcterms:W3CDTF">2023-07-05T16:14:35Z</dcterms:modified>
</cp:coreProperties>
</file>